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BatangChe" w:hAnsi="BatangChe" w:eastAsia="黑体" w:cs="仿宋_GB2312"/>
          <w:b w:val="0"/>
          <w:bCs w:val="0"/>
          <w:sz w:val="32"/>
          <w:szCs w:val="32"/>
        </w:rPr>
      </w:pPr>
      <w:r>
        <w:rPr>
          <w:rFonts w:hint="eastAsia" w:ascii="BatangChe" w:hAnsi="BatangChe" w:eastAsia="黑体" w:cs="仿宋_GB2312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杨陵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区2019年第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季度政府网站抽查情况汇总表</w:t>
      </w:r>
    </w:p>
    <w:tbl>
      <w:tblPr>
        <w:tblStyle w:val="3"/>
        <w:tblW w:w="13474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595"/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部门</w:t>
            </w:r>
            <w:r>
              <w:rPr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87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统战部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信息公开栏目长时间未更新。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政法委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业务工作、信息公开栏目长时间未更新。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生态环境局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监测时间节点前2周内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业务工作、污染源环境监管栏目更新不及时；信息公开、环评公示栏目长时间未更新；后台留言回复不及时，提醒后仍未及时处置。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水务局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政策法规栏目超过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农业农村局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农技推广、畜牧养殖、农机购置补贴栏目长时间未更新；科技创新栏目超过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住建局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转办留言回复不及时，提醒后仍未及时处置。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统计局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统计数据信息、曝光台等栏目长时间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自然资源局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监测时间节点前2周内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，业务工作更新不及时；信息公开、政策法规栏目超过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6个月未更新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后台留言回复不及时。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总工会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监测时间节点前2周内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业务工作更新不及时。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委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监测时间节点前2周内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业务工作更新不及时。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档案馆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业务工作栏目长时间未更新。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五泉镇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政策法规栏目超过6个月未更新。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李台街道办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发布信息审核不严，有错敏内容（已通知查改）。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妇联</w:t>
            </w:r>
          </w:p>
        </w:tc>
        <w:tc>
          <w:tcPr>
            <w:tcW w:w="9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发布信息审核不严，有错敏内容（已通知查改）。</w:t>
            </w: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注：监测时间节点为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2019年11月18日。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30BE3"/>
    <w:rsid w:val="5B53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2019-11-20T07:28:00Z</dcterms:created>
  <dc:creator>湛蓝少年</dc:creator>
  <cp:lastModifiedBy>湛蓝少年</cp:lastModifiedBy>
  <dcterms:modified xsi:type="dcterms:W3CDTF">2019-11-20T07:29:06Z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