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BatangChe" w:hAnsi="BatangChe" w:eastAsia="黑体" w:cs="仿宋_GB2312"/>
          <w:sz w:val="32"/>
          <w:szCs w:val="32"/>
        </w:rPr>
      </w:pPr>
      <w:r>
        <w:rPr>
          <w:rFonts w:hint="eastAsia" w:ascii="BatangChe" w:hAnsi="BatangChe" w:eastAsia="黑体" w:cs="仿宋_GB2312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杨陵区2020年第一季度政府网站抽查情况汇总表</w:t>
      </w:r>
    </w:p>
    <w:tbl>
      <w:tblPr>
        <w:tblStyle w:val="4"/>
        <w:tblW w:w="13617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595"/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  <w:r>
              <w:rPr>
                <w:b/>
                <w:bCs/>
                <w:sz w:val="24"/>
              </w:rPr>
              <w:t>名称</w:t>
            </w:r>
          </w:p>
        </w:tc>
        <w:tc>
          <w:tcPr>
            <w:tcW w:w="100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审计局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业务工作栏目更新不及时；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政策法规栏目超过6个月未更新。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自然资源局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3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农业农村局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农业动态栏目更新不及时；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农技推广、畜牧养殖等栏目3个月未更新；科技创新栏目超过6个月未更新。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4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总工会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业务工作栏目更新不及时；相关文件栏目3个月未更新。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统计局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业务工作栏目更新不及时；曝光台栏目3个月未更新。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6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团  委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7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妇 联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业务工作栏目3个月未更新；相关文件栏目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超过6个月未更新。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8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档案馆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9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财管中心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业务工作栏目更新不及时；政策法规栏目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超过6个月未更新。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10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乡村振兴办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业务工作栏目更新不及时；相关文件栏目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超过6个月未更新。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11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农业园区办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信息公开栏目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3个月未更新；政策法规栏目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超过6个月未更新。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12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招商一局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13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招商二局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14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李台街道办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监测时间节点前2周内，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业务工作栏目更新不及时；信息公开栏目3个月未更新。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15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大寨街道办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信息公开栏目3个月未更新；政策法规栏目超过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6个月未更新。</w:t>
            </w:r>
          </w:p>
        </w:tc>
      </w:tr>
    </w:tbl>
    <w:p>
      <w:pPr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注：监测时间节点为2020年2月19日。</w:t>
      </w:r>
    </w:p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8" w:right="1701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774F0"/>
    <w:rsid w:val="096774F0"/>
    <w:rsid w:val="3661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2020-02-21T07:32:00Z</dcterms:created>
  <dc:creator>湛蓝少年</dc:creator>
  <cp:lastModifiedBy>湛蓝少年</cp:lastModifiedBy>
  <dcterms:modified xsi:type="dcterms:W3CDTF">2020-02-21T07:33:43Z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