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各类商业设施建设标准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0" w:firstLineChars="0"/>
        <w:jc w:val="both"/>
        <w:textAlignment w:val="auto"/>
        <w:outlineLvl w:val="9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7" w:afterLines="45" w:line="500" w:lineRule="exact"/>
        <w:ind w:firstLine="643" w:firstLineChars="200"/>
        <w:jc w:val="both"/>
        <w:textAlignment w:val="auto"/>
        <w:outlineLvl w:val="9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1.县域综合商贸中心建设标准</w:t>
      </w:r>
    </w:p>
    <w:tbl>
      <w:tblPr>
        <w:tblStyle w:val="11"/>
        <w:tblW w:w="12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8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40" w:lineRule="exact"/>
              <w:jc w:val="center"/>
              <w:textAlignment w:val="auto"/>
              <w:outlineLvl w:val="9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功能和面积</w:t>
            </w:r>
          </w:p>
        </w:tc>
        <w:tc>
          <w:tcPr>
            <w:tcW w:w="3008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45"/>
              <w:jc w:val="center"/>
              <w:textAlignment w:val="auto"/>
              <w:outlineLvl w:val="9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8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440" w:lineRule="exact"/>
              <w:textAlignment w:val="auto"/>
              <w:outlineLvl w:val="9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提供果蔬肉蛋、食品、洗护用品、家居百货等商品零售，满足县域居民日常消费需求。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440" w:lineRule="exact"/>
              <w:textAlignment w:val="auto"/>
              <w:outlineLvl w:val="9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提供餐饮、维修、美容美发等生活服务。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440" w:lineRule="exact"/>
              <w:textAlignment w:val="auto"/>
              <w:outlineLvl w:val="9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对城区和一定范围的乡镇村提供批发、零售或配送服务。让县域居民不出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杨凌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就能满足大部分消费需求。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440" w:lineRule="exact"/>
              <w:textAlignment w:val="auto"/>
              <w:outlineLvl w:val="9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提供家电、通讯、服装等标准化程度较高的商品零售，满足县域居民大件消费需求。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440" w:lineRule="exact"/>
              <w:textAlignment w:val="auto"/>
              <w:outlineLvl w:val="9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提供娱乐、休闲、亲子、健身、教育、物流、金融等业态，拓展空间载体，打造多功能、多业态、复合型的县域商业集聚区（微商圈）。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440" w:lineRule="exact"/>
              <w:textAlignment w:val="auto"/>
              <w:outlineLvl w:val="9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提供本地特色商品体验 ，打造区域优势供应链品牌。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440" w:lineRule="exact"/>
              <w:textAlignment w:val="auto"/>
              <w:outlineLvl w:val="9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经营面积一般在2万到3万平米左右。</w:t>
            </w:r>
          </w:p>
        </w:tc>
        <w:tc>
          <w:tcPr>
            <w:tcW w:w="3008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440" w:lineRule="exact"/>
              <w:ind w:left="119"/>
              <w:textAlignment w:val="auto"/>
              <w:outlineLvl w:val="9"/>
              <w:rPr>
                <w:rFonts w:ascii="楷体_GB2312" w:eastAsia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生鲜、日用百货、餐饮等分区经营， 自营类商品实行统一结算。可根据实际需要，设置仓储、停车场等设施，配备配送车辆、人员等。场地设施符合消防、卫生、安全生产有关要求。可根据实际需要，配备与娱乐、休闲、亲子功能等相适应的设施设备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ind w:firstLine="643" w:firstLineChars="200"/>
        <w:jc w:val="center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3" w:firstLineChars="200"/>
        <w:jc w:val="both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2.乡镇商贸中心建设标准</w:t>
      </w:r>
    </w:p>
    <w:tbl>
      <w:tblPr>
        <w:tblStyle w:val="11"/>
        <w:tblpPr w:leftFromText="180" w:rightFromText="180" w:vertAnchor="text" w:horzAnchor="page" w:tblpXSpec="center" w:tblpY="517"/>
        <w:tblOverlap w:val="never"/>
        <w:tblW w:w="12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3" w:type="dxa"/>
            <w:vAlign w:val="top"/>
          </w:tcPr>
          <w:p>
            <w:pPr>
              <w:pStyle w:val="15"/>
              <w:spacing w:before="1" w:line="500" w:lineRule="exact"/>
              <w:jc w:val="center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功能和面积</w:t>
            </w:r>
          </w:p>
        </w:tc>
        <w:tc>
          <w:tcPr>
            <w:tcW w:w="4111" w:type="dxa"/>
            <w:vAlign w:val="top"/>
          </w:tcPr>
          <w:p>
            <w:pPr>
              <w:pStyle w:val="15"/>
              <w:spacing w:line="500" w:lineRule="exact"/>
              <w:ind w:left="145"/>
              <w:jc w:val="center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3" w:type="dxa"/>
            <w:vAlign w:val="top"/>
          </w:tcPr>
          <w:p>
            <w:pPr>
              <w:pStyle w:val="15"/>
              <w:spacing w:before="60" w:line="500" w:lineRule="exact"/>
              <w:ind w:left="116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提供包括果蔬肉蛋、食品、洗护用品、日用百货等生活必需品销售，满足乡镇村居民实用型消费。</w:t>
            </w:r>
          </w:p>
          <w:p>
            <w:pPr>
              <w:pStyle w:val="15"/>
              <w:spacing w:before="60" w:line="500" w:lineRule="exact"/>
              <w:ind w:left="116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提供餐饮、理发等基本生活服务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5"/>
              <w:spacing w:before="60" w:line="500" w:lineRule="exact"/>
              <w:ind w:left="116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以单体超市为主体、兼具生活服务的商业业态，不包括步行街、商业地产等业态。</w:t>
            </w:r>
          </w:p>
          <w:p>
            <w:pPr>
              <w:pStyle w:val="15"/>
              <w:spacing w:before="60" w:line="500" w:lineRule="exact"/>
              <w:ind w:left="116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提供小家电、服装、鞋帽、家纺等商品销售。</w:t>
            </w:r>
          </w:p>
          <w:p>
            <w:pPr>
              <w:pStyle w:val="15"/>
              <w:spacing w:before="60" w:line="500" w:lineRule="exact"/>
              <w:ind w:left="116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提供维修、洗衣、修鞋、快递收发、金融、农产品收购等服务。</w:t>
            </w:r>
          </w:p>
          <w:p>
            <w:pPr>
              <w:pStyle w:val="15"/>
              <w:spacing w:before="60" w:line="500" w:lineRule="exact"/>
              <w:ind w:left="116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具备简易仓储配送功能，为一定范围内村级商店、农户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等提供小批量商品配送服务。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面积一般在1000到3000平米。</w:t>
            </w:r>
          </w:p>
        </w:tc>
        <w:tc>
          <w:tcPr>
            <w:tcW w:w="4111" w:type="dxa"/>
            <w:vAlign w:val="top"/>
          </w:tcPr>
          <w:p>
            <w:pPr>
              <w:pStyle w:val="15"/>
              <w:spacing w:before="52" w:line="500" w:lineRule="exact"/>
              <w:ind w:left="118" w:right="89" w:firstLine="480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不同商品和服务类型分区经营，自营部分实行统一结算。可根据实际需要，可配备电子收 款 机(  POS机）、电脑、打印机等设备和信息系统。可根据实际需要，配备休闲娱乐设施、简易仓储、加工、冷藏、配送设施设备。并建有临时停车位。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center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center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00" w:lineRule="exact"/>
        <w:ind w:firstLine="643" w:firstLineChars="200"/>
        <w:jc w:val="both"/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村级便民商店建设标准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textAlignment w:val="auto"/>
        <w:outlineLvl w:val="9"/>
      </w:pPr>
    </w:p>
    <w:tbl>
      <w:tblPr>
        <w:tblStyle w:val="11"/>
        <w:tblpPr w:leftFromText="180" w:rightFromText="180" w:vertAnchor="text" w:tblpXSpec="center" w:tblpY="1"/>
        <w:tblOverlap w:val="never"/>
        <w:tblW w:w="12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86" w:type="dxa"/>
            <w:vAlign w:val="top"/>
          </w:tcPr>
          <w:p>
            <w:pPr>
              <w:pStyle w:val="15"/>
              <w:spacing w:before="1" w:line="500" w:lineRule="exact"/>
              <w:jc w:val="center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功能和面积</w:t>
            </w:r>
          </w:p>
        </w:tc>
        <w:tc>
          <w:tcPr>
            <w:tcW w:w="7088" w:type="dxa"/>
            <w:vAlign w:val="top"/>
          </w:tcPr>
          <w:p>
            <w:pPr>
              <w:pStyle w:val="15"/>
              <w:spacing w:line="500" w:lineRule="exact"/>
              <w:ind w:left="145"/>
              <w:jc w:val="center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86" w:type="dxa"/>
            <w:vAlign w:val="top"/>
          </w:tcPr>
          <w:p>
            <w:pPr>
              <w:pStyle w:val="15"/>
              <w:tabs>
                <w:tab w:val="left" w:pos="306"/>
              </w:tabs>
              <w:spacing w:before="52" w:line="500" w:lineRule="exact"/>
              <w:ind w:right="118"/>
              <w:jc w:val="both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提供油盐酱醋、小食品、日杂用品等生活必需品零售，满足村民就近便利消费。</w:t>
            </w:r>
          </w:p>
          <w:p>
            <w:pPr>
              <w:pStyle w:val="15"/>
              <w:tabs>
                <w:tab w:val="left" w:pos="331"/>
              </w:tabs>
              <w:spacing w:line="500" w:lineRule="exact"/>
              <w:jc w:val="both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提供手机话费充值等服务。</w:t>
            </w:r>
          </w:p>
          <w:p>
            <w:pPr>
              <w:pStyle w:val="15"/>
              <w:tabs>
                <w:tab w:val="left" w:pos="297"/>
              </w:tabs>
              <w:spacing w:line="500" w:lineRule="exact"/>
              <w:ind w:right="113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提供水电、宽带、生活缴费、快递代收代发、复印等服务。</w:t>
            </w:r>
          </w:p>
          <w:p>
            <w:pPr>
              <w:pStyle w:val="15"/>
              <w:tabs>
                <w:tab w:val="left" w:pos="306"/>
              </w:tabs>
              <w:spacing w:line="500" w:lineRule="exact"/>
              <w:ind w:right="123"/>
              <w:jc w:val="both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提供农产品需求、劳务、房屋、培训等中介信息服务。</w:t>
            </w:r>
          </w:p>
          <w:p>
            <w:pPr>
              <w:pStyle w:val="15"/>
              <w:tabs>
                <w:tab w:val="left" w:pos="326"/>
              </w:tabs>
              <w:spacing w:line="500" w:lineRule="exact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提供简易农资农具等销售。</w:t>
            </w:r>
          </w:p>
          <w:p>
            <w:pPr>
              <w:pStyle w:val="15"/>
              <w:spacing w:before="57" w:line="500" w:lineRule="exact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经营面积在100 -200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平米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。商品单品( SKU ) 不低于300 种。商品统一采购 率不低于 50% 。</w:t>
            </w:r>
          </w:p>
        </w:tc>
        <w:tc>
          <w:tcPr>
            <w:tcW w:w="7088" w:type="dxa"/>
            <w:vAlign w:val="top"/>
          </w:tcPr>
          <w:p>
            <w:pPr>
              <w:pStyle w:val="15"/>
              <w:spacing w:before="42" w:line="500" w:lineRule="exact"/>
              <w:ind w:left="130" w:right="134"/>
              <w:jc w:val="both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除特殊商品外，采取开架售货方式。悬挂醒目牌匾标识，店铺整洁，货物开架陈列。商品明码标价，实行索证索票制度。可根据实际需要，配置生活缴费、快递手持终端设备、复印机、农资存放等设备，接入互联网。</w:t>
            </w:r>
          </w:p>
        </w:tc>
      </w:tr>
    </w:tbl>
    <w:p>
      <w:pPr>
        <w:jc w:val="both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jc w:val="both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00" w:lineRule="exact"/>
        <w:ind w:firstLine="643" w:firstLineChars="200"/>
        <w:jc w:val="both"/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区级物流配送中心建设标准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textAlignment w:val="auto"/>
        <w:outlineLvl w:val="9"/>
      </w:pPr>
    </w:p>
    <w:tbl>
      <w:tblPr>
        <w:tblStyle w:val="11"/>
        <w:tblpPr w:leftFromText="180" w:rightFromText="180" w:vertAnchor="text" w:tblpXSpec="center" w:tblpY="1"/>
        <w:tblOverlap w:val="never"/>
        <w:tblW w:w="12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5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46" w:type="dxa"/>
            <w:vAlign w:val="top"/>
          </w:tcPr>
          <w:p>
            <w:pPr>
              <w:pStyle w:val="15"/>
              <w:spacing w:before="1" w:line="500" w:lineRule="exact"/>
              <w:jc w:val="center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功能和面积</w:t>
            </w:r>
          </w:p>
        </w:tc>
        <w:tc>
          <w:tcPr>
            <w:tcW w:w="5662" w:type="dxa"/>
            <w:vAlign w:val="top"/>
          </w:tcPr>
          <w:p>
            <w:pPr>
              <w:pStyle w:val="15"/>
              <w:spacing w:line="500" w:lineRule="exact"/>
              <w:ind w:left="145"/>
              <w:jc w:val="center"/>
              <w:rPr>
                <w:rFonts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46" w:type="dxa"/>
            <w:vAlign w:val="top"/>
          </w:tcPr>
          <w:p>
            <w:pPr>
              <w:pStyle w:val="15"/>
              <w:spacing w:line="500" w:lineRule="exact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提供物流或快递件的仓储、分拣、中转、配送等服务，配送范围覆盖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城区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和主要的乡镇村。</w:t>
            </w:r>
          </w:p>
          <w:p>
            <w:pPr>
              <w:pStyle w:val="15"/>
              <w:spacing w:line="500" w:lineRule="exact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物流或快件吞吐量占全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 20% 以上。快递配送到村一般不超过 3 日。</w:t>
            </w:r>
          </w:p>
          <w:p>
            <w:pPr>
              <w:pStyle w:val="15"/>
              <w:spacing w:line="500" w:lineRule="exact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物流配送中心提供开放、非排他服务。</w:t>
            </w:r>
          </w:p>
          <w:p>
            <w:pPr>
              <w:pStyle w:val="15"/>
              <w:spacing w:before="5" w:line="500" w:lineRule="exact"/>
              <w:ind w:right="55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物流或快件吞吐量占全</w:t>
            </w: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 30% 以上。快递配送到村一般不超过 2日。</w:t>
            </w:r>
          </w:p>
          <w:p>
            <w:pPr>
              <w:pStyle w:val="15"/>
              <w:spacing w:before="5" w:line="500" w:lineRule="exact"/>
              <w:ind w:right="55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开展统仓共配等共享物流模式。在整合县域电商快递的基础上，搭载日用消费品、农资下乡和农产品进城双向配送服务。</w:t>
            </w:r>
          </w:p>
          <w:p>
            <w:pPr>
              <w:pStyle w:val="15"/>
              <w:spacing w:before="5" w:line="500" w:lineRule="exact"/>
              <w:ind w:right="55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面积一般在1万到3万平米左右。</w:t>
            </w:r>
          </w:p>
        </w:tc>
        <w:tc>
          <w:tcPr>
            <w:tcW w:w="5662" w:type="dxa"/>
            <w:vAlign w:val="top"/>
          </w:tcPr>
          <w:p>
            <w:pPr>
              <w:pStyle w:val="15"/>
              <w:spacing w:before="42" w:line="500" w:lineRule="exact"/>
              <w:ind w:left="119" w:right="75"/>
              <w:jc w:val="both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合理划分功能区域，包括但不限于收货区、仓储区、拣选区、发货区等。</w:t>
            </w:r>
          </w:p>
          <w:p>
            <w:pPr>
              <w:pStyle w:val="15"/>
              <w:spacing w:before="42" w:line="500" w:lineRule="exact"/>
              <w:ind w:left="119" w:right="75"/>
              <w:jc w:val="both"/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 w:hAnsiTheme="minorHAnsi" w:cstheme="minorBidi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可根据实际需要，配备统一的货架、仓库、分拣、配送车辆等设施设备。实现部分基础设施和信息等资源的共享。可根据实际需求，配备相应的冷藏冷冻设施。建立仓储物流管理信息系统或快递信息查询系统，实现与项目承办企业信息管理系统以及采购商、配送网点进销存信息的互联互通。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44" w:rightChars="116"/>
        <w:textAlignment w:val="auto"/>
        <w:outlineLvl w:val="9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4" w:header="851" w:footer="1417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eastAsia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144145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right="315" w:rightChars="150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3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kcbA0wAAAAcBAAAPAAAAAAAAAAEAIAAAACIAAABkcnMvZG93bnJldi54bWxQSwECFAAUAAAACACH&#10;TuJA1UN/FLcBAABUAwAADgAAAAAAAAABACAAAAAi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right="315" w:rightChars="150"/>
                      <w:textAlignment w:val="auto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28329753"/>
      </w:sdtPr>
      <w:sdtEndPr>
        <w:rPr>
          <w:rFonts w:hint="eastAsia" w:ascii="宋体" w:hAnsi="宋体" w:eastAsia="宋体" w:cs="宋体"/>
          <w:sz w:val="28"/>
          <w:szCs w:val="28"/>
        </w:rPr>
      </w:sdtEnd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15" w:leftChars="150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+3vjDVAAAACAEAAA8AAAAAAAAAAQAgAAAAIgAAAGRycy9kb3ducmV2LnhtbFBLAQIUABQAAAAI&#10;AIdO4kBIb6BotwEAAFQDAAAOAAAAAAAAAAEAIAAAACQ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15" w:leftChars="150"/>
                      <w:textAlignment w:val="auto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6C"/>
    <w:rsid w:val="000018E6"/>
    <w:rsid w:val="00022CD2"/>
    <w:rsid w:val="00063989"/>
    <w:rsid w:val="00072EB6"/>
    <w:rsid w:val="0007670F"/>
    <w:rsid w:val="00080F26"/>
    <w:rsid w:val="00090EED"/>
    <w:rsid w:val="00092B8B"/>
    <w:rsid w:val="000A4815"/>
    <w:rsid w:val="000B2BC3"/>
    <w:rsid w:val="000C3DFC"/>
    <w:rsid w:val="000E7DF0"/>
    <w:rsid w:val="000F1094"/>
    <w:rsid w:val="000F619A"/>
    <w:rsid w:val="00107AB0"/>
    <w:rsid w:val="0011160D"/>
    <w:rsid w:val="00114C6F"/>
    <w:rsid w:val="0011649A"/>
    <w:rsid w:val="001226EB"/>
    <w:rsid w:val="0013741A"/>
    <w:rsid w:val="00141BAC"/>
    <w:rsid w:val="00143E5F"/>
    <w:rsid w:val="00155820"/>
    <w:rsid w:val="00187027"/>
    <w:rsid w:val="001922AB"/>
    <w:rsid w:val="0019743B"/>
    <w:rsid w:val="001B50EE"/>
    <w:rsid w:val="001C2055"/>
    <w:rsid w:val="001D2B9A"/>
    <w:rsid w:val="001D69C1"/>
    <w:rsid w:val="001E100F"/>
    <w:rsid w:val="001F11B4"/>
    <w:rsid w:val="002125BB"/>
    <w:rsid w:val="002205E4"/>
    <w:rsid w:val="002227C2"/>
    <w:rsid w:val="00225754"/>
    <w:rsid w:val="00227B23"/>
    <w:rsid w:val="00232B2C"/>
    <w:rsid w:val="00242ADD"/>
    <w:rsid w:val="00243C55"/>
    <w:rsid w:val="00254113"/>
    <w:rsid w:val="002566C1"/>
    <w:rsid w:val="00262F9E"/>
    <w:rsid w:val="0026644D"/>
    <w:rsid w:val="0026761A"/>
    <w:rsid w:val="0027391F"/>
    <w:rsid w:val="0028048B"/>
    <w:rsid w:val="002829D5"/>
    <w:rsid w:val="002B0704"/>
    <w:rsid w:val="002B5AEC"/>
    <w:rsid w:val="002E711C"/>
    <w:rsid w:val="002F733A"/>
    <w:rsid w:val="003129C2"/>
    <w:rsid w:val="003130D1"/>
    <w:rsid w:val="00323F42"/>
    <w:rsid w:val="00324D25"/>
    <w:rsid w:val="00334881"/>
    <w:rsid w:val="003421F9"/>
    <w:rsid w:val="00352A76"/>
    <w:rsid w:val="00353E1A"/>
    <w:rsid w:val="00355573"/>
    <w:rsid w:val="00361751"/>
    <w:rsid w:val="00365D9E"/>
    <w:rsid w:val="00373282"/>
    <w:rsid w:val="00375F8A"/>
    <w:rsid w:val="00394563"/>
    <w:rsid w:val="00395B44"/>
    <w:rsid w:val="00397623"/>
    <w:rsid w:val="003B215F"/>
    <w:rsid w:val="003B36F0"/>
    <w:rsid w:val="003C7A2B"/>
    <w:rsid w:val="003D53C1"/>
    <w:rsid w:val="003D5F61"/>
    <w:rsid w:val="003F342F"/>
    <w:rsid w:val="003F6621"/>
    <w:rsid w:val="00411CC5"/>
    <w:rsid w:val="004123D0"/>
    <w:rsid w:val="00427D1B"/>
    <w:rsid w:val="00430EC3"/>
    <w:rsid w:val="00440983"/>
    <w:rsid w:val="00440CA3"/>
    <w:rsid w:val="00451FE6"/>
    <w:rsid w:val="0045525C"/>
    <w:rsid w:val="004606DD"/>
    <w:rsid w:val="0047111F"/>
    <w:rsid w:val="00482C68"/>
    <w:rsid w:val="00486AD0"/>
    <w:rsid w:val="004910F2"/>
    <w:rsid w:val="00495B9B"/>
    <w:rsid w:val="004D53E0"/>
    <w:rsid w:val="004E3312"/>
    <w:rsid w:val="004F1E4B"/>
    <w:rsid w:val="004F55AA"/>
    <w:rsid w:val="004F6854"/>
    <w:rsid w:val="00505DC0"/>
    <w:rsid w:val="005179B0"/>
    <w:rsid w:val="005233D6"/>
    <w:rsid w:val="0052402C"/>
    <w:rsid w:val="005327B2"/>
    <w:rsid w:val="00540297"/>
    <w:rsid w:val="005467A8"/>
    <w:rsid w:val="0054692E"/>
    <w:rsid w:val="00547EC4"/>
    <w:rsid w:val="0055779A"/>
    <w:rsid w:val="0056519F"/>
    <w:rsid w:val="00571351"/>
    <w:rsid w:val="0057172A"/>
    <w:rsid w:val="00583070"/>
    <w:rsid w:val="00583B4E"/>
    <w:rsid w:val="00587CE6"/>
    <w:rsid w:val="00591768"/>
    <w:rsid w:val="005A1BFB"/>
    <w:rsid w:val="005B3541"/>
    <w:rsid w:val="005B44D8"/>
    <w:rsid w:val="005C5808"/>
    <w:rsid w:val="005D766C"/>
    <w:rsid w:val="005E03A4"/>
    <w:rsid w:val="005E3605"/>
    <w:rsid w:val="005E5A37"/>
    <w:rsid w:val="006001EB"/>
    <w:rsid w:val="0061409E"/>
    <w:rsid w:val="006153E4"/>
    <w:rsid w:val="00625E52"/>
    <w:rsid w:val="00632EEF"/>
    <w:rsid w:val="00633D53"/>
    <w:rsid w:val="0063614D"/>
    <w:rsid w:val="006450F4"/>
    <w:rsid w:val="00645C7F"/>
    <w:rsid w:val="0065528E"/>
    <w:rsid w:val="0067567C"/>
    <w:rsid w:val="00685B85"/>
    <w:rsid w:val="00692B29"/>
    <w:rsid w:val="006A5408"/>
    <w:rsid w:val="006B36C0"/>
    <w:rsid w:val="006D042A"/>
    <w:rsid w:val="006D0EFA"/>
    <w:rsid w:val="006D4CB6"/>
    <w:rsid w:val="006E11A0"/>
    <w:rsid w:val="006E2AC1"/>
    <w:rsid w:val="006F1BEA"/>
    <w:rsid w:val="006F4F87"/>
    <w:rsid w:val="00732B73"/>
    <w:rsid w:val="00737019"/>
    <w:rsid w:val="0074256B"/>
    <w:rsid w:val="0074728E"/>
    <w:rsid w:val="00756111"/>
    <w:rsid w:val="00757089"/>
    <w:rsid w:val="007578C7"/>
    <w:rsid w:val="00760428"/>
    <w:rsid w:val="00781124"/>
    <w:rsid w:val="007A5535"/>
    <w:rsid w:val="007A77E0"/>
    <w:rsid w:val="007C0FF6"/>
    <w:rsid w:val="007F760C"/>
    <w:rsid w:val="00812F03"/>
    <w:rsid w:val="00820766"/>
    <w:rsid w:val="00826B0A"/>
    <w:rsid w:val="008301BA"/>
    <w:rsid w:val="00832802"/>
    <w:rsid w:val="00845EF5"/>
    <w:rsid w:val="0085079D"/>
    <w:rsid w:val="008531B7"/>
    <w:rsid w:val="00857330"/>
    <w:rsid w:val="00867501"/>
    <w:rsid w:val="00874A6D"/>
    <w:rsid w:val="00887E0E"/>
    <w:rsid w:val="00895E5E"/>
    <w:rsid w:val="00897FD9"/>
    <w:rsid w:val="008A0406"/>
    <w:rsid w:val="008A1D34"/>
    <w:rsid w:val="008A7446"/>
    <w:rsid w:val="008B242C"/>
    <w:rsid w:val="008C0E66"/>
    <w:rsid w:val="008C4ECE"/>
    <w:rsid w:val="008D7ABD"/>
    <w:rsid w:val="008E4BE0"/>
    <w:rsid w:val="008E6DC9"/>
    <w:rsid w:val="008E7B43"/>
    <w:rsid w:val="008F6DD4"/>
    <w:rsid w:val="00900F6D"/>
    <w:rsid w:val="00913812"/>
    <w:rsid w:val="00915787"/>
    <w:rsid w:val="00945B2C"/>
    <w:rsid w:val="00947252"/>
    <w:rsid w:val="00956205"/>
    <w:rsid w:val="0096082F"/>
    <w:rsid w:val="00960E41"/>
    <w:rsid w:val="00964A75"/>
    <w:rsid w:val="00965EB6"/>
    <w:rsid w:val="00984450"/>
    <w:rsid w:val="00987CEA"/>
    <w:rsid w:val="00991A97"/>
    <w:rsid w:val="009952DA"/>
    <w:rsid w:val="00995FCC"/>
    <w:rsid w:val="009C7201"/>
    <w:rsid w:val="009D0D4A"/>
    <w:rsid w:val="009F1837"/>
    <w:rsid w:val="00A07927"/>
    <w:rsid w:val="00A1470F"/>
    <w:rsid w:val="00A21951"/>
    <w:rsid w:val="00A34C31"/>
    <w:rsid w:val="00A36416"/>
    <w:rsid w:val="00A45779"/>
    <w:rsid w:val="00A537E8"/>
    <w:rsid w:val="00A632A0"/>
    <w:rsid w:val="00AA5913"/>
    <w:rsid w:val="00AB390E"/>
    <w:rsid w:val="00AE01BE"/>
    <w:rsid w:val="00AE404A"/>
    <w:rsid w:val="00AF169B"/>
    <w:rsid w:val="00B04140"/>
    <w:rsid w:val="00B1027B"/>
    <w:rsid w:val="00B315DD"/>
    <w:rsid w:val="00B423E7"/>
    <w:rsid w:val="00B52D02"/>
    <w:rsid w:val="00B57185"/>
    <w:rsid w:val="00B57F48"/>
    <w:rsid w:val="00B6220C"/>
    <w:rsid w:val="00B64172"/>
    <w:rsid w:val="00B85D89"/>
    <w:rsid w:val="00B87FB4"/>
    <w:rsid w:val="00B9433B"/>
    <w:rsid w:val="00B95D21"/>
    <w:rsid w:val="00B96010"/>
    <w:rsid w:val="00BA1BBD"/>
    <w:rsid w:val="00BA569F"/>
    <w:rsid w:val="00BC1A27"/>
    <w:rsid w:val="00BD5185"/>
    <w:rsid w:val="00BD7215"/>
    <w:rsid w:val="00BE292A"/>
    <w:rsid w:val="00BF27F2"/>
    <w:rsid w:val="00BF28EC"/>
    <w:rsid w:val="00BF6A01"/>
    <w:rsid w:val="00C0103C"/>
    <w:rsid w:val="00C01972"/>
    <w:rsid w:val="00C11694"/>
    <w:rsid w:val="00C163A4"/>
    <w:rsid w:val="00C212B3"/>
    <w:rsid w:val="00C234A1"/>
    <w:rsid w:val="00C244ED"/>
    <w:rsid w:val="00C50368"/>
    <w:rsid w:val="00C517D0"/>
    <w:rsid w:val="00C73BE8"/>
    <w:rsid w:val="00CA0157"/>
    <w:rsid w:val="00CB2C45"/>
    <w:rsid w:val="00CC61A1"/>
    <w:rsid w:val="00CE147F"/>
    <w:rsid w:val="00D04D1A"/>
    <w:rsid w:val="00D12B65"/>
    <w:rsid w:val="00D14947"/>
    <w:rsid w:val="00D163F8"/>
    <w:rsid w:val="00D168E4"/>
    <w:rsid w:val="00D171D8"/>
    <w:rsid w:val="00D4200D"/>
    <w:rsid w:val="00D51C2F"/>
    <w:rsid w:val="00D62B77"/>
    <w:rsid w:val="00D70B8E"/>
    <w:rsid w:val="00D76D10"/>
    <w:rsid w:val="00D93219"/>
    <w:rsid w:val="00D94B13"/>
    <w:rsid w:val="00DA5502"/>
    <w:rsid w:val="00DB2471"/>
    <w:rsid w:val="00DC608E"/>
    <w:rsid w:val="00DD4AE7"/>
    <w:rsid w:val="00DD4FEF"/>
    <w:rsid w:val="00DF2B48"/>
    <w:rsid w:val="00DF6782"/>
    <w:rsid w:val="00E00CF3"/>
    <w:rsid w:val="00E01FEF"/>
    <w:rsid w:val="00E04AE7"/>
    <w:rsid w:val="00E104AB"/>
    <w:rsid w:val="00E10F55"/>
    <w:rsid w:val="00E155DC"/>
    <w:rsid w:val="00E2040B"/>
    <w:rsid w:val="00E21F25"/>
    <w:rsid w:val="00E27B31"/>
    <w:rsid w:val="00E30CBE"/>
    <w:rsid w:val="00E32C12"/>
    <w:rsid w:val="00E34E1C"/>
    <w:rsid w:val="00E40776"/>
    <w:rsid w:val="00E45738"/>
    <w:rsid w:val="00E462B0"/>
    <w:rsid w:val="00E63751"/>
    <w:rsid w:val="00E6510F"/>
    <w:rsid w:val="00E729D5"/>
    <w:rsid w:val="00E91981"/>
    <w:rsid w:val="00EA7C3F"/>
    <w:rsid w:val="00EB17D3"/>
    <w:rsid w:val="00EB4B87"/>
    <w:rsid w:val="00EC4151"/>
    <w:rsid w:val="00ED3927"/>
    <w:rsid w:val="00ED719B"/>
    <w:rsid w:val="00EE27D6"/>
    <w:rsid w:val="00EE374C"/>
    <w:rsid w:val="00EE73BF"/>
    <w:rsid w:val="00EF61B0"/>
    <w:rsid w:val="00F12C12"/>
    <w:rsid w:val="00F16CFD"/>
    <w:rsid w:val="00F2636C"/>
    <w:rsid w:val="00F35B1A"/>
    <w:rsid w:val="00F47745"/>
    <w:rsid w:val="00F50269"/>
    <w:rsid w:val="00F57846"/>
    <w:rsid w:val="00F57A85"/>
    <w:rsid w:val="00F57D04"/>
    <w:rsid w:val="00F65845"/>
    <w:rsid w:val="00F75424"/>
    <w:rsid w:val="00F75ED4"/>
    <w:rsid w:val="00F764B5"/>
    <w:rsid w:val="00F77AC2"/>
    <w:rsid w:val="00F86EDB"/>
    <w:rsid w:val="00F94270"/>
    <w:rsid w:val="00F96F17"/>
    <w:rsid w:val="00FA36C9"/>
    <w:rsid w:val="00FB409B"/>
    <w:rsid w:val="00FB5A34"/>
    <w:rsid w:val="00FC31D5"/>
    <w:rsid w:val="00FC71EA"/>
    <w:rsid w:val="00FD3F81"/>
    <w:rsid w:val="00FE1DA7"/>
    <w:rsid w:val="00FF247F"/>
    <w:rsid w:val="00FF495D"/>
    <w:rsid w:val="00FF4B77"/>
    <w:rsid w:val="061E4199"/>
    <w:rsid w:val="064B5AE9"/>
    <w:rsid w:val="065B508A"/>
    <w:rsid w:val="066E5EE2"/>
    <w:rsid w:val="07210FFA"/>
    <w:rsid w:val="09FE177F"/>
    <w:rsid w:val="0AFB4936"/>
    <w:rsid w:val="0C1C6B51"/>
    <w:rsid w:val="0D4B7589"/>
    <w:rsid w:val="0F791A86"/>
    <w:rsid w:val="0F9C76DD"/>
    <w:rsid w:val="0FBA4A99"/>
    <w:rsid w:val="10513CE2"/>
    <w:rsid w:val="110F1949"/>
    <w:rsid w:val="112D1402"/>
    <w:rsid w:val="11A64752"/>
    <w:rsid w:val="121A6257"/>
    <w:rsid w:val="159D7B21"/>
    <w:rsid w:val="171C3257"/>
    <w:rsid w:val="19090213"/>
    <w:rsid w:val="1BDC09BB"/>
    <w:rsid w:val="1C0674F1"/>
    <w:rsid w:val="1C354510"/>
    <w:rsid w:val="1D6834B5"/>
    <w:rsid w:val="1EC342F0"/>
    <w:rsid w:val="1F4E0879"/>
    <w:rsid w:val="1F8C6D79"/>
    <w:rsid w:val="20564C93"/>
    <w:rsid w:val="2065272F"/>
    <w:rsid w:val="21C554C3"/>
    <w:rsid w:val="222E5459"/>
    <w:rsid w:val="243F56C0"/>
    <w:rsid w:val="24C81878"/>
    <w:rsid w:val="252D0B1B"/>
    <w:rsid w:val="254E7F71"/>
    <w:rsid w:val="26B7722E"/>
    <w:rsid w:val="2B1F191A"/>
    <w:rsid w:val="2DB76C48"/>
    <w:rsid w:val="2DEF2B66"/>
    <w:rsid w:val="2E362394"/>
    <w:rsid w:val="2F131A44"/>
    <w:rsid w:val="3013499D"/>
    <w:rsid w:val="327B32D4"/>
    <w:rsid w:val="329A2DBF"/>
    <w:rsid w:val="34240EED"/>
    <w:rsid w:val="344A3EC1"/>
    <w:rsid w:val="34703319"/>
    <w:rsid w:val="34A016F8"/>
    <w:rsid w:val="35E236DC"/>
    <w:rsid w:val="37075942"/>
    <w:rsid w:val="3715782B"/>
    <w:rsid w:val="38076205"/>
    <w:rsid w:val="382D55F6"/>
    <w:rsid w:val="38694F7F"/>
    <w:rsid w:val="38AA15C5"/>
    <w:rsid w:val="3AF51C6D"/>
    <w:rsid w:val="3CD411CD"/>
    <w:rsid w:val="3F7661F3"/>
    <w:rsid w:val="400242A3"/>
    <w:rsid w:val="408358A8"/>
    <w:rsid w:val="41AB1535"/>
    <w:rsid w:val="434117C0"/>
    <w:rsid w:val="443E7AED"/>
    <w:rsid w:val="44D315F2"/>
    <w:rsid w:val="465055AE"/>
    <w:rsid w:val="476905A2"/>
    <w:rsid w:val="48077AA5"/>
    <w:rsid w:val="480D0CC9"/>
    <w:rsid w:val="48CA3FA9"/>
    <w:rsid w:val="4910629B"/>
    <w:rsid w:val="49C541BC"/>
    <w:rsid w:val="4B261A31"/>
    <w:rsid w:val="4BA31BFB"/>
    <w:rsid w:val="4C3655F6"/>
    <w:rsid w:val="4C4B43DA"/>
    <w:rsid w:val="4CDF413C"/>
    <w:rsid w:val="4CF307D2"/>
    <w:rsid w:val="4D0A4B7E"/>
    <w:rsid w:val="4DF7129B"/>
    <w:rsid w:val="4F7D1726"/>
    <w:rsid w:val="53AE42CA"/>
    <w:rsid w:val="545F0469"/>
    <w:rsid w:val="5514542F"/>
    <w:rsid w:val="57291D44"/>
    <w:rsid w:val="5A0B2297"/>
    <w:rsid w:val="5AED1874"/>
    <w:rsid w:val="5EF449DE"/>
    <w:rsid w:val="5F4D357D"/>
    <w:rsid w:val="60280D5C"/>
    <w:rsid w:val="605A707A"/>
    <w:rsid w:val="61AC5AEA"/>
    <w:rsid w:val="63EB322B"/>
    <w:rsid w:val="660D3EA3"/>
    <w:rsid w:val="671726F0"/>
    <w:rsid w:val="68AE72B1"/>
    <w:rsid w:val="69EE74C3"/>
    <w:rsid w:val="6AD9263B"/>
    <w:rsid w:val="6CDF0179"/>
    <w:rsid w:val="7005403F"/>
    <w:rsid w:val="70614AC7"/>
    <w:rsid w:val="708B3AA0"/>
    <w:rsid w:val="71846BC9"/>
    <w:rsid w:val="722E2CF2"/>
    <w:rsid w:val="73277FFF"/>
    <w:rsid w:val="737E4791"/>
    <w:rsid w:val="74083965"/>
    <w:rsid w:val="77FD3CC7"/>
    <w:rsid w:val="78D950AF"/>
    <w:rsid w:val="7B3F55AA"/>
    <w:rsid w:val="7B411B04"/>
    <w:rsid w:val="7C7E3B1A"/>
    <w:rsid w:val="7CCA0CB7"/>
    <w:rsid w:val="7CE32E11"/>
    <w:rsid w:val="7EC0722D"/>
    <w:rsid w:val="7F1344C1"/>
    <w:rsid w:val="7F43654A"/>
    <w:rsid w:val="7F6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beforeAutospacing="1" w:afterAutospacing="1"/>
      <w:jc w:val="left"/>
    </w:pPr>
    <w:rPr>
      <w:rFonts w:ascii="宋体" w:hAnsi="宋体"/>
      <w:sz w:val="24"/>
      <w:szCs w:val="24"/>
    </w:rPr>
  </w:style>
  <w:style w:type="paragraph" w:styleId="4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6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样式1"/>
    <w:basedOn w:val="1"/>
    <w:qFormat/>
    <w:uiPriority w:val="0"/>
    <w:rPr>
      <w:rFonts w:ascii="仿宋_GB2312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1464</Words>
  <Characters>8349</Characters>
  <Lines>69</Lines>
  <Paragraphs>19</Paragraphs>
  <ScaleCrop>false</ScaleCrop>
  <LinksUpToDate>false</LinksUpToDate>
  <CharactersWithSpaces>9794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2022-04-19T08:21:00Z</dcterms:created>
  <dc:creator>pc</dc:creator>
  <cp:lastModifiedBy>user</cp:lastModifiedBy>
  <cp:lastPrinted>2022-04-19T08:42:00Z</cp:lastPrinted>
  <dcterms:modified xsi:type="dcterms:W3CDTF">2022-05-31T09:03:59Z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792303F4D1974315A718E2D97A74C821</vt:lpwstr>
  </property>
</Properties>
</file>