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杨陵区“十四五”重点专项规划编制任务分工表</w:t>
      </w:r>
    </w:p>
    <w:tbl>
      <w:tblPr>
        <w:tblStyle w:val="4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95"/>
        <w:gridCol w:w="13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规划名称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责任部门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杨陵区“十四五”工业发展规划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工信局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招商一局、招商二局、各镇办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杨陵区“十四五”农业农村发展规划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农业农村局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农业园区办、各镇办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</w:t>
            </w:r>
            <w:r>
              <w:rPr>
                <w:rFonts w:ascii="Calibri" w:hAnsi="Calibri"/>
                <w:szCs w:val="22"/>
              </w:rPr>
              <w:t>服务业发展</w:t>
            </w:r>
            <w:r>
              <w:rPr>
                <w:rFonts w:hint="eastAsia" w:ascii="Calibri" w:hAnsi="Calibri"/>
                <w:szCs w:val="22"/>
              </w:rPr>
              <w:t>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工信局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各镇办、文旅体局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杨陵区“十四五”重大建设项目规划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发改局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各镇办、各部门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</w:t>
            </w:r>
            <w:r>
              <w:rPr>
                <w:rFonts w:ascii="Calibri" w:hAnsi="Calibri"/>
                <w:szCs w:val="22"/>
              </w:rPr>
              <w:t>生态文明建设</w:t>
            </w:r>
            <w:r>
              <w:rPr>
                <w:rFonts w:hint="eastAsia" w:ascii="Calibri" w:hAnsi="Calibri"/>
                <w:szCs w:val="22"/>
              </w:rPr>
              <w:t>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生态环境局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农业农村局、水务局、卫健局、城管执法局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6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杨陵区2021—2025国土空间和土地利用规划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自然资源局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住建局、各镇办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7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杨陵区“十四五”交通发展规划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交通局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8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杨陵区“十四五”水利发展规划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水务局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9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杨陵区“十四五”教育发展规划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教育局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杨陵区“十四五”文化旅游体育事业发展规划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文旅体局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11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杨陵区“十四五”健康事业发展规划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卫健局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12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杨陵区“十四五”人才和劳动就业以及社会保障事业发展规划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人社局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13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杨陵区“十四五”应急事业发展规划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应急管理局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14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杨陵区“十四五”民政事业发展规划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民政局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各镇办、残联、人社局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15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杨陵区“十四五”电力发展规划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供电公司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16</w:t>
            </w:r>
          </w:p>
        </w:tc>
        <w:tc>
          <w:tcPr>
            <w:tcW w:w="4295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杨陵区“十四五”通讯事业发展规划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移动公司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联通公司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电信公司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341DF"/>
    <w:rsid w:val="36C57763"/>
    <w:rsid w:val="5D2A1119"/>
    <w:rsid w:val="67D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2020-01-03T01:28:00Z</dcterms:created>
  <dc:creator>湛蓝少年</dc:creator>
  <cp:lastModifiedBy>湛蓝少年</cp:lastModifiedBy>
  <dcterms:modified xsi:type="dcterms:W3CDTF">2020-01-03T01:30:01Z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