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jc w:val="left"/>
        <w:rPr>
          <w:rFonts w:hint="eastAsia" w:ascii="黑体" w:hAnsi="Times New Roman" w:eastAsia="黑体"/>
          <w:kern w:val="0"/>
        </w:rPr>
      </w:pPr>
      <w:r>
        <w:rPr>
          <w:rFonts w:hint="eastAsia" w:ascii="黑体" w:hAnsi="Times New Roman" w:eastAsia="黑体"/>
          <w:kern w:val="0"/>
        </w:rPr>
        <w:t>附表1</w:t>
      </w:r>
    </w:p>
    <w:p>
      <w:pPr>
        <w:autoSpaceDE w:val="0"/>
        <w:autoSpaceDN w:val="0"/>
        <w:adjustRightInd w:val="0"/>
        <w:snapToGrid w:val="0"/>
        <w:spacing w:line="408" w:lineRule="auto"/>
        <w:jc w:val="left"/>
        <w:rPr>
          <w:rFonts w:ascii="黑体" w:hAnsi="Times New Roman" w:eastAsia="黑体"/>
          <w:kern w:val="0"/>
        </w:rPr>
      </w:pPr>
    </w:p>
    <w:p>
      <w:pPr>
        <w:adjustRightInd w:val="0"/>
        <w:snapToGrid w:val="0"/>
        <w:jc w:val="center"/>
        <w:rPr>
          <w:rFonts w:hint="eastAsia" w:ascii="方正小标宋_GBK" w:hAnsi="华文中宋" w:eastAsia="方正小标宋_GBK"/>
          <w:sz w:val="38"/>
          <w:szCs w:val="38"/>
        </w:rPr>
      </w:pPr>
      <w:bookmarkStart w:id="0" w:name="_GoBack"/>
      <w:r>
        <w:rPr>
          <w:rFonts w:hint="eastAsia" w:ascii="方正小标宋_GBK" w:hAnsi="华文中宋" w:eastAsia="方正小标宋_GBK"/>
          <w:sz w:val="38"/>
          <w:szCs w:val="38"/>
        </w:rPr>
        <w:t>企业事业单位突发环境事件应急预案评审表</w:t>
      </w:r>
      <w:bookmarkEnd w:id="0"/>
    </w:p>
    <w:p>
      <w:pPr>
        <w:autoSpaceDE w:val="0"/>
        <w:autoSpaceDN w:val="0"/>
        <w:adjustRightInd w:val="0"/>
        <w:snapToGrid w:val="0"/>
        <w:spacing w:line="408" w:lineRule="auto"/>
        <w:jc w:val="left"/>
        <w:rPr>
          <w:rFonts w:ascii="黑体" w:hAnsi="Times New Roman" w:eastAsia="黑体"/>
          <w:kern w:val="0"/>
        </w:rPr>
      </w:pPr>
    </w:p>
    <w:tbl>
      <w:tblPr>
        <w:tblStyle w:val="6"/>
        <w:tblW w:w="1378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134"/>
        <w:gridCol w:w="426"/>
        <w:gridCol w:w="4819"/>
        <w:gridCol w:w="1276"/>
        <w:gridCol w:w="567"/>
        <w:gridCol w:w="40"/>
        <w:gridCol w:w="669"/>
        <w:gridCol w:w="48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270" w:hRule="atLeast"/>
          <w:jc w:val="center"/>
        </w:trPr>
        <w:tc>
          <w:tcPr>
            <w:tcW w:w="13781" w:type="dxa"/>
            <w:gridSpan w:val="8"/>
            <w:vAlign w:val="center"/>
          </w:tcPr>
          <w:p>
            <w:pPr>
              <w:adjustRightInd w:val="0"/>
              <w:snapToGrid w:val="0"/>
              <w:spacing w:before="173" w:beforeLines="30"/>
              <w:jc w:val="left"/>
              <w:rPr>
                <w:rFonts w:ascii="宋体" w:hAnsi="宋体" w:eastAsia="宋体"/>
                <w:sz w:val="21"/>
                <w:szCs w:val="21"/>
              </w:rPr>
            </w:pPr>
            <w:r>
              <w:rPr>
                <w:rFonts w:hint="eastAsia" w:ascii="宋体" w:hAnsi="宋体" w:eastAsia="宋体"/>
                <w:sz w:val="21"/>
                <w:szCs w:val="21"/>
              </w:rPr>
              <w:t>预案编制单位：</w:t>
            </w:r>
            <w:r>
              <w:rPr>
                <w:rFonts w:ascii="宋体" w:hAnsi="宋体" w:eastAsia="宋体"/>
                <w:sz w:val="21"/>
                <w:szCs w:val="21"/>
                <w:u w:val="single"/>
              </w:rPr>
              <w:t xml:space="preserve">                                                              </w:t>
            </w:r>
          </w:p>
          <w:p>
            <w:pPr>
              <w:adjustRightInd w:val="0"/>
              <w:snapToGrid w:val="0"/>
              <w:jc w:val="left"/>
              <w:rPr>
                <w:rFonts w:ascii="宋体" w:hAnsi="宋体" w:eastAsia="宋体"/>
                <w:sz w:val="21"/>
                <w:szCs w:val="21"/>
              </w:rPr>
            </w:pPr>
            <w:r>
              <w:rPr>
                <w:rFonts w:ascii="宋体" w:hAnsi="宋体" w:eastAsia="宋体"/>
                <w:sz w:val="21"/>
                <w:szCs w:val="21"/>
              </w:rPr>
              <w:t>(</w:t>
            </w:r>
            <w:r>
              <w:rPr>
                <w:rFonts w:hint="eastAsia" w:ascii="宋体" w:hAnsi="宋体" w:eastAsia="宋体"/>
                <w:sz w:val="21"/>
                <w:szCs w:val="21"/>
              </w:rPr>
              <w:t>专业技术服务机构：</w:t>
            </w:r>
            <w:r>
              <w:rPr>
                <w:rFonts w:ascii="宋体" w:hAnsi="宋体" w:eastAsia="宋体"/>
                <w:sz w:val="21"/>
                <w:szCs w:val="21"/>
                <w:u w:val="single"/>
              </w:rPr>
              <w:t xml:space="preserve">                                                           </w:t>
            </w:r>
            <w:r>
              <w:rPr>
                <w:rFonts w:ascii="宋体" w:hAnsi="宋体" w:eastAsia="宋体"/>
                <w:sz w:val="21"/>
                <w:szCs w:val="21"/>
              </w:rPr>
              <w:t>)</w:t>
            </w:r>
          </w:p>
          <w:p>
            <w:pPr>
              <w:adjustRightInd w:val="0"/>
              <w:snapToGrid w:val="0"/>
              <w:jc w:val="left"/>
              <w:rPr>
                <w:rFonts w:ascii="宋体" w:hAnsi="宋体" w:eastAsia="宋体"/>
                <w:sz w:val="21"/>
                <w:szCs w:val="21"/>
              </w:rPr>
            </w:pPr>
            <w:r>
              <w:rPr>
                <w:rFonts w:hint="eastAsia" w:ascii="宋体" w:hAnsi="宋体" w:eastAsia="宋体"/>
                <w:sz w:val="21"/>
                <w:szCs w:val="21"/>
              </w:rPr>
              <w:t>企业环境风险级别：□一般；□较大；□重大</w:t>
            </w:r>
          </w:p>
          <w:p>
            <w:pPr>
              <w:adjustRightInd w:val="0"/>
              <w:snapToGrid w:val="0"/>
              <w:spacing w:after="173" w:afterLines="30"/>
              <w:jc w:val="right"/>
              <w:rPr>
                <w:rFonts w:hint="eastAsia" w:ascii="仿宋_GB2312" w:hAnsi="宋体"/>
                <w:b/>
                <w:sz w:val="24"/>
                <w:szCs w:val="24"/>
              </w:rPr>
            </w:pPr>
            <w:r>
              <w:rPr>
                <w:rFonts w:hint="eastAsia" w:ascii="仿宋_GB2312" w:hAnsi="宋体"/>
                <w:b/>
                <w:sz w:val="24"/>
                <w:szCs w:val="24"/>
              </w:rPr>
              <w:t>（本栏由企业填写）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39" w:hRule="atLeast"/>
          <w:jc w:val="center"/>
        </w:trPr>
        <w:tc>
          <w:tcPr>
            <w:tcW w:w="13781" w:type="dxa"/>
            <w:gridSpan w:val="8"/>
            <w:vAlign w:val="center"/>
          </w:tcPr>
          <w:p>
            <w:pPr>
              <w:adjustRightInd w:val="0"/>
              <w:snapToGrid w:val="0"/>
              <w:jc w:val="center"/>
              <w:rPr>
                <w:rFonts w:ascii="黑体" w:hAnsi="黑体" w:eastAsia="黑体"/>
                <w:sz w:val="21"/>
                <w:szCs w:val="21"/>
              </w:rPr>
            </w:pPr>
            <w:r>
              <w:rPr>
                <w:rFonts w:hint="eastAsia" w:ascii="黑体" w:hAnsi="黑体" w:eastAsia="黑体"/>
                <w:sz w:val="21"/>
                <w:szCs w:val="21"/>
              </w:rPr>
              <w:t>“一票否决”项（以下三项中任意一项判定为“不符合”，则评审结论为“未通过”）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275" w:hRule="atLeast"/>
          <w:jc w:val="center"/>
        </w:trPr>
        <w:tc>
          <w:tcPr>
            <w:tcW w:w="6379" w:type="dxa"/>
            <w:gridSpan w:val="3"/>
            <w:vMerge w:val="restart"/>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评 审 指 标</w:t>
            </w:r>
          </w:p>
        </w:tc>
        <w:tc>
          <w:tcPr>
            <w:tcW w:w="2552" w:type="dxa"/>
            <w:gridSpan w:val="4"/>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评审意见</w:t>
            </w:r>
          </w:p>
        </w:tc>
        <w:tc>
          <w:tcPr>
            <w:tcW w:w="4850" w:type="dxa"/>
            <w:vMerge w:val="restart"/>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指 标 说 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96" w:hRule="atLeast"/>
          <w:jc w:val="center"/>
        </w:trPr>
        <w:tc>
          <w:tcPr>
            <w:tcW w:w="6379" w:type="dxa"/>
            <w:gridSpan w:val="3"/>
            <w:vMerge w:val="continue"/>
            <w:vAlign w:val="center"/>
          </w:tcPr>
          <w:p>
            <w:pPr>
              <w:adjustRightInd w:val="0"/>
              <w:snapToGrid w:val="0"/>
              <w:jc w:val="center"/>
              <w:rPr>
                <w:rFonts w:ascii="宋体" w:hAnsi="宋体" w:eastAsia="宋体"/>
                <w:sz w:val="21"/>
                <w:szCs w:val="21"/>
              </w:rPr>
            </w:pPr>
          </w:p>
        </w:tc>
        <w:tc>
          <w:tcPr>
            <w:tcW w:w="1276"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判  定</w:t>
            </w:r>
          </w:p>
        </w:tc>
        <w:tc>
          <w:tcPr>
            <w:tcW w:w="1276" w:type="dxa"/>
            <w:gridSpan w:val="3"/>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说  明</w:t>
            </w:r>
          </w:p>
        </w:tc>
        <w:tc>
          <w:tcPr>
            <w:tcW w:w="4850" w:type="dxa"/>
            <w:vMerge w:val="continue"/>
            <w:vAlign w:val="center"/>
          </w:tcPr>
          <w:p>
            <w:pPr>
              <w:adjustRightInd w:val="0"/>
              <w:snapToGrid w:val="0"/>
              <w:jc w:val="left"/>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944" w:hRule="atLeast"/>
          <w:jc w:val="center"/>
        </w:trPr>
        <w:tc>
          <w:tcPr>
            <w:tcW w:w="6379" w:type="dxa"/>
            <w:gridSpan w:val="3"/>
            <w:vAlign w:val="center"/>
          </w:tcPr>
          <w:p>
            <w:pPr>
              <w:adjustRightInd w:val="0"/>
              <w:snapToGrid w:val="0"/>
              <w:jc w:val="left"/>
              <w:rPr>
                <w:rFonts w:ascii="宋体" w:hAnsi="宋体" w:eastAsia="宋体"/>
                <w:sz w:val="21"/>
                <w:szCs w:val="21"/>
              </w:rPr>
            </w:pPr>
            <w:r>
              <w:rPr>
                <w:rFonts w:hint="eastAsia" w:ascii="宋体" w:hAnsi="宋体" w:eastAsia="宋体"/>
                <w:sz w:val="21"/>
                <w:szCs w:val="21"/>
              </w:rPr>
              <w:t>有单独的环境风险评估报告和环境应急资源调查报告（表）</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1276" w:type="dxa"/>
            <w:gridSpan w:val="3"/>
            <w:vAlign w:val="center"/>
          </w:tcPr>
          <w:p>
            <w:pPr>
              <w:adjustRightInd w:val="0"/>
              <w:snapToGrid w:val="0"/>
              <w:jc w:val="left"/>
              <w:rPr>
                <w:rFonts w:ascii="宋体" w:hAnsi="宋体" w:eastAsia="宋体"/>
                <w:sz w:val="21"/>
                <w:szCs w:val="21"/>
              </w:rPr>
            </w:pPr>
          </w:p>
        </w:tc>
        <w:tc>
          <w:tcPr>
            <w:tcW w:w="4850" w:type="dxa"/>
            <w:vAlign w:val="center"/>
          </w:tcPr>
          <w:p>
            <w:pPr>
              <w:adjustRightInd w:val="0"/>
              <w:snapToGrid w:val="0"/>
              <w:rPr>
                <w:rFonts w:hint="eastAsia" w:ascii="宋体" w:hAnsi="宋体" w:eastAsia="宋体"/>
                <w:sz w:val="21"/>
                <w:szCs w:val="21"/>
              </w:rPr>
            </w:pPr>
            <w:r>
              <w:rPr>
                <w:rFonts w:hint="eastAsia" w:ascii="宋体" w:hAnsi="宋体" w:eastAsia="宋体"/>
                <w:sz w:val="21"/>
                <w:szCs w:val="21"/>
              </w:rPr>
              <w:t>突发事件应急预案管理办法有关规定；</w:t>
            </w:r>
          </w:p>
          <w:p>
            <w:pPr>
              <w:adjustRightInd w:val="0"/>
              <w:snapToGrid w:val="0"/>
              <w:rPr>
                <w:rFonts w:ascii="宋体" w:hAnsi="宋体" w:eastAsia="宋体"/>
                <w:sz w:val="21"/>
                <w:szCs w:val="21"/>
              </w:rPr>
            </w:pPr>
            <w:r>
              <w:rPr>
                <w:rFonts w:hint="eastAsia" w:ascii="宋体" w:hAnsi="宋体" w:eastAsia="宋体"/>
                <w:sz w:val="21"/>
                <w:szCs w:val="21"/>
              </w:rPr>
              <w:t>备案管理办法第十条要求，应当在开展环境风险评估和环境应急资源调查的基础上编制环境应急预案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420" w:hRule="atLeast"/>
          <w:jc w:val="center"/>
        </w:trPr>
        <w:tc>
          <w:tcPr>
            <w:tcW w:w="6379" w:type="dxa"/>
            <w:gridSpan w:val="3"/>
            <w:vAlign w:val="center"/>
          </w:tcPr>
          <w:p>
            <w:pPr>
              <w:adjustRightInd w:val="0"/>
              <w:snapToGrid w:val="0"/>
              <w:jc w:val="left"/>
              <w:rPr>
                <w:rFonts w:ascii="宋体" w:hAnsi="宋体" w:eastAsia="宋体"/>
                <w:spacing w:val="-4"/>
                <w:sz w:val="21"/>
                <w:szCs w:val="21"/>
              </w:rPr>
            </w:pPr>
            <w:r>
              <w:rPr>
                <w:rFonts w:hint="eastAsia" w:ascii="宋体" w:hAnsi="宋体" w:eastAsia="宋体"/>
                <w:spacing w:val="-4"/>
                <w:sz w:val="21"/>
                <w:szCs w:val="21"/>
              </w:rPr>
              <w:t>从可能的突发环境事件情景出发编制且典型突发环境事件情景无缺失</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1276" w:type="dxa"/>
            <w:gridSpan w:val="3"/>
            <w:vAlign w:val="center"/>
          </w:tcPr>
          <w:p>
            <w:pPr>
              <w:adjustRightInd w:val="0"/>
              <w:snapToGrid w:val="0"/>
              <w:jc w:val="left"/>
              <w:rPr>
                <w:rFonts w:ascii="宋体" w:hAnsi="宋体" w:eastAsia="宋体"/>
                <w:sz w:val="21"/>
                <w:szCs w:val="21"/>
              </w:rPr>
            </w:pPr>
          </w:p>
        </w:tc>
        <w:tc>
          <w:tcPr>
            <w:tcW w:w="4850" w:type="dxa"/>
            <w:vAlign w:val="center"/>
          </w:tcPr>
          <w:p>
            <w:pPr>
              <w:adjustRightInd w:val="0"/>
              <w:snapToGrid w:val="0"/>
              <w:rPr>
                <w:rFonts w:hint="eastAsia" w:ascii="宋体" w:hAnsi="宋体" w:eastAsia="宋体"/>
                <w:sz w:val="21"/>
                <w:szCs w:val="21"/>
              </w:rPr>
            </w:pPr>
            <w:r>
              <w:rPr>
                <w:rFonts w:hint="eastAsia" w:ascii="宋体" w:hAnsi="宋体" w:eastAsia="宋体"/>
                <w:sz w:val="21"/>
                <w:szCs w:val="21"/>
              </w:rPr>
              <w:t>突发事件应对法有关规定；</w:t>
            </w:r>
          </w:p>
          <w:p>
            <w:pPr>
              <w:adjustRightInd w:val="0"/>
              <w:snapToGrid w:val="0"/>
              <w:rPr>
                <w:rFonts w:ascii="宋体" w:hAnsi="宋体" w:eastAsia="宋体"/>
                <w:sz w:val="21"/>
                <w:szCs w:val="21"/>
              </w:rPr>
            </w:pPr>
            <w:r>
              <w:rPr>
                <w:rFonts w:hint="eastAsia" w:ascii="宋体" w:hAnsi="宋体" w:eastAsia="宋体"/>
                <w:sz w:val="21"/>
                <w:szCs w:val="21"/>
              </w:rPr>
              <w:t>备案管理办法第九、十条，均对企业从可能的突发环境事件情景出发编制环境应急预案提出了要求；</w:t>
            </w:r>
          </w:p>
          <w:p>
            <w:pPr>
              <w:adjustRightInd w:val="0"/>
              <w:snapToGrid w:val="0"/>
              <w:rPr>
                <w:rFonts w:ascii="宋体" w:hAnsi="宋体" w:eastAsia="宋体"/>
                <w:sz w:val="21"/>
                <w:szCs w:val="21"/>
              </w:rPr>
            </w:pPr>
            <w:r>
              <w:rPr>
                <w:rFonts w:hint="eastAsia" w:ascii="宋体" w:hAnsi="宋体" w:eastAsia="宋体"/>
                <w:sz w:val="21"/>
                <w:szCs w:val="21"/>
              </w:rPr>
              <w:t>典型突发环境事件情景基于真实事件与预期风险凝练、集合而成，体现各类事件的共性与规律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930" w:hRule="atLeast"/>
          <w:jc w:val="center"/>
        </w:trPr>
        <w:tc>
          <w:tcPr>
            <w:tcW w:w="6379" w:type="dxa"/>
            <w:gridSpan w:val="3"/>
            <w:vAlign w:val="center"/>
          </w:tcPr>
          <w:p>
            <w:pPr>
              <w:adjustRightInd w:val="0"/>
              <w:snapToGrid w:val="0"/>
              <w:jc w:val="left"/>
              <w:rPr>
                <w:rFonts w:ascii="宋体" w:hAnsi="宋体" w:eastAsia="宋体"/>
                <w:sz w:val="21"/>
                <w:szCs w:val="21"/>
              </w:rPr>
            </w:pPr>
            <w:r>
              <w:rPr>
                <w:rFonts w:hint="eastAsia" w:ascii="宋体" w:hAnsi="宋体" w:eastAsia="宋体"/>
                <w:sz w:val="21"/>
                <w:szCs w:val="21"/>
              </w:rPr>
              <w:t>能够让周边居民和单位获得事件信息</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1276" w:type="dxa"/>
            <w:gridSpan w:val="3"/>
            <w:vAlign w:val="center"/>
          </w:tcPr>
          <w:p>
            <w:pPr>
              <w:adjustRightInd w:val="0"/>
              <w:snapToGrid w:val="0"/>
              <w:jc w:val="left"/>
              <w:rPr>
                <w:rFonts w:ascii="宋体" w:hAnsi="宋体" w:eastAsia="宋体"/>
                <w:sz w:val="21"/>
                <w:szCs w:val="21"/>
              </w:rPr>
            </w:pPr>
          </w:p>
        </w:tc>
        <w:tc>
          <w:tcPr>
            <w:tcW w:w="4850" w:type="dxa"/>
            <w:vAlign w:val="center"/>
          </w:tcPr>
          <w:p>
            <w:pPr>
              <w:adjustRightInd w:val="0"/>
              <w:snapToGrid w:val="0"/>
              <w:rPr>
                <w:rFonts w:ascii="宋体" w:hAnsi="宋体" w:eastAsia="宋体"/>
                <w:sz w:val="21"/>
                <w:szCs w:val="21"/>
              </w:rPr>
            </w:pPr>
            <w:r>
              <w:rPr>
                <w:rFonts w:hint="eastAsia" w:ascii="宋体" w:hAnsi="宋体" w:eastAsia="宋体"/>
                <w:sz w:val="21"/>
                <w:szCs w:val="21"/>
              </w:rPr>
              <w:t>环境保护法第四十七条规定，在发生或可能发生突发环境事件时，企业应当及时通报可能受到危害的单位和居民。备案管理办法第十条也提出了相应要求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36" w:hRule="atLeast"/>
          <w:jc w:val="center"/>
        </w:trPr>
        <w:tc>
          <w:tcPr>
            <w:tcW w:w="13781" w:type="dxa"/>
            <w:gridSpan w:val="8"/>
            <w:vAlign w:val="center"/>
          </w:tcPr>
          <w:p>
            <w:pPr>
              <w:adjustRightInd w:val="0"/>
              <w:snapToGrid w:val="0"/>
              <w:jc w:val="center"/>
              <w:rPr>
                <w:rFonts w:ascii="黑体" w:hAnsi="黑体" w:eastAsia="黑体"/>
                <w:sz w:val="21"/>
                <w:szCs w:val="21"/>
              </w:rPr>
            </w:pPr>
            <w:r>
              <w:rPr>
                <w:rFonts w:hint="eastAsia" w:ascii="黑体" w:hAnsi="黑体" w:eastAsia="黑体"/>
                <w:sz w:val="21"/>
                <w:szCs w:val="21"/>
              </w:rPr>
              <w:t>环境应急预案及相关文件的基本形式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02" w:hRule="atLeast"/>
          <w:jc w:val="center"/>
        </w:trPr>
        <w:tc>
          <w:tcPr>
            <w:tcW w:w="1134" w:type="dxa"/>
            <w:vMerge w:val="restart"/>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评审项目</w:t>
            </w:r>
          </w:p>
        </w:tc>
        <w:tc>
          <w:tcPr>
            <w:tcW w:w="5245" w:type="dxa"/>
            <w:gridSpan w:val="2"/>
            <w:vMerge w:val="restart"/>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评 审 指 标</w:t>
            </w:r>
          </w:p>
        </w:tc>
        <w:tc>
          <w:tcPr>
            <w:tcW w:w="2552" w:type="dxa"/>
            <w:gridSpan w:val="4"/>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评审意见</w:t>
            </w:r>
          </w:p>
        </w:tc>
        <w:tc>
          <w:tcPr>
            <w:tcW w:w="4850" w:type="dxa"/>
            <w:vMerge w:val="restart"/>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指 标 说 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21" w:hRule="atLeast"/>
          <w:jc w:val="center"/>
        </w:trPr>
        <w:tc>
          <w:tcPr>
            <w:tcW w:w="1134" w:type="dxa"/>
            <w:vMerge w:val="continue"/>
            <w:vAlign w:val="center"/>
          </w:tcPr>
          <w:p>
            <w:pPr>
              <w:adjustRightInd w:val="0"/>
              <w:snapToGrid w:val="0"/>
              <w:jc w:val="center"/>
              <w:rPr>
                <w:rFonts w:ascii="宋体" w:hAnsi="宋体" w:eastAsia="宋体"/>
                <w:sz w:val="21"/>
                <w:szCs w:val="21"/>
              </w:rPr>
            </w:pPr>
          </w:p>
        </w:tc>
        <w:tc>
          <w:tcPr>
            <w:tcW w:w="5245" w:type="dxa"/>
            <w:gridSpan w:val="2"/>
            <w:vMerge w:val="continue"/>
            <w:vAlign w:val="center"/>
          </w:tcPr>
          <w:p>
            <w:pPr>
              <w:adjustRightInd w:val="0"/>
              <w:snapToGrid w:val="0"/>
              <w:jc w:val="center"/>
              <w:rPr>
                <w:rFonts w:ascii="宋体" w:hAnsi="宋体" w:eastAsia="宋体"/>
                <w:sz w:val="21"/>
                <w:szCs w:val="21"/>
              </w:rPr>
            </w:pPr>
          </w:p>
        </w:tc>
        <w:tc>
          <w:tcPr>
            <w:tcW w:w="1276"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判定</w:t>
            </w:r>
          </w:p>
        </w:tc>
        <w:tc>
          <w:tcPr>
            <w:tcW w:w="567"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得分</w:t>
            </w:r>
          </w:p>
        </w:tc>
        <w:tc>
          <w:tcPr>
            <w:tcW w:w="70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说明</w:t>
            </w:r>
          </w:p>
        </w:tc>
        <w:tc>
          <w:tcPr>
            <w:tcW w:w="4850" w:type="dxa"/>
            <w:vMerge w:val="continue"/>
            <w:vAlign w:val="center"/>
          </w:tcPr>
          <w:p>
            <w:pPr>
              <w:adjustRightInd w:val="0"/>
              <w:snapToGrid w:val="0"/>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812" w:hRule="atLeast"/>
          <w:jc w:val="center"/>
        </w:trPr>
        <w:tc>
          <w:tcPr>
            <w:tcW w:w="1134"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封面目录</w:t>
            </w:r>
          </w:p>
        </w:tc>
        <w:tc>
          <w:tcPr>
            <w:tcW w:w="426" w:type="dxa"/>
            <w:vAlign w:val="center"/>
          </w:tcPr>
          <w:p>
            <w:pPr>
              <w:pStyle w:val="7"/>
              <w:keepNext/>
              <w:keepLines/>
              <w:adjustRightInd w:val="0"/>
              <w:snapToGrid w:val="0"/>
              <w:ind w:firstLine="0" w:firstLineChars="0"/>
              <w:jc w:val="center"/>
              <w:rPr>
                <w:rFonts w:ascii="宋体" w:hAnsi="宋体" w:eastAsia="宋体"/>
                <w:sz w:val="21"/>
                <w:szCs w:val="21"/>
                <w:vertAlign w:val="superscript"/>
              </w:rPr>
            </w:pPr>
            <w:r>
              <w:rPr>
                <w:rFonts w:hint="eastAsia" w:ascii="宋体" w:hAnsi="宋体" w:eastAsia="宋体"/>
                <w:sz w:val="21"/>
                <w:szCs w:val="21"/>
              </w:rPr>
              <w:t>1</w:t>
            </w:r>
            <w:r>
              <w:rPr>
                <w:rFonts w:hint="eastAsia" w:ascii="宋体" w:hAnsi="宋体" w:eastAsia="宋体"/>
                <w:sz w:val="21"/>
                <w:szCs w:val="21"/>
                <w:vertAlign w:val="superscript"/>
              </w:rPr>
              <w:t>a</w:t>
            </w:r>
          </w:p>
        </w:tc>
        <w:tc>
          <w:tcPr>
            <w:tcW w:w="4819" w:type="dxa"/>
            <w:vAlign w:val="center"/>
          </w:tcPr>
          <w:p>
            <w:pPr>
              <w:adjustRightInd w:val="0"/>
              <w:snapToGrid w:val="0"/>
              <w:rPr>
                <w:rFonts w:ascii="宋体" w:hAnsi="宋体" w:eastAsia="宋体"/>
                <w:sz w:val="21"/>
                <w:szCs w:val="21"/>
              </w:rPr>
            </w:pPr>
            <w:r>
              <w:rPr>
                <w:rFonts w:hint="eastAsia" w:ascii="宋体" w:hAnsi="宋体" w:eastAsia="宋体"/>
                <w:sz w:val="21"/>
                <w:szCs w:val="21"/>
              </w:rPr>
              <w:t>封面有环境应急预案、预案编制单位名称，预留正式发布预案的版本号、发布日期等设计；</w:t>
            </w:r>
          </w:p>
          <w:p>
            <w:pPr>
              <w:adjustRightInd w:val="0"/>
              <w:snapToGrid w:val="0"/>
              <w:rPr>
                <w:rFonts w:ascii="宋体" w:hAnsi="宋体" w:eastAsia="宋体"/>
                <w:sz w:val="21"/>
                <w:szCs w:val="21"/>
              </w:rPr>
            </w:pPr>
            <w:r>
              <w:rPr>
                <w:rFonts w:hint="eastAsia" w:ascii="宋体" w:hAnsi="宋体" w:eastAsia="宋体"/>
                <w:sz w:val="21"/>
                <w:szCs w:val="21"/>
              </w:rPr>
              <w:t>目录有编号、标题和页码，一般至少设置两级目录</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567" w:type="dxa"/>
            <w:vAlign w:val="top"/>
          </w:tcPr>
          <w:p>
            <w:pPr>
              <w:keepNext/>
              <w:keepLines/>
              <w:adjustRightInd w:val="0"/>
              <w:snapToGrid w:val="0"/>
              <w:rPr>
                <w:rFonts w:ascii="宋体" w:hAnsi="宋体" w:eastAsia="宋体"/>
                <w:sz w:val="21"/>
                <w:szCs w:val="21"/>
              </w:rPr>
            </w:pPr>
          </w:p>
        </w:tc>
        <w:tc>
          <w:tcPr>
            <w:tcW w:w="709" w:type="dxa"/>
            <w:gridSpan w:val="2"/>
            <w:vAlign w:val="top"/>
          </w:tcPr>
          <w:p>
            <w:pPr>
              <w:keepNext/>
              <w:keepLines/>
              <w:adjustRightInd w:val="0"/>
              <w:snapToGrid w:val="0"/>
              <w:rPr>
                <w:rFonts w:ascii="宋体" w:hAnsi="宋体" w:eastAsia="宋体"/>
                <w:sz w:val="21"/>
                <w:szCs w:val="21"/>
              </w:rPr>
            </w:pPr>
          </w:p>
        </w:tc>
        <w:tc>
          <w:tcPr>
            <w:tcW w:w="4850" w:type="dxa"/>
            <w:vAlign w:val="center"/>
          </w:tcPr>
          <w:p>
            <w:pPr>
              <w:adjustRightInd w:val="0"/>
              <w:snapToGrid w:val="0"/>
              <w:rPr>
                <w:rFonts w:ascii="宋体" w:hAnsi="宋体" w:eastAsia="宋体"/>
                <w:sz w:val="21"/>
                <w:szCs w:val="21"/>
              </w:rPr>
            </w:pPr>
            <w:r>
              <w:rPr>
                <w:rFonts w:hint="eastAsia" w:ascii="宋体" w:hAnsi="宋体" w:eastAsia="宋体"/>
                <w:sz w:val="21"/>
                <w:szCs w:val="21"/>
              </w:rPr>
              <w:t>预案版本号指为便于索引、回溯而在发布时赋予预案的标识号，企业可以按照内部技术文件版本号管理要求执行；</w:t>
            </w:r>
          </w:p>
          <w:p>
            <w:pPr>
              <w:adjustRightInd w:val="0"/>
              <w:snapToGrid w:val="0"/>
              <w:rPr>
                <w:rFonts w:ascii="宋体" w:hAnsi="宋体" w:eastAsia="宋体"/>
                <w:sz w:val="21"/>
                <w:szCs w:val="21"/>
              </w:rPr>
            </w:pPr>
            <w:r>
              <w:rPr>
                <w:rFonts w:hint="eastAsia" w:ascii="宋体" w:hAnsi="宋体" w:eastAsia="宋体"/>
                <w:sz w:val="21"/>
                <w:szCs w:val="21"/>
              </w:rPr>
              <w:t>预案各章节可以有多级标题，但在目录中至少列出两级标题，便于查找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951" w:hRule="atLeast"/>
          <w:jc w:val="center"/>
        </w:trPr>
        <w:tc>
          <w:tcPr>
            <w:tcW w:w="1134"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结构</w:t>
            </w:r>
          </w:p>
        </w:tc>
        <w:tc>
          <w:tcPr>
            <w:tcW w:w="426" w:type="dxa"/>
            <w:vAlign w:val="center"/>
          </w:tcPr>
          <w:p>
            <w:pPr>
              <w:pStyle w:val="7"/>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2</w:t>
            </w:r>
            <w:r>
              <w:rPr>
                <w:rFonts w:hint="eastAsia" w:ascii="宋体" w:hAnsi="宋体" w:eastAsia="宋体"/>
                <w:sz w:val="21"/>
                <w:szCs w:val="21"/>
                <w:vertAlign w:val="superscript"/>
              </w:rPr>
              <w:t>a</w:t>
            </w:r>
          </w:p>
        </w:tc>
        <w:tc>
          <w:tcPr>
            <w:tcW w:w="4819" w:type="dxa"/>
            <w:vAlign w:val="center"/>
          </w:tcPr>
          <w:p>
            <w:pPr>
              <w:adjustRightInd w:val="0"/>
              <w:snapToGrid w:val="0"/>
              <w:rPr>
                <w:rFonts w:ascii="宋体" w:hAnsi="宋体" w:eastAsia="宋体"/>
                <w:sz w:val="21"/>
                <w:szCs w:val="21"/>
              </w:rPr>
            </w:pPr>
            <w:r>
              <w:rPr>
                <w:rFonts w:hint="eastAsia" w:ascii="宋体" w:hAnsi="宋体" w:eastAsia="宋体"/>
                <w:sz w:val="21"/>
                <w:szCs w:val="21"/>
              </w:rPr>
              <w:t>结构完整，格式规范</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567" w:type="dxa"/>
            <w:vAlign w:val="top"/>
          </w:tcPr>
          <w:p>
            <w:pPr>
              <w:keepNext/>
              <w:keepLines/>
              <w:adjustRightInd w:val="0"/>
              <w:snapToGrid w:val="0"/>
              <w:rPr>
                <w:rFonts w:ascii="宋体" w:hAnsi="宋体" w:eastAsia="宋体"/>
                <w:sz w:val="21"/>
                <w:szCs w:val="21"/>
              </w:rPr>
            </w:pPr>
          </w:p>
        </w:tc>
        <w:tc>
          <w:tcPr>
            <w:tcW w:w="709" w:type="dxa"/>
            <w:gridSpan w:val="2"/>
            <w:vAlign w:val="top"/>
          </w:tcPr>
          <w:p>
            <w:pPr>
              <w:keepNext/>
              <w:keepLines/>
              <w:adjustRightInd w:val="0"/>
              <w:snapToGrid w:val="0"/>
              <w:rPr>
                <w:rFonts w:ascii="宋体" w:hAnsi="宋体" w:eastAsia="宋体"/>
                <w:sz w:val="21"/>
                <w:szCs w:val="21"/>
              </w:rPr>
            </w:pPr>
          </w:p>
        </w:tc>
        <w:tc>
          <w:tcPr>
            <w:tcW w:w="4850" w:type="dxa"/>
            <w:vAlign w:val="center"/>
          </w:tcPr>
          <w:p>
            <w:pPr>
              <w:adjustRightInd w:val="0"/>
              <w:snapToGrid w:val="0"/>
              <w:rPr>
                <w:rFonts w:ascii="宋体" w:hAnsi="宋体" w:eastAsia="宋体"/>
                <w:sz w:val="21"/>
                <w:szCs w:val="21"/>
              </w:rPr>
            </w:pPr>
            <w:r>
              <w:rPr>
                <w:rFonts w:hint="eastAsia" w:ascii="宋体" w:hAnsi="宋体" w:eastAsia="宋体"/>
                <w:sz w:val="21"/>
                <w:szCs w:val="21"/>
              </w:rPr>
              <w:t>结构完整指预案文件布局合理、层次分明，无错漏章节、段落；正文对附件的引用、说明等，与附件索引、附件一致；</w:t>
            </w:r>
          </w:p>
          <w:p>
            <w:pPr>
              <w:adjustRightInd w:val="0"/>
              <w:snapToGrid w:val="0"/>
              <w:rPr>
                <w:rFonts w:ascii="宋体" w:hAnsi="宋体" w:eastAsia="宋体"/>
                <w:sz w:val="21"/>
                <w:szCs w:val="21"/>
              </w:rPr>
            </w:pPr>
            <w:r>
              <w:rPr>
                <w:rFonts w:hint="eastAsia" w:ascii="宋体" w:hAnsi="宋体" w:eastAsia="宋体"/>
                <w:sz w:val="21"/>
                <w:szCs w:val="21"/>
              </w:rPr>
              <w:t>格式规范指预案文件符合企业内部公文格式标准，或文件字体、字号、版式、层次等遵循一定的规范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2803" w:hRule="atLeast"/>
          <w:jc w:val="center"/>
        </w:trPr>
        <w:tc>
          <w:tcPr>
            <w:tcW w:w="1134"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行文</w:t>
            </w:r>
          </w:p>
        </w:tc>
        <w:tc>
          <w:tcPr>
            <w:tcW w:w="426" w:type="dxa"/>
            <w:vAlign w:val="center"/>
          </w:tcPr>
          <w:p>
            <w:pPr>
              <w:pStyle w:val="7"/>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3</w:t>
            </w:r>
            <w:r>
              <w:rPr>
                <w:rFonts w:hint="eastAsia" w:ascii="宋体" w:hAnsi="宋体" w:eastAsia="宋体"/>
                <w:sz w:val="21"/>
                <w:szCs w:val="21"/>
                <w:vertAlign w:val="superscript"/>
              </w:rPr>
              <w:t>a</w:t>
            </w:r>
          </w:p>
        </w:tc>
        <w:tc>
          <w:tcPr>
            <w:tcW w:w="4819" w:type="dxa"/>
            <w:vAlign w:val="center"/>
          </w:tcPr>
          <w:p>
            <w:pPr>
              <w:adjustRightInd w:val="0"/>
              <w:snapToGrid w:val="0"/>
              <w:rPr>
                <w:rFonts w:ascii="宋体" w:hAnsi="宋体" w:eastAsia="宋体"/>
                <w:sz w:val="21"/>
                <w:szCs w:val="21"/>
              </w:rPr>
            </w:pPr>
            <w:r>
              <w:rPr>
                <w:rFonts w:hint="eastAsia" w:ascii="宋体" w:hAnsi="宋体" w:eastAsia="宋体"/>
                <w:sz w:val="21"/>
                <w:szCs w:val="21"/>
              </w:rPr>
              <w:t>文字准确，语言通顺，内容简明</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567" w:type="dxa"/>
            <w:vAlign w:val="top"/>
          </w:tcPr>
          <w:p>
            <w:pPr>
              <w:keepNext/>
              <w:keepLines/>
              <w:adjustRightInd w:val="0"/>
              <w:snapToGrid w:val="0"/>
              <w:rPr>
                <w:rFonts w:ascii="宋体" w:hAnsi="宋体" w:eastAsia="宋体"/>
                <w:sz w:val="21"/>
                <w:szCs w:val="21"/>
              </w:rPr>
            </w:pPr>
          </w:p>
        </w:tc>
        <w:tc>
          <w:tcPr>
            <w:tcW w:w="709" w:type="dxa"/>
            <w:gridSpan w:val="2"/>
            <w:vAlign w:val="top"/>
          </w:tcPr>
          <w:p>
            <w:pPr>
              <w:keepNext/>
              <w:keepLines/>
              <w:adjustRightInd w:val="0"/>
              <w:snapToGrid w:val="0"/>
              <w:rPr>
                <w:rFonts w:ascii="宋体" w:hAnsi="宋体" w:eastAsia="宋体"/>
                <w:sz w:val="21"/>
                <w:szCs w:val="21"/>
              </w:rPr>
            </w:pPr>
          </w:p>
        </w:tc>
        <w:tc>
          <w:tcPr>
            <w:tcW w:w="4850" w:type="dxa"/>
            <w:vAlign w:val="center"/>
          </w:tcPr>
          <w:p>
            <w:pPr>
              <w:adjustRightInd w:val="0"/>
              <w:snapToGrid w:val="0"/>
              <w:rPr>
                <w:rFonts w:ascii="宋体" w:hAnsi="宋体" w:eastAsia="宋体"/>
                <w:sz w:val="21"/>
                <w:szCs w:val="21"/>
              </w:rPr>
            </w:pPr>
            <w:r>
              <w:rPr>
                <w:rFonts w:hint="eastAsia" w:ascii="宋体" w:hAnsi="宋体" w:eastAsia="宋体"/>
                <w:sz w:val="21"/>
                <w:szCs w:val="21"/>
              </w:rPr>
              <w:t>文字准确是指无明显错别字、多字、漏字、语句错误、数据错误、时间错误等现象；</w:t>
            </w:r>
          </w:p>
          <w:p>
            <w:pPr>
              <w:adjustRightInd w:val="0"/>
              <w:snapToGrid w:val="0"/>
              <w:rPr>
                <w:rFonts w:ascii="宋体" w:hAnsi="宋体" w:eastAsia="宋体"/>
                <w:sz w:val="21"/>
                <w:szCs w:val="21"/>
              </w:rPr>
            </w:pPr>
            <w:r>
              <w:rPr>
                <w:rFonts w:hint="eastAsia" w:ascii="宋体" w:hAnsi="宋体" w:eastAsia="宋体"/>
                <w:sz w:val="21"/>
                <w:szCs w:val="21"/>
              </w:rPr>
              <w:t>语言通顺是指语言规范、连贯、易懂，合乎事理逻辑，关键内容不会产生歧义等；</w:t>
            </w:r>
          </w:p>
          <w:p>
            <w:pPr>
              <w:adjustRightInd w:val="0"/>
              <w:snapToGrid w:val="0"/>
              <w:rPr>
                <w:rFonts w:ascii="宋体" w:hAnsi="宋体" w:eastAsia="宋体"/>
                <w:sz w:val="21"/>
                <w:szCs w:val="21"/>
              </w:rPr>
            </w:pPr>
            <w:r>
              <w:rPr>
                <w:rFonts w:hint="eastAsia" w:ascii="宋体" w:hAnsi="宋体" w:eastAsia="宋体"/>
                <w:sz w:val="21"/>
                <w:szCs w:val="21"/>
              </w:rPr>
              <w:t>内容简明是指环境应急预案、环境风险评估报告、环境应急资源调查报告独立成文，预案正文和附件内容分配合理，应对措施等重点信息容易找到，内容上无简单重复、大量互相引用等现象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97" w:hRule="atLeast"/>
          <w:jc w:val="center"/>
        </w:trPr>
        <w:tc>
          <w:tcPr>
            <w:tcW w:w="13781" w:type="dxa"/>
            <w:gridSpan w:val="8"/>
            <w:vAlign w:val="center"/>
          </w:tcPr>
          <w:p>
            <w:pPr>
              <w:adjustRightInd w:val="0"/>
              <w:snapToGrid w:val="0"/>
              <w:jc w:val="center"/>
              <w:rPr>
                <w:rFonts w:ascii="黑体" w:hAnsi="黑体" w:eastAsia="黑体"/>
                <w:sz w:val="21"/>
                <w:szCs w:val="21"/>
                <w:highlight w:val="yellow"/>
              </w:rPr>
            </w:pPr>
            <w:r>
              <w:rPr>
                <w:rFonts w:hint="eastAsia" w:ascii="黑体" w:hAnsi="黑体" w:eastAsia="黑体"/>
                <w:sz w:val="21"/>
                <w:szCs w:val="21"/>
              </w:rPr>
              <w:t>环境应急预案编制说明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03" w:hRule="atLeast"/>
          <w:jc w:val="center"/>
        </w:trPr>
        <w:tc>
          <w:tcPr>
            <w:tcW w:w="1134"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过程说明</w:t>
            </w:r>
          </w:p>
        </w:tc>
        <w:tc>
          <w:tcPr>
            <w:tcW w:w="426" w:type="dxa"/>
            <w:vAlign w:val="center"/>
          </w:tcPr>
          <w:p>
            <w:pPr>
              <w:pStyle w:val="7"/>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4</w:t>
            </w:r>
            <w:r>
              <w:rPr>
                <w:rFonts w:hint="eastAsia" w:ascii="宋体" w:hAnsi="宋体" w:eastAsia="宋体"/>
                <w:sz w:val="21"/>
                <w:szCs w:val="21"/>
                <w:vertAlign w:val="superscript"/>
              </w:rPr>
              <w:t>a</w:t>
            </w:r>
          </w:p>
        </w:tc>
        <w:tc>
          <w:tcPr>
            <w:tcW w:w="4819" w:type="dxa"/>
            <w:vAlign w:val="center"/>
          </w:tcPr>
          <w:p>
            <w:pPr>
              <w:adjustRightInd w:val="0"/>
              <w:snapToGrid w:val="0"/>
              <w:rPr>
                <w:rFonts w:ascii="宋体" w:hAnsi="宋体" w:eastAsia="宋体"/>
                <w:sz w:val="21"/>
                <w:szCs w:val="21"/>
              </w:rPr>
            </w:pPr>
            <w:r>
              <w:rPr>
                <w:rFonts w:hint="eastAsia" w:ascii="宋体" w:hAnsi="宋体" w:eastAsia="宋体"/>
                <w:sz w:val="21"/>
                <w:szCs w:val="21"/>
              </w:rPr>
              <w:t>说清预案编修过程</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highlight w:val="yellow"/>
              </w:rPr>
            </w:pPr>
            <w:r>
              <w:rPr>
                <w:rFonts w:hint="eastAsia" w:ascii="宋体" w:hAnsi="宋体" w:eastAsia="宋体"/>
                <w:sz w:val="21"/>
                <w:szCs w:val="21"/>
              </w:rPr>
              <w:t>□不符合</w:t>
            </w:r>
          </w:p>
        </w:tc>
        <w:tc>
          <w:tcPr>
            <w:tcW w:w="567" w:type="dxa"/>
            <w:vAlign w:val="top"/>
          </w:tcPr>
          <w:p>
            <w:pPr>
              <w:keepNext/>
              <w:keepLines/>
              <w:adjustRightInd w:val="0"/>
              <w:snapToGrid w:val="0"/>
              <w:rPr>
                <w:rFonts w:ascii="宋体" w:hAnsi="宋体" w:eastAsia="宋体"/>
                <w:sz w:val="21"/>
                <w:szCs w:val="21"/>
                <w:highlight w:val="yellow"/>
              </w:rPr>
            </w:pPr>
          </w:p>
        </w:tc>
        <w:tc>
          <w:tcPr>
            <w:tcW w:w="709" w:type="dxa"/>
            <w:gridSpan w:val="2"/>
            <w:vAlign w:val="top"/>
          </w:tcPr>
          <w:p>
            <w:pPr>
              <w:keepNext/>
              <w:keepLines/>
              <w:adjustRightInd w:val="0"/>
              <w:snapToGrid w:val="0"/>
              <w:rPr>
                <w:rFonts w:ascii="宋体" w:hAnsi="宋体" w:eastAsia="宋体"/>
                <w:sz w:val="21"/>
                <w:szCs w:val="21"/>
                <w:highlight w:val="yellow"/>
              </w:rPr>
            </w:pPr>
          </w:p>
        </w:tc>
        <w:tc>
          <w:tcPr>
            <w:tcW w:w="4850" w:type="dxa"/>
            <w:vAlign w:val="center"/>
          </w:tcPr>
          <w:p>
            <w:pPr>
              <w:adjustRightInd w:val="0"/>
              <w:snapToGrid w:val="0"/>
              <w:rPr>
                <w:rFonts w:ascii="宋体" w:hAnsi="宋体" w:eastAsia="宋体"/>
                <w:sz w:val="21"/>
                <w:szCs w:val="21"/>
                <w:highlight w:val="yellow"/>
              </w:rPr>
            </w:pPr>
            <w:r>
              <w:rPr>
                <w:rFonts w:hint="eastAsia" w:ascii="宋体" w:hAnsi="宋体" w:eastAsia="宋体"/>
                <w:sz w:val="21"/>
                <w:szCs w:val="21"/>
              </w:rPr>
              <w:t>编制过程主要包括成立环境应急预案编制工作组、开展环境风险评估和环境应急资源调查、征求关键岗位员工和可能受影响的居民、单位代表的意见、组织对预案内容进行推演等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03" w:hRule="atLeast"/>
          <w:jc w:val="center"/>
        </w:trPr>
        <w:tc>
          <w:tcPr>
            <w:tcW w:w="1134"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问题说明</w:t>
            </w:r>
          </w:p>
        </w:tc>
        <w:tc>
          <w:tcPr>
            <w:tcW w:w="426" w:type="dxa"/>
            <w:vAlign w:val="center"/>
          </w:tcPr>
          <w:p>
            <w:pPr>
              <w:pStyle w:val="7"/>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5</w:t>
            </w:r>
            <w:r>
              <w:rPr>
                <w:rFonts w:hint="eastAsia" w:ascii="宋体" w:hAnsi="宋体" w:eastAsia="宋体"/>
                <w:sz w:val="21"/>
                <w:szCs w:val="21"/>
                <w:vertAlign w:val="superscript"/>
              </w:rPr>
              <w:t>a</w:t>
            </w:r>
          </w:p>
        </w:tc>
        <w:tc>
          <w:tcPr>
            <w:tcW w:w="4819" w:type="dxa"/>
            <w:vAlign w:val="center"/>
          </w:tcPr>
          <w:p>
            <w:pPr>
              <w:adjustRightInd w:val="0"/>
              <w:snapToGrid w:val="0"/>
              <w:rPr>
                <w:rFonts w:ascii="宋体" w:hAnsi="宋体" w:eastAsia="宋体"/>
                <w:spacing w:val="-2"/>
                <w:sz w:val="21"/>
                <w:szCs w:val="21"/>
              </w:rPr>
            </w:pPr>
            <w:r>
              <w:rPr>
                <w:rFonts w:hint="eastAsia" w:ascii="宋体" w:hAnsi="宋体" w:eastAsia="宋体"/>
                <w:spacing w:val="-2"/>
                <w:sz w:val="21"/>
                <w:szCs w:val="21"/>
              </w:rPr>
              <w:t>说明意见建议及采纳情况、演练暴露问题及解决措施</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567" w:type="dxa"/>
            <w:vAlign w:val="top"/>
          </w:tcPr>
          <w:p>
            <w:pPr>
              <w:keepNext/>
              <w:keepLines/>
              <w:adjustRightInd w:val="0"/>
              <w:snapToGrid w:val="0"/>
              <w:rPr>
                <w:rFonts w:ascii="宋体" w:hAnsi="宋体" w:eastAsia="宋体"/>
                <w:sz w:val="21"/>
                <w:szCs w:val="21"/>
              </w:rPr>
            </w:pPr>
          </w:p>
        </w:tc>
        <w:tc>
          <w:tcPr>
            <w:tcW w:w="709" w:type="dxa"/>
            <w:gridSpan w:val="2"/>
            <w:vAlign w:val="top"/>
          </w:tcPr>
          <w:p>
            <w:pPr>
              <w:keepNext/>
              <w:keepLines/>
              <w:adjustRightInd w:val="0"/>
              <w:snapToGrid w:val="0"/>
              <w:rPr>
                <w:rFonts w:ascii="宋体" w:hAnsi="宋体" w:eastAsia="宋体"/>
                <w:sz w:val="21"/>
                <w:szCs w:val="21"/>
              </w:rPr>
            </w:pPr>
          </w:p>
        </w:tc>
        <w:tc>
          <w:tcPr>
            <w:tcW w:w="4850" w:type="dxa"/>
            <w:vAlign w:val="center"/>
          </w:tcPr>
          <w:p>
            <w:pPr>
              <w:adjustRightInd w:val="0"/>
              <w:snapToGrid w:val="0"/>
              <w:rPr>
                <w:rFonts w:ascii="宋体" w:hAnsi="宋体" w:eastAsia="宋体"/>
                <w:sz w:val="21"/>
                <w:szCs w:val="21"/>
              </w:rPr>
            </w:pPr>
            <w:r>
              <w:rPr>
                <w:rFonts w:hint="eastAsia" w:ascii="宋体" w:hAnsi="宋体" w:eastAsia="宋体"/>
                <w:sz w:val="21"/>
                <w:szCs w:val="21"/>
              </w:rPr>
              <w:t>一般应有意见建议清单，并说明采纳情况及未采纳理由；演练（一般为检验性的桌面推演）暴露问题清单及解决措施，并体现在预案中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41" w:hRule="atLeast"/>
          <w:jc w:val="center"/>
        </w:trPr>
        <w:tc>
          <w:tcPr>
            <w:tcW w:w="13781" w:type="dxa"/>
            <w:gridSpan w:val="8"/>
            <w:vAlign w:val="center"/>
          </w:tcPr>
          <w:p>
            <w:pPr>
              <w:adjustRightInd w:val="0"/>
              <w:snapToGrid w:val="0"/>
              <w:jc w:val="center"/>
              <w:rPr>
                <w:rFonts w:ascii="黑体" w:hAnsi="黑体" w:eastAsia="黑体"/>
                <w:sz w:val="21"/>
                <w:szCs w:val="21"/>
              </w:rPr>
            </w:pPr>
            <w:r>
              <w:rPr>
                <w:rFonts w:hint="eastAsia" w:ascii="黑体" w:hAnsi="黑体" w:eastAsia="黑体"/>
                <w:sz w:val="21"/>
                <w:szCs w:val="21"/>
              </w:rPr>
              <w:t>环境应急预案文本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330" w:hRule="atLeast"/>
          <w:jc w:val="center"/>
        </w:trPr>
        <w:tc>
          <w:tcPr>
            <w:tcW w:w="1134"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编制目的</w:t>
            </w:r>
          </w:p>
        </w:tc>
        <w:tc>
          <w:tcPr>
            <w:tcW w:w="426" w:type="dxa"/>
            <w:vAlign w:val="center"/>
          </w:tcPr>
          <w:p>
            <w:pPr>
              <w:pStyle w:val="7"/>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6</w:t>
            </w:r>
          </w:p>
        </w:tc>
        <w:tc>
          <w:tcPr>
            <w:tcW w:w="4819" w:type="dxa"/>
            <w:vAlign w:val="center"/>
          </w:tcPr>
          <w:p>
            <w:pPr>
              <w:adjustRightInd w:val="0"/>
              <w:snapToGrid w:val="0"/>
              <w:jc w:val="left"/>
              <w:rPr>
                <w:rFonts w:ascii="宋体" w:hAnsi="宋体" w:eastAsia="宋体"/>
                <w:spacing w:val="-2"/>
                <w:sz w:val="21"/>
                <w:szCs w:val="21"/>
              </w:rPr>
            </w:pPr>
            <w:r>
              <w:rPr>
                <w:rFonts w:hint="eastAsia" w:ascii="宋体" w:hAnsi="宋体" w:eastAsia="宋体"/>
                <w:spacing w:val="-2"/>
                <w:sz w:val="21"/>
                <w:szCs w:val="21"/>
              </w:rPr>
              <w:t>体现：规范事发后的应对工作，提高事件应对能力，避免或减轻事件影响，加强企业与政府应对工作衔接</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Merge w:val="restart"/>
            <w:vAlign w:val="top"/>
          </w:tcPr>
          <w:p>
            <w:pPr>
              <w:adjustRightInd w:val="0"/>
              <w:snapToGrid w:val="0"/>
              <w:rPr>
                <w:rFonts w:ascii="宋体" w:hAnsi="宋体" w:eastAsia="宋体"/>
                <w:sz w:val="21"/>
                <w:szCs w:val="21"/>
              </w:rPr>
            </w:pPr>
            <w:r>
              <w:rPr>
                <w:rFonts w:hint="eastAsia" w:ascii="宋体" w:hAnsi="宋体" w:eastAsia="宋体"/>
                <w:sz w:val="21"/>
                <w:szCs w:val="21"/>
              </w:rPr>
              <w:t>此三项为预案的总纲。</w:t>
            </w: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hint="eastAsia" w:ascii="宋体" w:hAnsi="宋体" w:eastAsia="宋体"/>
                <w:sz w:val="21"/>
                <w:szCs w:val="21"/>
              </w:rPr>
              <w:t>关于“规范事发后的应对工作”，《突发事件应急预案管理办法》强调应急预案重在“应对”，适当向前延伸至“预警”，向后延伸至“恢复”。关于“加强企业与政府应对衔接”，根据备案管理办法，实行企业环境应急预案备案管理，其中一个重要作用是环保部门收集信息，服务于政府环境应急预案编修；另外，由于权限、职责、工作范围的不同，企业环境应急预案应该在指挥、措施、程序等方面留有“接口”，确保与政府预案有机衔接。</w:t>
            </w: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r>
              <w:rPr>
                <w:rFonts w:hint="eastAsia" w:ascii="宋体" w:hAnsi="宋体" w:eastAsia="宋体"/>
                <w:sz w:val="21"/>
                <w:szCs w:val="21"/>
              </w:rPr>
              <w:t>适用主体，指组织实施预案的责任单位；地理或管理范围，如某公司内、某公司及周边环境敏感区域内；事件类别，如生产废水事故排放、化学品泄漏、燃烧或爆炸次生环境事件等；工作内容，可包括预警、处置、监测等。</w:t>
            </w:r>
          </w:p>
          <w:p>
            <w:pPr>
              <w:adjustRightInd w:val="0"/>
              <w:snapToGrid w:val="0"/>
              <w:rPr>
                <w:rFonts w:ascii="宋体" w:hAnsi="宋体" w:eastAsia="宋体"/>
                <w:sz w:val="21"/>
                <w:szCs w:val="21"/>
              </w:rPr>
            </w:pPr>
            <w:r>
              <w:rPr>
                <w:rFonts w:hint="eastAsia" w:ascii="宋体" w:hAnsi="宋体" w:eastAsia="宋体"/>
                <w:sz w:val="21"/>
                <w:szCs w:val="21"/>
              </w:rPr>
              <w:t>坚持环境优先，是因为环境一旦受到污染，修复难度大且成本高；应急工作与岗位职责相结合，强调应急任务要细化落实到具体工作岗位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907" w:hRule="atLeast"/>
          <w:jc w:val="center"/>
        </w:trPr>
        <w:tc>
          <w:tcPr>
            <w:tcW w:w="1134"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适用范围</w:t>
            </w:r>
          </w:p>
        </w:tc>
        <w:tc>
          <w:tcPr>
            <w:tcW w:w="426" w:type="dxa"/>
            <w:vAlign w:val="center"/>
          </w:tcPr>
          <w:p>
            <w:pPr>
              <w:pStyle w:val="7"/>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7</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明确：预案适用的主体、地理或管理范围、事件类别、工作内容</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Merge w:val="continue"/>
            <w:vAlign w:val="top"/>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907" w:hRule="atLeast"/>
          <w:jc w:val="center"/>
        </w:trPr>
        <w:tc>
          <w:tcPr>
            <w:tcW w:w="1134"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工作原则</w:t>
            </w:r>
          </w:p>
        </w:tc>
        <w:tc>
          <w:tcPr>
            <w:tcW w:w="426" w:type="dxa"/>
            <w:vAlign w:val="center"/>
          </w:tcPr>
          <w:p>
            <w:pPr>
              <w:pStyle w:val="7"/>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8</w:t>
            </w:r>
          </w:p>
        </w:tc>
        <w:tc>
          <w:tcPr>
            <w:tcW w:w="4819" w:type="dxa"/>
            <w:vAlign w:val="center"/>
          </w:tcPr>
          <w:p>
            <w:pPr>
              <w:adjustRightInd w:val="0"/>
              <w:snapToGrid w:val="0"/>
              <w:jc w:val="left"/>
              <w:rPr>
                <w:rFonts w:ascii="宋体" w:hAnsi="宋体" w:eastAsia="宋体"/>
                <w:spacing w:val="-2"/>
                <w:sz w:val="21"/>
                <w:szCs w:val="21"/>
              </w:rPr>
            </w:pPr>
            <w:r>
              <w:rPr>
                <w:rFonts w:hint="eastAsia" w:ascii="宋体" w:hAnsi="宋体" w:eastAsia="宋体"/>
                <w:spacing w:val="-2"/>
                <w:sz w:val="21"/>
                <w:szCs w:val="21"/>
              </w:rPr>
              <w:t>体现：符合国家有关规定和要求，结合本单位实际；救人第一、环境优先；先期处置、防止危害扩大；快速响应、科学应对；应急工作与岗位职责相结合等</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Merge w:val="continue"/>
            <w:vAlign w:val="top"/>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3103" w:hRule="atLeast"/>
          <w:jc w:val="center"/>
        </w:trPr>
        <w:tc>
          <w:tcPr>
            <w:tcW w:w="1134" w:type="dxa"/>
            <w:vMerge w:val="restart"/>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应急预案</w:t>
            </w:r>
          </w:p>
          <w:p>
            <w:pPr>
              <w:adjustRightInd w:val="0"/>
              <w:snapToGrid w:val="0"/>
              <w:jc w:val="center"/>
              <w:rPr>
                <w:rFonts w:ascii="宋体" w:hAnsi="宋体" w:eastAsia="宋体"/>
                <w:sz w:val="21"/>
                <w:szCs w:val="21"/>
              </w:rPr>
            </w:pPr>
            <w:r>
              <w:rPr>
                <w:rFonts w:hint="eastAsia" w:ascii="宋体" w:hAnsi="宋体" w:eastAsia="宋体"/>
                <w:sz w:val="21"/>
                <w:szCs w:val="21"/>
              </w:rPr>
              <w:t>体系</w:t>
            </w:r>
          </w:p>
        </w:tc>
        <w:tc>
          <w:tcPr>
            <w:tcW w:w="426" w:type="dxa"/>
            <w:vAlign w:val="center"/>
          </w:tcPr>
          <w:p>
            <w:pPr>
              <w:pStyle w:val="7"/>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9</w:t>
            </w:r>
            <w:r>
              <w:rPr>
                <w:rFonts w:hint="eastAsia" w:ascii="宋体" w:hAnsi="宋体" w:eastAsia="宋体"/>
                <w:sz w:val="21"/>
                <w:szCs w:val="21"/>
                <w:vertAlign w:val="superscript"/>
              </w:rPr>
              <w:t>b</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以预案关系图的形式，说明本预案的组成及其组成之间的关系、与生产安全事故预案等其他预案的衔接关系、与地方人民政府环境应急预案的衔接关系，辅以必要的重点内容说明</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keepNext/>
              <w:keepLines/>
              <w:adjustRightInd w:val="0"/>
              <w:snapToGrid w:val="0"/>
              <w:rPr>
                <w:rFonts w:ascii="宋体" w:hAnsi="宋体" w:eastAsia="宋体"/>
                <w:sz w:val="21"/>
                <w:szCs w:val="21"/>
              </w:rPr>
            </w:pPr>
          </w:p>
        </w:tc>
        <w:tc>
          <w:tcPr>
            <w:tcW w:w="669" w:type="dxa"/>
            <w:vAlign w:val="top"/>
          </w:tcPr>
          <w:p>
            <w:pPr>
              <w:keepNext/>
              <w:keepLines/>
              <w:adjustRightInd w:val="0"/>
              <w:snapToGrid w:val="0"/>
              <w:rPr>
                <w:rFonts w:ascii="宋体" w:hAnsi="宋体" w:eastAsia="宋体"/>
                <w:sz w:val="21"/>
                <w:szCs w:val="21"/>
              </w:rPr>
            </w:pPr>
          </w:p>
        </w:tc>
        <w:tc>
          <w:tcPr>
            <w:tcW w:w="4850" w:type="dxa"/>
            <w:vMerge w:val="restart"/>
            <w:vAlign w:val="top"/>
          </w:tcPr>
          <w:p>
            <w:pPr>
              <w:adjustRightInd w:val="0"/>
              <w:snapToGrid w:val="0"/>
              <w:rPr>
                <w:rFonts w:hint="eastAsia" w:ascii="宋体" w:hAnsi="宋体" w:eastAsia="宋体"/>
                <w:sz w:val="21"/>
                <w:szCs w:val="21"/>
              </w:rPr>
            </w:pPr>
            <w:r>
              <w:rPr>
                <w:rFonts w:hint="eastAsia" w:ascii="宋体" w:hAnsi="宋体" w:eastAsia="宋体"/>
                <w:sz w:val="21"/>
                <w:szCs w:val="21"/>
              </w:rPr>
              <w:t>本项目的三项指标，主要考察企业在环境应急预案编制过程中能否清晰把握预案体系。具体衔接方式、内容在应对流程和措施等部分体现。</w:t>
            </w:r>
          </w:p>
          <w:p>
            <w:pPr>
              <w:adjustRightInd w:val="0"/>
              <w:snapToGrid w:val="0"/>
              <w:rPr>
                <w:rFonts w:hint="eastAsia" w:ascii="宋体" w:hAnsi="宋体" w:eastAsia="宋体"/>
                <w:sz w:val="21"/>
                <w:szCs w:val="21"/>
              </w:rPr>
            </w:pPr>
            <w:r>
              <w:rPr>
                <w:rFonts w:hint="eastAsia" w:ascii="宋体" w:hAnsi="宋体" w:eastAsia="宋体"/>
                <w:sz w:val="21"/>
                <w:szCs w:val="21"/>
              </w:rPr>
              <w:t>有的企业环境应急预案包括综合预案、专项预案、现场预案或其他组成，应说明这些组成之间的衔接关系，确保各个组成清晰界定、有机衔接。企业环境应急预案一般应以现场处置预案为主，有针对性地提出各类事件情景下的污染防控措施，明确责任人员、工作流程、具体措施，落实到应急处置卡上。确需分类编制的，综合预案侧重明确应对原则、组织机构与职责、基本程序与要求，说明预案体系构成；专项预案侧重针对某一类事件，明确应急程序和处置措施。如不涉及以上情况，可以说明预案的主体框架。</w:t>
            </w:r>
          </w:p>
          <w:p>
            <w:pPr>
              <w:adjustRightInd w:val="0"/>
              <w:snapToGrid w:val="0"/>
              <w:rPr>
                <w:rFonts w:hint="eastAsia" w:ascii="宋体" w:hAnsi="宋体" w:eastAsia="宋体"/>
                <w:sz w:val="21"/>
                <w:szCs w:val="21"/>
              </w:rPr>
            </w:pPr>
            <w:r>
              <w:rPr>
                <w:rFonts w:hint="eastAsia" w:ascii="宋体" w:hAnsi="宋体" w:eastAsia="宋体"/>
                <w:sz w:val="21"/>
                <w:szCs w:val="21"/>
              </w:rPr>
              <w:t>环境应急预案定位于控制并减轻、消除污染，与企业内部生产安全事故预案等其他预案清晰界定、相互支持。</w:t>
            </w:r>
          </w:p>
          <w:p>
            <w:pPr>
              <w:adjustRightInd w:val="0"/>
              <w:snapToGrid w:val="0"/>
              <w:rPr>
                <w:rFonts w:ascii="宋体" w:hAnsi="宋体" w:eastAsia="宋体"/>
                <w:sz w:val="21"/>
                <w:szCs w:val="21"/>
              </w:rPr>
            </w:pPr>
            <w:r>
              <w:rPr>
                <w:rFonts w:hint="eastAsia" w:ascii="宋体" w:hAnsi="宋体" w:eastAsia="宋体"/>
                <w:sz w:val="21"/>
                <w:szCs w:val="21"/>
              </w:rPr>
              <w:t>企业突发环境事件一般会对外环境造成污染，其预案应与所在地政府环境应急预案协调一致、相互配合。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907" w:hRule="atLeast"/>
          <w:jc w:val="center"/>
        </w:trPr>
        <w:tc>
          <w:tcPr>
            <w:tcW w:w="1134" w:type="dxa"/>
            <w:vMerge w:val="continue"/>
            <w:vAlign w:val="center"/>
          </w:tcPr>
          <w:p>
            <w:pPr>
              <w:keepNext/>
              <w:keepLines/>
              <w:adjustRightInd w:val="0"/>
              <w:snapToGrid w:val="0"/>
              <w:jc w:val="center"/>
              <w:rPr>
                <w:rFonts w:ascii="宋体" w:hAnsi="宋体" w:eastAsia="宋体"/>
                <w:sz w:val="21"/>
                <w:szCs w:val="21"/>
              </w:rPr>
            </w:pPr>
          </w:p>
        </w:tc>
        <w:tc>
          <w:tcPr>
            <w:tcW w:w="426" w:type="dxa"/>
            <w:vAlign w:val="center"/>
          </w:tcPr>
          <w:p>
            <w:pPr>
              <w:pStyle w:val="7"/>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10</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预案体系构成合理，以现场处置预案为主，确有必要编制综合预案、专项预案，且定位清晰、有机衔接</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Merge w:val="continue"/>
            <w:vAlign w:val="top"/>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907" w:hRule="atLeast"/>
          <w:jc w:val="center"/>
        </w:trPr>
        <w:tc>
          <w:tcPr>
            <w:tcW w:w="1134" w:type="dxa"/>
            <w:vMerge w:val="continue"/>
            <w:vAlign w:val="center"/>
          </w:tcPr>
          <w:p>
            <w:pPr>
              <w:keepNext/>
              <w:keepLines/>
              <w:adjustRightInd w:val="0"/>
              <w:snapToGrid w:val="0"/>
              <w:jc w:val="center"/>
              <w:rPr>
                <w:rFonts w:ascii="宋体" w:hAnsi="宋体" w:eastAsia="宋体"/>
                <w:sz w:val="21"/>
                <w:szCs w:val="21"/>
              </w:rPr>
            </w:pPr>
          </w:p>
        </w:tc>
        <w:tc>
          <w:tcPr>
            <w:tcW w:w="426" w:type="dxa"/>
            <w:vAlign w:val="center"/>
          </w:tcPr>
          <w:p>
            <w:pPr>
              <w:pStyle w:val="7"/>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11</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预案整体定位清晰，与内部生产安全事故预案等其他预案清晰界定、相互支持，与地方人民政府环境应急预案有机衔接</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Merge w:val="continue"/>
            <w:vAlign w:val="top"/>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531" w:hRule="atLeast"/>
          <w:jc w:val="center"/>
        </w:trPr>
        <w:tc>
          <w:tcPr>
            <w:tcW w:w="1134" w:type="dxa"/>
            <w:vMerge w:val="restart"/>
            <w:vAlign w:val="center"/>
          </w:tcPr>
          <w:p>
            <w:pPr>
              <w:adjustRightInd w:val="0"/>
              <w:snapToGrid w:val="0"/>
              <w:jc w:val="center"/>
              <w:rPr>
                <w:rFonts w:ascii="宋体" w:hAnsi="宋体" w:eastAsia="宋体"/>
                <w:color w:val="000000"/>
                <w:kern w:val="0"/>
                <w:sz w:val="21"/>
                <w:szCs w:val="21"/>
                <w:lang w:val="zh-CN"/>
              </w:rPr>
            </w:pPr>
            <w:r>
              <w:rPr>
                <w:rFonts w:hint="eastAsia" w:ascii="宋体" w:hAnsi="宋体" w:eastAsia="宋体"/>
                <w:sz w:val="21"/>
                <w:szCs w:val="21"/>
              </w:rPr>
              <w:t>组织指挥机制</w:t>
            </w:r>
          </w:p>
        </w:tc>
        <w:tc>
          <w:tcPr>
            <w:tcW w:w="426" w:type="dxa"/>
            <w:vAlign w:val="center"/>
          </w:tcPr>
          <w:p>
            <w:pPr>
              <w:pStyle w:val="7"/>
              <w:keepNext/>
              <w:keepLines/>
              <w:adjustRightInd w:val="0"/>
              <w:snapToGrid w:val="0"/>
              <w:ind w:firstLine="0" w:firstLineChars="0"/>
              <w:jc w:val="center"/>
              <w:rPr>
                <w:rFonts w:ascii="宋体" w:hAnsi="宋体" w:eastAsia="宋体"/>
                <w:color w:val="000000"/>
                <w:sz w:val="21"/>
                <w:szCs w:val="21"/>
              </w:rPr>
            </w:pPr>
            <w:r>
              <w:rPr>
                <w:rFonts w:hint="eastAsia" w:ascii="宋体" w:hAnsi="宋体" w:eastAsia="宋体"/>
                <w:color w:val="000000"/>
                <w:sz w:val="21"/>
                <w:szCs w:val="21"/>
              </w:rPr>
              <w:t>12</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以应急组织体系结构图、应急响应流程图的形式，说明组织体系构成、应急指挥运行机制，配有应急队伍成员名单和联系方式表</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Align w:val="center"/>
          </w:tcPr>
          <w:p>
            <w:pPr>
              <w:adjustRightInd w:val="0"/>
              <w:snapToGrid w:val="0"/>
              <w:rPr>
                <w:rFonts w:ascii="宋体" w:hAnsi="宋体" w:eastAsia="宋体"/>
                <w:sz w:val="21"/>
                <w:szCs w:val="21"/>
              </w:rPr>
            </w:pPr>
            <w:r>
              <w:rPr>
                <w:rFonts w:hint="eastAsia" w:ascii="宋体" w:hAnsi="宋体" w:eastAsia="宋体"/>
                <w:sz w:val="21"/>
                <w:szCs w:val="21"/>
              </w:rPr>
              <w:t>以图表形式，说明应急组织体系构成、运行机制、联系人及联系方式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531" w:hRule="atLeast"/>
          <w:jc w:val="center"/>
        </w:trPr>
        <w:tc>
          <w:tcPr>
            <w:tcW w:w="1134" w:type="dxa"/>
            <w:vMerge w:val="continue"/>
            <w:vAlign w:val="center"/>
          </w:tcPr>
          <w:p>
            <w:pPr>
              <w:adjustRightInd w:val="0"/>
              <w:snapToGrid w:val="0"/>
              <w:jc w:val="center"/>
              <w:rPr>
                <w:rFonts w:ascii="宋体" w:hAnsi="宋体" w:eastAsia="宋体"/>
                <w:sz w:val="21"/>
                <w:szCs w:val="21"/>
              </w:rPr>
            </w:pPr>
          </w:p>
        </w:tc>
        <w:tc>
          <w:tcPr>
            <w:tcW w:w="426" w:type="dxa"/>
            <w:vAlign w:val="center"/>
          </w:tcPr>
          <w:p>
            <w:pPr>
              <w:pStyle w:val="7"/>
              <w:keepNext/>
              <w:keepLines/>
              <w:adjustRightInd w:val="0"/>
              <w:snapToGrid w:val="0"/>
              <w:ind w:firstLine="0" w:firstLineChars="0"/>
              <w:jc w:val="center"/>
              <w:rPr>
                <w:rFonts w:ascii="宋体" w:hAnsi="宋体" w:eastAsia="宋体"/>
                <w:color w:val="000000"/>
                <w:sz w:val="21"/>
                <w:szCs w:val="21"/>
              </w:rPr>
            </w:pPr>
            <w:r>
              <w:rPr>
                <w:rFonts w:hint="eastAsia" w:ascii="宋体" w:hAnsi="宋体" w:eastAsia="宋体"/>
                <w:color w:val="000000"/>
                <w:sz w:val="21"/>
                <w:szCs w:val="21"/>
              </w:rPr>
              <w:t>13</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明确组织体系的构成及其职责。一般包括应急指挥部及其办事机构、现场处置组、环境应急监测组、应急保障组以及其他必要的行动组</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Align w:val="center"/>
          </w:tcPr>
          <w:p>
            <w:pPr>
              <w:adjustRightInd w:val="0"/>
              <w:snapToGrid w:val="0"/>
              <w:rPr>
                <w:rFonts w:ascii="宋体" w:hAnsi="宋体" w:eastAsia="宋体"/>
                <w:sz w:val="21"/>
                <w:szCs w:val="21"/>
              </w:rPr>
            </w:pPr>
            <w:r>
              <w:rPr>
                <w:rFonts w:hint="eastAsia" w:ascii="宋体" w:hAnsi="宋体" w:eastAsia="宋体"/>
                <w:sz w:val="21"/>
                <w:szCs w:val="21"/>
              </w:rPr>
              <w:t>企业根据突发环境事件应急工作特点，建立由负责人和成员组成的、工作职责明确的环境应急组织指挥机构。注意与企业突发事件应急预案以及生产安全等预案中组织指挥体系的衔接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295" w:hRule="atLeast"/>
          <w:jc w:val="center"/>
        </w:trPr>
        <w:tc>
          <w:tcPr>
            <w:tcW w:w="1134" w:type="dxa"/>
            <w:vMerge w:val="restart"/>
            <w:vAlign w:val="center"/>
          </w:tcPr>
          <w:p>
            <w:pPr>
              <w:keepNext/>
              <w:keepLines/>
              <w:adjustRightInd w:val="0"/>
              <w:snapToGrid w:val="0"/>
              <w:jc w:val="center"/>
              <w:rPr>
                <w:rFonts w:ascii="宋体" w:hAnsi="宋体" w:eastAsia="宋体"/>
                <w:sz w:val="21"/>
                <w:szCs w:val="21"/>
              </w:rPr>
            </w:pPr>
            <w:r>
              <w:rPr>
                <w:rFonts w:hint="eastAsia" w:ascii="宋体" w:hAnsi="宋体" w:eastAsia="宋体"/>
                <w:sz w:val="21"/>
                <w:szCs w:val="21"/>
              </w:rPr>
              <w:t>组织指挥机制</w:t>
            </w:r>
          </w:p>
        </w:tc>
        <w:tc>
          <w:tcPr>
            <w:tcW w:w="426" w:type="dxa"/>
            <w:vAlign w:val="center"/>
          </w:tcPr>
          <w:p>
            <w:pPr>
              <w:pStyle w:val="7"/>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14</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明确应急状态下指挥运行机制，建立统一的应急指挥、协调和决策程序</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keepNext/>
              <w:keepLines/>
              <w:adjustRightInd w:val="0"/>
              <w:snapToGrid w:val="0"/>
              <w:rPr>
                <w:rFonts w:ascii="宋体" w:hAnsi="宋体" w:eastAsia="宋体"/>
                <w:sz w:val="21"/>
                <w:szCs w:val="21"/>
              </w:rPr>
            </w:pPr>
          </w:p>
        </w:tc>
        <w:tc>
          <w:tcPr>
            <w:tcW w:w="669" w:type="dxa"/>
            <w:vAlign w:val="top"/>
          </w:tcPr>
          <w:p>
            <w:pPr>
              <w:keepNext/>
              <w:keepLines/>
              <w:adjustRightInd w:val="0"/>
              <w:snapToGrid w:val="0"/>
              <w:rPr>
                <w:rFonts w:ascii="宋体" w:hAnsi="宋体" w:eastAsia="宋体"/>
                <w:sz w:val="21"/>
                <w:szCs w:val="21"/>
              </w:rPr>
            </w:pPr>
          </w:p>
        </w:tc>
        <w:tc>
          <w:tcPr>
            <w:tcW w:w="4850" w:type="dxa"/>
            <w:vAlign w:val="center"/>
          </w:tcPr>
          <w:p>
            <w:pPr>
              <w:keepNext/>
              <w:keepLines/>
              <w:adjustRightInd w:val="0"/>
              <w:snapToGrid w:val="0"/>
              <w:rPr>
                <w:rFonts w:ascii="宋体" w:hAnsi="宋体" w:eastAsia="宋体"/>
                <w:sz w:val="21"/>
                <w:szCs w:val="21"/>
              </w:rPr>
            </w:pPr>
            <w:r>
              <w:rPr>
                <w:rFonts w:hint="eastAsia" w:ascii="宋体" w:hAnsi="宋体" w:eastAsia="宋体"/>
                <w:sz w:val="21"/>
                <w:szCs w:val="21"/>
              </w:rPr>
              <w:t>指挥运行机制，指的是总指挥与各行动小组相互作用的程序和方式，能够对突发环境事件状态进行评估，迅速有效进行应急响应决策，指挥和协调各行动小组活动，合理高效地调配和使用应急资源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155" w:hRule="atLeast"/>
          <w:jc w:val="center"/>
        </w:trPr>
        <w:tc>
          <w:tcPr>
            <w:tcW w:w="1134" w:type="dxa"/>
            <w:vMerge w:val="continue"/>
            <w:vAlign w:val="center"/>
          </w:tcPr>
          <w:p>
            <w:pPr>
              <w:keepNext/>
              <w:keepLines/>
              <w:adjustRightInd w:val="0"/>
              <w:snapToGrid w:val="0"/>
              <w:jc w:val="center"/>
              <w:rPr>
                <w:rFonts w:ascii="宋体" w:hAnsi="宋体" w:eastAsia="宋体"/>
                <w:sz w:val="21"/>
                <w:szCs w:val="21"/>
              </w:rPr>
            </w:pPr>
          </w:p>
        </w:tc>
        <w:tc>
          <w:tcPr>
            <w:tcW w:w="426" w:type="dxa"/>
            <w:vAlign w:val="center"/>
          </w:tcPr>
          <w:p>
            <w:pPr>
              <w:pStyle w:val="7"/>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15</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根据突发环境事件的危害程度、影响范围、周边环境敏感点、企业应急响应能力等，建立分级应急响应机制，明确不同应急响应级别对应的指挥权限</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keepNext/>
              <w:keepLines/>
              <w:adjustRightInd w:val="0"/>
              <w:snapToGrid w:val="0"/>
              <w:rPr>
                <w:rFonts w:ascii="宋体" w:hAnsi="宋体" w:eastAsia="宋体"/>
                <w:sz w:val="21"/>
                <w:szCs w:val="21"/>
              </w:rPr>
            </w:pPr>
          </w:p>
        </w:tc>
        <w:tc>
          <w:tcPr>
            <w:tcW w:w="669" w:type="dxa"/>
            <w:vAlign w:val="top"/>
          </w:tcPr>
          <w:p>
            <w:pPr>
              <w:keepNext/>
              <w:keepLines/>
              <w:adjustRightInd w:val="0"/>
              <w:snapToGrid w:val="0"/>
              <w:rPr>
                <w:rFonts w:ascii="宋体" w:hAnsi="宋体" w:eastAsia="宋体"/>
                <w:sz w:val="21"/>
                <w:szCs w:val="21"/>
              </w:rPr>
            </w:pPr>
          </w:p>
        </w:tc>
        <w:tc>
          <w:tcPr>
            <w:tcW w:w="4850" w:type="dxa"/>
            <w:vAlign w:val="center"/>
          </w:tcPr>
          <w:p>
            <w:pPr>
              <w:keepNext/>
              <w:keepLines/>
              <w:adjustRightInd w:val="0"/>
              <w:snapToGrid w:val="0"/>
              <w:rPr>
                <w:rFonts w:ascii="宋体" w:hAnsi="宋体" w:eastAsia="宋体"/>
                <w:sz w:val="21"/>
                <w:szCs w:val="21"/>
              </w:rPr>
            </w:pPr>
            <w:r>
              <w:rPr>
                <w:rFonts w:hint="eastAsia" w:ascii="宋体" w:hAnsi="宋体" w:eastAsia="宋体"/>
                <w:sz w:val="21"/>
                <w:szCs w:val="21"/>
              </w:rPr>
              <w:t>例如有的企业将环境应急分为车间级、企业级、社会级，明确相应的指挥权限：车间负责人、企业负责人、接受当地政府统一指挥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030" w:hRule="atLeast"/>
          <w:jc w:val="center"/>
        </w:trPr>
        <w:tc>
          <w:tcPr>
            <w:tcW w:w="1134" w:type="dxa"/>
            <w:vMerge w:val="continue"/>
            <w:vAlign w:val="center"/>
          </w:tcPr>
          <w:p>
            <w:pPr>
              <w:keepNext/>
              <w:keepLines/>
              <w:adjustRightInd w:val="0"/>
              <w:snapToGrid w:val="0"/>
              <w:jc w:val="center"/>
              <w:rPr>
                <w:rFonts w:ascii="宋体" w:hAnsi="宋体" w:eastAsia="宋体"/>
                <w:sz w:val="21"/>
                <w:szCs w:val="21"/>
              </w:rPr>
            </w:pPr>
          </w:p>
        </w:tc>
        <w:tc>
          <w:tcPr>
            <w:tcW w:w="426" w:type="dxa"/>
            <w:vAlign w:val="center"/>
          </w:tcPr>
          <w:p>
            <w:pPr>
              <w:pStyle w:val="7"/>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16</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说明企业与政府及其有关部门之间的关系。明确政府及其有关部门介入后，企业内部指挥协调、配合处置、参与应急保障等工作任务和责任人</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keepNext/>
              <w:keepLines/>
              <w:adjustRightInd w:val="0"/>
              <w:snapToGrid w:val="0"/>
              <w:rPr>
                <w:rFonts w:ascii="宋体" w:hAnsi="宋体" w:eastAsia="宋体"/>
                <w:sz w:val="21"/>
                <w:szCs w:val="21"/>
              </w:rPr>
            </w:pPr>
          </w:p>
        </w:tc>
        <w:tc>
          <w:tcPr>
            <w:tcW w:w="669" w:type="dxa"/>
            <w:vAlign w:val="top"/>
          </w:tcPr>
          <w:p>
            <w:pPr>
              <w:keepNext/>
              <w:keepLines/>
              <w:adjustRightInd w:val="0"/>
              <w:snapToGrid w:val="0"/>
              <w:rPr>
                <w:rFonts w:ascii="宋体" w:hAnsi="宋体" w:eastAsia="宋体"/>
                <w:sz w:val="21"/>
                <w:szCs w:val="21"/>
              </w:rPr>
            </w:pPr>
          </w:p>
        </w:tc>
        <w:tc>
          <w:tcPr>
            <w:tcW w:w="4850" w:type="dxa"/>
            <w:vAlign w:val="center"/>
          </w:tcPr>
          <w:p>
            <w:pPr>
              <w:keepNext/>
              <w:keepLines/>
              <w:adjustRightInd w:val="0"/>
              <w:snapToGrid w:val="0"/>
              <w:rPr>
                <w:rFonts w:ascii="宋体" w:hAnsi="宋体" w:eastAsia="宋体"/>
                <w:sz w:val="21"/>
                <w:szCs w:val="21"/>
              </w:rPr>
            </w:pPr>
            <w:r>
              <w:rPr>
                <w:rFonts w:hint="eastAsia" w:ascii="宋体" w:hAnsi="宋体" w:eastAsia="宋体"/>
                <w:sz w:val="21"/>
                <w:szCs w:val="21"/>
              </w:rPr>
              <w:t>例如政府及其有关部门介入后，环境应急指挥权的移交及企业内部的调整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154" w:hRule="atLeast"/>
          <w:jc w:val="center"/>
        </w:trPr>
        <w:tc>
          <w:tcPr>
            <w:tcW w:w="1134" w:type="dxa"/>
            <w:vMerge w:val="restart"/>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监测预警</w:t>
            </w:r>
          </w:p>
        </w:tc>
        <w:tc>
          <w:tcPr>
            <w:tcW w:w="426" w:type="dxa"/>
            <w:vAlign w:val="center"/>
          </w:tcPr>
          <w:p>
            <w:pPr>
              <w:pStyle w:val="7"/>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17</w:t>
            </w:r>
          </w:p>
        </w:tc>
        <w:tc>
          <w:tcPr>
            <w:tcW w:w="4819" w:type="dxa"/>
            <w:vAlign w:val="center"/>
          </w:tcPr>
          <w:p>
            <w:pPr>
              <w:adjustRightInd w:val="0"/>
              <w:snapToGrid w:val="0"/>
              <w:rPr>
                <w:rFonts w:ascii="宋体" w:hAnsi="宋体" w:eastAsia="宋体"/>
                <w:sz w:val="21"/>
                <w:szCs w:val="21"/>
              </w:rPr>
            </w:pPr>
            <w:r>
              <w:rPr>
                <w:rFonts w:hint="eastAsia" w:ascii="宋体" w:hAnsi="宋体" w:eastAsia="宋体"/>
                <w:sz w:val="21"/>
                <w:szCs w:val="21"/>
              </w:rPr>
              <w:t>建立企业内部监控预警方案</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Align w:val="center"/>
          </w:tcPr>
          <w:p>
            <w:pPr>
              <w:adjustRightInd w:val="0"/>
              <w:snapToGrid w:val="0"/>
              <w:rPr>
                <w:rFonts w:ascii="宋体" w:hAnsi="宋体" w:eastAsia="宋体"/>
                <w:sz w:val="21"/>
                <w:szCs w:val="21"/>
              </w:rPr>
            </w:pPr>
            <w:r>
              <w:rPr>
                <w:rFonts w:hint="eastAsia" w:ascii="宋体" w:hAnsi="宋体" w:eastAsia="宋体"/>
                <w:sz w:val="21"/>
                <w:szCs w:val="21"/>
              </w:rPr>
              <w:t>根据</w:t>
            </w:r>
            <w:r>
              <w:rPr>
                <w:rFonts w:ascii="宋体" w:hAnsi="宋体" w:eastAsia="宋体"/>
                <w:sz w:val="21"/>
                <w:szCs w:val="21"/>
              </w:rPr>
              <w:t>企业</w:t>
            </w:r>
            <w:r>
              <w:rPr>
                <w:rFonts w:hint="eastAsia" w:ascii="宋体" w:hAnsi="宋体" w:eastAsia="宋体"/>
                <w:sz w:val="21"/>
                <w:szCs w:val="21"/>
              </w:rPr>
              <w:t>可能面临事件情景</w:t>
            </w:r>
            <w:r>
              <w:rPr>
                <w:rFonts w:ascii="宋体" w:hAnsi="宋体" w:eastAsia="宋体"/>
                <w:sz w:val="21"/>
                <w:szCs w:val="21"/>
              </w:rPr>
              <w:t>，</w:t>
            </w:r>
            <w:r>
              <w:rPr>
                <w:rFonts w:hint="eastAsia" w:ascii="宋体" w:hAnsi="宋体" w:eastAsia="宋体"/>
                <w:sz w:val="21"/>
                <w:szCs w:val="21"/>
              </w:rPr>
              <w:t>结合事件危害程度、紧急程度和发展态势</w:t>
            </w:r>
            <w:r>
              <w:rPr>
                <w:rFonts w:ascii="宋体" w:hAnsi="宋体" w:eastAsia="宋体"/>
                <w:sz w:val="21"/>
                <w:szCs w:val="21"/>
              </w:rPr>
              <w:t>，</w:t>
            </w:r>
            <w:r>
              <w:rPr>
                <w:rFonts w:hint="eastAsia" w:ascii="宋体" w:hAnsi="宋体" w:eastAsia="宋体"/>
                <w:sz w:val="21"/>
                <w:szCs w:val="21"/>
              </w:rPr>
              <w:t>对企业内部预警级别、预警发布与解除、预警措施进行总体安排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406" w:hRule="atLeast"/>
          <w:jc w:val="center"/>
        </w:trPr>
        <w:tc>
          <w:tcPr>
            <w:tcW w:w="1134" w:type="dxa"/>
            <w:vMerge w:val="continue"/>
            <w:vAlign w:val="center"/>
          </w:tcPr>
          <w:p>
            <w:pPr>
              <w:adjustRightInd w:val="0"/>
              <w:snapToGrid w:val="0"/>
              <w:jc w:val="center"/>
              <w:rPr>
                <w:rFonts w:ascii="宋体" w:hAnsi="宋体" w:eastAsia="宋体"/>
                <w:sz w:val="21"/>
                <w:szCs w:val="21"/>
              </w:rPr>
            </w:pPr>
          </w:p>
        </w:tc>
        <w:tc>
          <w:tcPr>
            <w:tcW w:w="426" w:type="dxa"/>
            <w:vAlign w:val="center"/>
          </w:tcPr>
          <w:p>
            <w:pPr>
              <w:pStyle w:val="7"/>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18</w:t>
            </w:r>
          </w:p>
        </w:tc>
        <w:tc>
          <w:tcPr>
            <w:tcW w:w="4819" w:type="dxa"/>
            <w:vAlign w:val="center"/>
          </w:tcPr>
          <w:p>
            <w:pPr>
              <w:adjustRightInd w:val="0"/>
              <w:snapToGrid w:val="0"/>
              <w:rPr>
                <w:rFonts w:ascii="宋体" w:hAnsi="宋体" w:eastAsia="宋体"/>
                <w:sz w:val="21"/>
                <w:szCs w:val="21"/>
              </w:rPr>
            </w:pPr>
            <w:r>
              <w:rPr>
                <w:rFonts w:hint="eastAsia" w:ascii="宋体" w:hAnsi="宋体" w:eastAsia="宋体"/>
                <w:sz w:val="21"/>
                <w:szCs w:val="21"/>
              </w:rPr>
              <w:t>明确监控信息的获得途径和分析研判的方式方法</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监控信息的获得途径，例如极端天气等自然灾害、生产安全事故等事故灾难、相关监控监测信息等；</w:t>
            </w:r>
          </w:p>
          <w:p>
            <w:pPr>
              <w:adjustRightInd w:val="0"/>
              <w:snapToGrid w:val="0"/>
              <w:jc w:val="left"/>
              <w:rPr>
                <w:rFonts w:ascii="宋体" w:hAnsi="宋体" w:eastAsia="宋体"/>
                <w:sz w:val="21"/>
                <w:szCs w:val="21"/>
              </w:rPr>
            </w:pPr>
            <w:r>
              <w:rPr>
                <w:rFonts w:hint="eastAsia" w:ascii="宋体" w:hAnsi="宋体" w:eastAsia="宋体"/>
                <w:sz w:val="21"/>
                <w:szCs w:val="21"/>
              </w:rPr>
              <w:t>分析研判的方式方法，例如根据相关信息和应急能力等，结合企业自身实际进行分析研判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2090" w:hRule="atLeast"/>
          <w:jc w:val="center"/>
        </w:trPr>
        <w:tc>
          <w:tcPr>
            <w:tcW w:w="1134" w:type="dxa"/>
            <w:vMerge w:val="continue"/>
            <w:vAlign w:val="center"/>
          </w:tcPr>
          <w:p>
            <w:pPr>
              <w:adjustRightInd w:val="0"/>
              <w:snapToGrid w:val="0"/>
              <w:jc w:val="center"/>
              <w:rPr>
                <w:rFonts w:ascii="宋体" w:hAnsi="宋体" w:eastAsia="宋体"/>
                <w:sz w:val="21"/>
                <w:szCs w:val="21"/>
              </w:rPr>
            </w:pPr>
          </w:p>
        </w:tc>
        <w:tc>
          <w:tcPr>
            <w:tcW w:w="426" w:type="dxa"/>
            <w:vAlign w:val="center"/>
          </w:tcPr>
          <w:p>
            <w:pPr>
              <w:pStyle w:val="7"/>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19</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明确企业内部预警条件，预警等级，预警信息发布、接收、调整、解除程序、发布内容、责任人</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一般根据企业突发环境事件类型情景和自身的应急能力等，结合周边环境情况，确定预警等级，做到早发现、早报告、早发布；</w:t>
            </w:r>
          </w:p>
          <w:p>
            <w:pPr>
              <w:adjustRightInd w:val="0"/>
              <w:snapToGrid w:val="0"/>
              <w:rPr>
                <w:rFonts w:ascii="宋体" w:hAnsi="宋体" w:eastAsia="宋体"/>
                <w:sz w:val="21"/>
                <w:szCs w:val="21"/>
              </w:rPr>
            </w:pPr>
            <w:r>
              <w:rPr>
                <w:rFonts w:hint="eastAsia" w:ascii="宋体" w:hAnsi="宋体" w:eastAsia="宋体"/>
                <w:sz w:val="21"/>
                <w:szCs w:val="21"/>
              </w:rPr>
              <w:t>红色预警一般为企业自身力量难以应对；橙色预警一般为企业需要调集内部绝大部分力量参与应对；黄色、蓝色预警根据企业实际需求确定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056" w:hRule="atLeast"/>
          <w:jc w:val="center"/>
        </w:trPr>
        <w:tc>
          <w:tcPr>
            <w:tcW w:w="1134" w:type="dxa"/>
            <w:vMerge w:val="restart"/>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信息报告</w:t>
            </w:r>
          </w:p>
        </w:tc>
        <w:tc>
          <w:tcPr>
            <w:tcW w:w="426" w:type="dxa"/>
            <w:vAlign w:val="center"/>
          </w:tcPr>
          <w:p>
            <w:pPr>
              <w:pStyle w:val="7"/>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20</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明确企业内部事件信息传递的责任人、程序、时限、方式、内容等，包括向协议应急救援单位传递信息的方式方法</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keepNext/>
              <w:keepLines/>
              <w:adjustRightInd w:val="0"/>
              <w:snapToGrid w:val="0"/>
              <w:rPr>
                <w:rFonts w:ascii="宋体" w:hAnsi="宋体" w:eastAsia="宋体"/>
                <w:sz w:val="21"/>
                <w:szCs w:val="21"/>
              </w:rPr>
            </w:pPr>
          </w:p>
        </w:tc>
        <w:tc>
          <w:tcPr>
            <w:tcW w:w="669" w:type="dxa"/>
            <w:vAlign w:val="top"/>
          </w:tcPr>
          <w:p>
            <w:pPr>
              <w:keepNext/>
              <w:keepLines/>
              <w:adjustRightInd w:val="0"/>
              <w:snapToGrid w:val="0"/>
              <w:rPr>
                <w:rFonts w:ascii="宋体" w:hAnsi="宋体" w:eastAsia="宋体"/>
                <w:sz w:val="21"/>
                <w:szCs w:val="21"/>
              </w:rPr>
            </w:pPr>
          </w:p>
        </w:tc>
        <w:tc>
          <w:tcPr>
            <w:tcW w:w="4850" w:type="dxa"/>
            <w:vAlign w:val="center"/>
          </w:tcPr>
          <w:p>
            <w:pPr>
              <w:keepNext/>
              <w:keepLines/>
              <w:adjustRightInd w:val="0"/>
              <w:snapToGrid w:val="0"/>
              <w:rPr>
                <w:rFonts w:ascii="宋体" w:hAnsi="宋体" w:eastAsia="宋体"/>
                <w:sz w:val="21"/>
                <w:szCs w:val="21"/>
              </w:rPr>
            </w:pPr>
            <w:r>
              <w:rPr>
                <w:rFonts w:hint="eastAsia" w:ascii="宋体" w:hAnsi="宋体" w:eastAsia="宋体"/>
                <w:sz w:val="21"/>
                <w:szCs w:val="21"/>
              </w:rPr>
              <w:t>从事件第一发现人至事件指挥人之间信息传递的方式、方法及内容，内容一般包括事件的时间、地点、涉及物质、简要经过、已造成或者可能造成的污染情况、已采取的措施等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134" w:hRule="atLeast"/>
          <w:jc w:val="center"/>
        </w:trPr>
        <w:tc>
          <w:tcPr>
            <w:tcW w:w="1134" w:type="dxa"/>
            <w:vMerge w:val="continue"/>
            <w:vAlign w:val="center"/>
          </w:tcPr>
          <w:p>
            <w:pPr>
              <w:keepNext/>
              <w:keepLines/>
              <w:adjustRightInd w:val="0"/>
              <w:snapToGrid w:val="0"/>
              <w:jc w:val="center"/>
              <w:rPr>
                <w:rFonts w:ascii="宋体" w:hAnsi="宋体" w:eastAsia="宋体"/>
                <w:sz w:val="21"/>
                <w:szCs w:val="21"/>
              </w:rPr>
            </w:pPr>
          </w:p>
        </w:tc>
        <w:tc>
          <w:tcPr>
            <w:tcW w:w="426" w:type="dxa"/>
            <w:vAlign w:val="center"/>
          </w:tcPr>
          <w:p>
            <w:pPr>
              <w:pStyle w:val="7"/>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21</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明确企业向当地人民政府及其环保等部门报告的责任人、程序、时限方式、内容等，辅以信息报告格式规范</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keepNext/>
              <w:keepLines/>
              <w:adjustRightInd w:val="0"/>
              <w:snapToGrid w:val="0"/>
              <w:rPr>
                <w:rFonts w:ascii="宋体" w:hAnsi="宋体" w:eastAsia="宋体"/>
                <w:sz w:val="21"/>
                <w:szCs w:val="21"/>
              </w:rPr>
            </w:pPr>
          </w:p>
        </w:tc>
        <w:tc>
          <w:tcPr>
            <w:tcW w:w="669" w:type="dxa"/>
            <w:vAlign w:val="top"/>
          </w:tcPr>
          <w:p>
            <w:pPr>
              <w:keepNext/>
              <w:keepLines/>
              <w:adjustRightInd w:val="0"/>
              <w:snapToGrid w:val="0"/>
              <w:rPr>
                <w:rFonts w:ascii="宋体" w:hAnsi="宋体" w:eastAsia="宋体"/>
                <w:sz w:val="21"/>
                <w:szCs w:val="21"/>
              </w:rPr>
            </w:pPr>
          </w:p>
        </w:tc>
        <w:tc>
          <w:tcPr>
            <w:tcW w:w="4850" w:type="dxa"/>
            <w:vAlign w:val="center"/>
          </w:tcPr>
          <w:p>
            <w:pPr>
              <w:keepNext/>
              <w:keepLines/>
              <w:adjustRightInd w:val="0"/>
              <w:snapToGrid w:val="0"/>
              <w:rPr>
                <w:rFonts w:ascii="宋体" w:hAnsi="宋体" w:eastAsia="宋体"/>
                <w:sz w:val="21"/>
                <w:szCs w:val="21"/>
              </w:rPr>
            </w:pPr>
            <w:r>
              <w:rPr>
                <w:rFonts w:hint="eastAsia" w:ascii="宋体" w:hAnsi="宋体" w:eastAsia="宋体"/>
                <w:sz w:val="21"/>
                <w:szCs w:val="21"/>
              </w:rPr>
              <w:t>从企业报告决策人、报告负责人到当地人民政府及其环保部门负责人（单位）之间信息传递的方式、方法及内容，内容一般包括企业及周边概况、事件的时间、地点、涉及物质、简要经过、已造成或者可能造成的污染情况、已采取的措施、请求支持的内容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134" w:hRule="atLeast"/>
          <w:jc w:val="center"/>
        </w:trPr>
        <w:tc>
          <w:tcPr>
            <w:tcW w:w="1134" w:type="dxa"/>
            <w:vMerge w:val="continue"/>
            <w:vAlign w:val="center"/>
          </w:tcPr>
          <w:p>
            <w:pPr>
              <w:keepNext/>
              <w:keepLines/>
              <w:adjustRightInd w:val="0"/>
              <w:snapToGrid w:val="0"/>
              <w:jc w:val="center"/>
              <w:rPr>
                <w:rFonts w:ascii="宋体" w:hAnsi="宋体" w:eastAsia="宋体"/>
                <w:sz w:val="21"/>
                <w:szCs w:val="21"/>
              </w:rPr>
            </w:pPr>
          </w:p>
        </w:tc>
        <w:tc>
          <w:tcPr>
            <w:tcW w:w="426" w:type="dxa"/>
            <w:vAlign w:val="center"/>
          </w:tcPr>
          <w:p>
            <w:pPr>
              <w:pStyle w:val="7"/>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22</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明确企业向可能受影响的居民、单位通报的责任人、程序、时限、方式、内容等</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Align w:val="center"/>
          </w:tcPr>
          <w:p>
            <w:pPr>
              <w:adjustRightInd w:val="0"/>
              <w:snapToGrid w:val="0"/>
              <w:rPr>
                <w:rFonts w:ascii="宋体" w:hAnsi="宋体" w:eastAsia="宋体"/>
                <w:sz w:val="21"/>
                <w:szCs w:val="21"/>
              </w:rPr>
            </w:pPr>
            <w:r>
              <w:rPr>
                <w:rFonts w:hint="eastAsia" w:ascii="宋体" w:hAnsi="宋体" w:eastAsia="宋体"/>
                <w:sz w:val="21"/>
                <w:szCs w:val="21"/>
              </w:rPr>
              <w:t>从企业通报决策人、通报负责人到周边居民、单位负责人之间信息传递的方式、方法及内容，内容一般包括事件已造成或者可能造成的污染情况、居民或单位避险措施等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134" w:hRule="atLeast"/>
          <w:jc w:val="center"/>
        </w:trPr>
        <w:tc>
          <w:tcPr>
            <w:tcW w:w="1134" w:type="dxa"/>
            <w:vMerge w:val="restart"/>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应急监测</w:t>
            </w:r>
          </w:p>
        </w:tc>
        <w:tc>
          <w:tcPr>
            <w:tcW w:w="426" w:type="dxa"/>
            <w:vAlign w:val="center"/>
          </w:tcPr>
          <w:p>
            <w:pPr>
              <w:pStyle w:val="7"/>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23</w:t>
            </w:r>
            <w:r>
              <w:rPr>
                <w:rFonts w:hint="eastAsia" w:ascii="宋体" w:hAnsi="宋体" w:eastAsia="宋体"/>
                <w:sz w:val="21"/>
                <w:szCs w:val="21"/>
                <w:vertAlign w:val="superscript"/>
              </w:rPr>
              <w:t>c</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涉大气污染的，说明排放口和厂界气体监测的一般原则</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keepNext/>
              <w:keepLines/>
              <w:adjustRightInd w:val="0"/>
              <w:snapToGrid w:val="0"/>
              <w:rPr>
                <w:rFonts w:ascii="宋体" w:hAnsi="宋体" w:eastAsia="宋体"/>
                <w:sz w:val="21"/>
                <w:szCs w:val="21"/>
              </w:rPr>
            </w:pPr>
          </w:p>
        </w:tc>
        <w:tc>
          <w:tcPr>
            <w:tcW w:w="669" w:type="dxa"/>
            <w:vAlign w:val="top"/>
          </w:tcPr>
          <w:p>
            <w:pPr>
              <w:keepNext/>
              <w:keepLines/>
              <w:adjustRightInd w:val="0"/>
              <w:snapToGrid w:val="0"/>
              <w:rPr>
                <w:rFonts w:ascii="宋体" w:hAnsi="宋体" w:eastAsia="宋体"/>
                <w:sz w:val="21"/>
                <w:szCs w:val="21"/>
              </w:rPr>
            </w:pPr>
          </w:p>
        </w:tc>
        <w:tc>
          <w:tcPr>
            <w:tcW w:w="4850" w:type="dxa"/>
            <w:vAlign w:val="center"/>
          </w:tcPr>
          <w:p>
            <w:pPr>
              <w:keepNext/>
              <w:keepLines/>
              <w:adjustRightInd w:val="0"/>
              <w:snapToGrid w:val="0"/>
              <w:rPr>
                <w:rFonts w:ascii="宋体" w:hAnsi="宋体" w:eastAsia="宋体"/>
                <w:sz w:val="21"/>
                <w:szCs w:val="21"/>
              </w:rPr>
            </w:pPr>
            <w:r>
              <w:rPr>
                <w:rFonts w:hint="eastAsia" w:ascii="宋体" w:hAnsi="宋体" w:eastAsia="宋体"/>
                <w:sz w:val="21"/>
                <w:szCs w:val="21"/>
              </w:rPr>
              <w:t>按照《突发环境事件应急监测技术规范》等有关要求，确定排放口和厂界气体监测一般原则，为针对具体事件情景制定监测方案提供指导；</w:t>
            </w:r>
          </w:p>
          <w:p>
            <w:pPr>
              <w:keepNext/>
              <w:keepLines/>
              <w:adjustRightInd w:val="0"/>
              <w:snapToGrid w:val="0"/>
              <w:rPr>
                <w:rFonts w:ascii="宋体" w:hAnsi="宋体" w:eastAsia="宋体"/>
                <w:sz w:val="21"/>
                <w:szCs w:val="21"/>
              </w:rPr>
            </w:pPr>
            <w:r>
              <w:rPr>
                <w:rFonts w:hint="eastAsia" w:ascii="宋体" w:hAnsi="宋体" w:eastAsia="宋体"/>
                <w:sz w:val="21"/>
                <w:szCs w:val="21"/>
              </w:rPr>
              <w:t>排放口为突发环境事件中污染物的排放出口，包括按照相关环境保护标准设置的排放口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134" w:hRule="atLeast"/>
          <w:jc w:val="center"/>
        </w:trPr>
        <w:tc>
          <w:tcPr>
            <w:tcW w:w="1134" w:type="dxa"/>
            <w:vMerge w:val="continue"/>
            <w:vAlign w:val="center"/>
          </w:tcPr>
          <w:p>
            <w:pPr>
              <w:keepNext/>
              <w:keepLines/>
              <w:adjustRightInd w:val="0"/>
              <w:snapToGrid w:val="0"/>
              <w:jc w:val="center"/>
              <w:rPr>
                <w:rFonts w:ascii="宋体" w:hAnsi="宋体" w:eastAsia="宋体"/>
                <w:sz w:val="21"/>
                <w:szCs w:val="21"/>
              </w:rPr>
            </w:pPr>
          </w:p>
        </w:tc>
        <w:tc>
          <w:tcPr>
            <w:tcW w:w="426" w:type="dxa"/>
            <w:vAlign w:val="center"/>
          </w:tcPr>
          <w:p>
            <w:pPr>
              <w:pStyle w:val="7"/>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24</w:t>
            </w:r>
            <w:r>
              <w:rPr>
                <w:rFonts w:hint="eastAsia" w:ascii="宋体" w:hAnsi="宋体" w:eastAsia="宋体"/>
                <w:sz w:val="21"/>
                <w:szCs w:val="21"/>
                <w:vertAlign w:val="superscript"/>
              </w:rPr>
              <w:t>c</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涉水污染的，说明废水排放口、雨水排放口、清净下水排放口等可能外排渠道监测的一般原则</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Align w:val="center"/>
          </w:tcPr>
          <w:p>
            <w:pPr>
              <w:adjustRightInd w:val="0"/>
              <w:snapToGrid w:val="0"/>
              <w:rPr>
                <w:rFonts w:ascii="宋体" w:hAnsi="宋体" w:eastAsia="宋体"/>
                <w:sz w:val="21"/>
                <w:szCs w:val="21"/>
              </w:rPr>
            </w:pPr>
            <w:r>
              <w:rPr>
                <w:rFonts w:hint="eastAsia" w:ascii="宋体" w:hAnsi="宋体" w:eastAsia="宋体"/>
                <w:sz w:val="21"/>
                <w:szCs w:val="21"/>
              </w:rPr>
              <w:t>按照《突发环境事件应急监测技术规范》等有关要求，确定可能外排渠道监测的一般原则，为针对具体事件情景制定监测方案提供指导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902" w:hRule="atLeast"/>
          <w:jc w:val="center"/>
        </w:trPr>
        <w:tc>
          <w:tcPr>
            <w:tcW w:w="1134" w:type="dxa"/>
            <w:vMerge w:val="continue"/>
            <w:vAlign w:val="center"/>
          </w:tcPr>
          <w:p>
            <w:pPr>
              <w:adjustRightInd w:val="0"/>
              <w:snapToGrid w:val="0"/>
              <w:jc w:val="center"/>
              <w:rPr>
                <w:rFonts w:ascii="宋体" w:hAnsi="宋体" w:eastAsia="宋体"/>
                <w:sz w:val="21"/>
                <w:szCs w:val="21"/>
              </w:rPr>
            </w:pPr>
          </w:p>
        </w:tc>
        <w:tc>
          <w:tcPr>
            <w:tcW w:w="426" w:type="dxa"/>
            <w:vAlign w:val="center"/>
          </w:tcPr>
          <w:p>
            <w:pPr>
              <w:pStyle w:val="7"/>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25</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监测方案一般应明确监测项目、采样（监测）人员、监测设备、监测频次等</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Align w:val="center"/>
          </w:tcPr>
          <w:p>
            <w:pPr>
              <w:adjustRightInd w:val="0"/>
              <w:snapToGrid w:val="0"/>
              <w:rPr>
                <w:rFonts w:ascii="宋体" w:hAnsi="宋体" w:eastAsia="宋体"/>
                <w:sz w:val="21"/>
                <w:szCs w:val="21"/>
              </w:rPr>
            </w:pPr>
            <w:r>
              <w:rPr>
                <w:rFonts w:hint="eastAsia" w:ascii="宋体" w:hAnsi="宋体" w:eastAsia="宋体"/>
                <w:sz w:val="21"/>
                <w:szCs w:val="21"/>
              </w:rPr>
              <w:t>针对具体事件情景制定监测方案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134" w:hRule="atLeast"/>
          <w:jc w:val="center"/>
        </w:trPr>
        <w:tc>
          <w:tcPr>
            <w:tcW w:w="1134" w:type="dxa"/>
            <w:vMerge w:val="continue"/>
            <w:vAlign w:val="center"/>
          </w:tcPr>
          <w:p>
            <w:pPr>
              <w:adjustRightInd w:val="0"/>
              <w:snapToGrid w:val="0"/>
              <w:jc w:val="center"/>
              <w:rPr>
                <w:rFonts w:ascii="宋体" w:hAnsi="宋体" w:eastAsia="宋体"/>
                <w:sz w:val="21"/>
                <w:szCs w:val="21"/>
              </w:rPr>
            </w:pPr>
          </w:p>
        </w:tc>
        <w:tc>
          <w:tcPr>
            <w:tcW w:w="426" w:type="dxa"/>
            <w:vAlign w:val="center"/>
          </w:tcPr>
          <w:p>
            <w:pPr>
              <w:pStyle w:val="7"/>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26</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明确监测执行单位；自身没有监测能力的，说明协议监测方案，并附协议</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自身没有监测能力的，应与当地环境监测机构或其他机构衔接，确保能够迅速获得环境检测支持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134" w:hRule="atLeast"/>
          <w:jc w:val="center"/>
        </w:trPr>
        <w:tc>
          <w:tcPr>
            <w:tcW w:w="1134" w:type="dxa"/>
            <w:vMerge w:val="restart"/>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应对流程和措施</w:t>
            </w:r>
          </w:p>
        </w:tc>
        <w:tc>
          <w:tcPr>
            <w:tcW w:w="426" w:type="dxa"/>
            <w:vAlign w:val="center"/>
          </w:tcPr>
          <w:p>
            <w:pPr>
              <w:pStyle w:val="7"/>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27</w:t>
            </w:r>
            <w:r>
              <w:rPr>
                <w:rFonts w:hint="eastAsia" w:ascii="宋体" w:hAnsi="宋体" w:eastAsia="宋体"/>
                <w:sz w:val="21"/>
                <w:szCs w:val="21"/>
                <w:vertAlign w:val="superscript"/>
              </w:rPr>
              <w:t>b</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根据环境风险评估报告中的风险分析和情景构建内容，说明应对流程和措施，体现：企业内部控制污染源</w:t>
            </w:r>
            <w:r>
              <w:rPr>
                <w:rFonts w:ascii="宋体" w:hAnsi="宋体" w:eastAsia="宋体"/>
                <w:sz w:val="21"/>
                <w:szCs w:val="21"/>
              </w:rPr>
              <w:t>-</w:t>
            </w:r>
            <w:r>
              <w:rPr>
                <w:rFonts w:hint="eastAsia" w:ascii="宋体" w:hAnsi="宋体" w:eastAsia="宋体"/>
                <w:sz w:val="21"/>
                <w:szCs w:val="21"/>
              </w:rPr>
              <w:t>研判污染范围</w:t>
            </w:r>
            <w:r>
              <w:rPr>
                <w:rFonts w:ascii="宋体" w:hAnsi="宋体" w:eastAsia="宋体"/>
                <w:sz w:val="21"/>
                <w:szCs w:val="21"/>
              </w:rPr>
              <w:t>-</w:t>
            </w:r>
            <w:r>
              <w:rPr>
                <w:rFonts w:hint="eastAsia" w:ascii="宋体" w:hAnsi="宋体" w:eastAsia="宋体"/>
                <w:sz w:val="21"/>
                <w:szCs w:val="21"/>
              </w:rPr>
              <w:t>控制污染扩散</w:t>
            </w:r>
            <w:r>
              <w:rPr>
                <w:rFonts w:ascii="宋体" w:hAnsi="宋体" w:eastAsia="宋体"/>
                <w:sz w:val="21"/>
                <w:szCs w:val="21"/>
              </w:rPr>
              <w:t>-</w:t>
            </w:r>
            <w:r>
              <w:rPr>
                <w:rFonts w:hint="eastAsia" w:ascii="宋体" w:hAnsi="宋体" w:eastAsia="宋体"/>
                <w:sz w:val="21"/>
                <w:szCs w:val="21"/>
              </w:rPr>
              <w:t>污染处置应对流程和措施</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Merge w:val="restart"/>
            <w:vAlign w:val="top"/>
          </w:tcPr>
          <w:p>
            <w:pPr>
              <w:adjustRightInd w:val="0"/>
              <w:snapToGrid w:val="0"/>
              <w:rPr>
                <w:rFonts w:ascii="宋体" w:hAnsi="宋体" w:eastAsia="宋体"/>
                <w:sz w:val="21"/>
                <w:szCs w:val="21"/>
              </w:rPr>
            </w:pPr>
          </w:p>
        </w:tc>
        <w:tc>
          <w:tcPr>
            <w:tcW w:w="669" w:type="dxa"/>
            <w:vMerge w:val="restart"/>
            <w:vAlign w:val="top"/>
          </w:tcPr>
          <w:p>
            <w:pPr>
              <w:adjustRightInd w:val="0"/>
              <w:snapToGrid w:val="0"/>
              <w:rPr>
                <w:rFonts w:ascii="宋体" w:hAnsi="宋体" w:eastAsia="宋体"/>
                <w:sz w:val="21"/>
                <w:szCs w:val="21"/>
              </w:rPr>
            </w:pPr>
          </w:p>
        </w:tc>
        <w:tc>
          <w:tcPr>
            <w:tcW w:w="4850" w:type="dxa"/>
            <w:vAlign w:val="center"/>
          </w:tcPr>
          <w:p>
            <w:pPr>
              <w:adjustRightInd w:val="0"/>
              <w:snapToGrid w:val="0"/>
              <w:rPr>
                <w:rFonts w:ascii="宋体" w:hAnsi="宋体" w:eastAsia="宋体"/>
                <w:sz w:val="21"/>
                <w:szCs w:val="21"/>
              </w:rPr>
            </w:pPr>
            <w:r>
              <w:rPr>
                <w:rFonts w:hint="eastAsia" w:ascii="宋体" w:hAnsi="宋体" w:eastAsia="宋体"/>
                <w:sz w:val="21"/>
                <w:szCs w:val="21"/>
              </w:rPr>
              <w:t>企业内部应对突发环境事件的原则性措施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134" w:hRule="atLeast"/>
          <w:jc w:val="center"/>
        </w:trPr>
        <w:tc>
          <w:tcPr>
            <w:tcW w:w="1134" w:type="dxa"/>
            <w:vMerge w:val="continue"/>
            <w:vAlign w:val="center"/>
          </w:tcPr>
          <w:p>
            <w:pPr>
              <w:adjustRightInd w:val="0"/>
              <w:snapToGrid w:val="0"/>
              <w:jc w:val="center"/>
              <w:rPr>
                <w:rFonts w:ascii="宋体" w:hAnsi="宋体" w:eastAsia="宋体"/>
                <w:sz w:val="21"/>
                <w:szCs w:val="21"/>
              </w:rPr>
            </w:pPr>
          </w:p>
        </w:tc>
        <w:tc>
          <w:tcPr>
            <w:tcW w:w="426" w:type="dxa"/>
            <w:vAlign w:val="center"/>
          </w:tcPr>
          <w:p>
            <w:pPr>
              <w:pStyle w:val="7"/>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28</w:t>
            </w:r>
            <w:r>
              <w:rPr>
                <w:rFonts w:hint="eastAsia" w:ascii="宋体" w:hAnsi="宋体" w:eastAsia="宋体"/>
                <w:sz w:val="21"/>
                <w:szCs w:val="21"/>
                <w:vertAlign w:val="superscript"/>
              </w:rPr>
              <w:t>b</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体现必要的企业外部应急措施、配合当地人民政府的响应措施及对当地人民政府应急措施的建议</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Merge w:val="continue"/>
            <w:vAlign w:val="top"/>
          </w:tcPr>
          <w:p>
            <w:pPr>
              <w:adjustRightInd w:val="0"/>
              <w:snapToGrid w:val="0"/>
              <w:rPr>
                <w:rFonts w:ascii="宋体" w:hAnsi="宋体" w:eastAsia="宋体"/>
                <w:sz w:val="21"/>
                <w:szCs w:val="21"/>
              </w:rPr>
            </w:pPr>
          </w:p>
        </w:tc>
        <w:tc>
          <w:tcPr>
            <w:tcW w:w="669" w:type="dxa"/>
            <w:vMerge w:val="continue"/>
            <w:vAlign w:val="top"/>
          </w:tcPr>
          <w:p>
            <w:pPr>
              <w:adjustRightInd w:val="0"/>
              <w:snapToGrid w:val="0"/>
              <w:rPr>
                <w:rFonts w:ascii="宋体" w:hAnsi="宋体" w:eastAsia="宋体"/>
                <w:sz w:val="21"/>
                <w:szCs w:val="21"/>
              </w:rPr>
            </w:pPr>
          </w:p>
        </w:tc>
        <w:tc>
          <w:tcPr>
            <w:tcW w:w="4850" w:type="dxa"/>
            <w:vAlign w:val="center"/>
          </w:tcPr>
          <w:p>
            <w:pPr>
              <w:adjustRightInd w:val="0"/>
              <w:snapToGrid w:val="0"/>
              <w:rPr>
                <w:rFonts w:ascii="宋体" w:hAnsi="宋体" w:eastAsia="宋体"/>
                <w:sz w:val="21"/>
                <w:szCs w:val="21"/>
              </w:rPr>
            </w:pPr>
            <w:r>
              <w:rPr>
                <w:rFonts w:hint="eastAsia" w:ascii="宋体" w:hAnsi="宋体" w:eastAsia="宋体"/>
                <w:sz w:val="21"/>
                <w:szCs w:val="21"/>
              </w:rPr>
              <w:t>突发环境事件可能或已经对企业外部环境产生影响时，企业在外部可以采取的原则性措施、对当地人民政府的建议性措施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071" w:hRule="atLeast"/>
          <w:jc w:val="center"/>
        </w:trPr>
        <w:tc>
          <w:tcPr>
            <w:tcW w:w="1134" w:type="dxa"/>
            <w:vMerge w:val="continue"/>
            <w:vAlign w:val="center"/>
          </w:tcPr>
          <w:p>
            <w:pPr>
              <w:adjustRightInd w:val="0"/>
              <w:snapToGrid w:val="0"/>
              <w:jc w:val="center"/>
              <w:rPr>
                <w:rFonts w:ascii="宋体" w:hAnsi="宋体" w:eastAsia="宋体"/>
                <w:sz w:val="21"/>
                <w:szCs w:val="21"/>
              </w:rPr>
            </w:pPr>
          </w:p>
        </w:tc>
        <w:tc>
          <w:tcPr>
            <w:tcW w:w="426" w:type="dxa"/>
            <w:vAlign w:val="center"/>
          </w:tcPr>
          <w:p>
            <w:pPr>
              <w:pStyle w:val="7"/>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29</w:t>
            </w:r>
            <w:r>
              <w:rPr>
                <w:rFonts w:hint="eastAsia" w:ascii="宋体" w:hAnsi="宋体" w:eastAsia="宋体"/>
                <w:sz w:val="21"/>
                <w:szCs w:val="21"/>
                <w:vertAlign w:val="superscript"/>
              </w:rPr>
              <w:t>c</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涉及大气污染的，应重点说明受威胁范围、组织公众避险的方式方法，涉及疏散的一般应辅以疏散路线图；如果装备风向标，应配有风向标分布图</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keepNext/>
              <w:keepLines/>
              <w:adjustRightInd w:val="0"/>
              <w:snapToGrid w:val="0"/>
              <w:rPr>
                <w:rFonts w:ascii="宋体" w:hAnsi="宋体" w:eastAsia="宋体"/>
                <w:sz w:val="21"/>
                <w:szCs w:val="21"/>
              </w:rPr>
            </w:pPr>
          </w:p>
        </w:tc>
        <w:tc>
          <w:tcPr>
            <w:tcW w:w="669" w:type="dxa"/>
            <w:vAlign w:val="top"/>
          </w:tcPr>
          <w:p>
            <w:pPr>
              <w:keepNext/>
              <w:keepLines/>
              <w:adjustRightInd w:val="0"/>
              <w:snapToGrid w:val="0"/>
              <w:rPr>
                <w:rFonts w:ascii="宋体" w:hAnsi="宋体" w:eastAsia="宋体"/>
                <w:sz w:val="21"/>
                <w:szCs w:val="21"/>
              </w:rPr>
            </w:pPr>
          </w:p>
        </w:tc>
        <w:tc>
          <w:tcPr>
            <w:tcW w:w="4850" w:type="dxa"/>
            <w:vAlign w:val="center"/>
          </w:tcPr>
          <w:p>
            <w:pPr>
              <w:keepNext/>
              <w:keepLines/>
              <w:adjustRightInd w:val="0"/>
              <w:snapToGrid w:val="0"/>
              <w:rPr>
                <w:rFonts w:ascii="宋体" w:hAnsi="宋体" w:eastAsia="宋体"/>
                <w:sz w:val="21"/>
                <w:szCs w:val="21"/>
              </w:rPr>
            </w:pPr>
            <w:r>
              <w:rPr>
                <w:rFonts w:hint="eastAsia" w:ascii="宋体" w:hAnsi="宋体" w:eastAsia="宋体"/>
                <w:sz w:val="21"/>
                <w:szCs w:val="21"/>
              </w:rPr>
              <w:t>避险的方式包括疏散、防护等，说明避险措施的原则性安排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021" w:hRule="atLeast"/>
          <w:jc w:val="center"/>
        </w:trPr>
        <w:tc>
          <w:tcPr>
            <w:tcW w:w="1134" w:type="dxa"/>
            <w:vMerge w:val="continue"/>
            <w:vAlign w:val="center"/>
          </w:tcPr>
          <w:p>
            <w:pPr>
              <w:keepNext/>
              <w:keepLines/>
              <w:adjustRightInd w:val="0"/>
              <w:snapToGrid w:val="0"/>
              <w:jc w:val="center"/>
              <w:rPr>
                <w:rFonts w:ascii="宋体" w:hAnsi="宋体" w:eastAsia="宋体"/>
                <w:sz w:val="21"/>
                <w:szCs w:val="21"/>
              </w:rPr>
            </w:pPr>
          </w:p>
        </w:tc>
        <w:tc>
          <w:tcPr>
            <w:tcW w:w="426" w:type="dxa"/>
            <w:vAlign w:val="center"/>
          </w:tcPr>
          <w:p>
            <w:pPr>
              <w:pStyle w:val="7"/>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30</w:t>
            </w:r>
            <w:r>
              <w:rPr>
                <w:rFonts w:hint="eastAsia" w:ascii="宋体" w:hAnsi="宋体" w:eastAsia="宋体"/>
                <w:sz w:val="21"/>
                <w:szCs w:val="21"/>
                <w:vertAlign w:val="superscript"/>
              </w:rPr>
              <w:t>c</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涉及水污染的，应重点说明企业内收集、封堵、处置污染物的方式方法，适当延伸至企业外防控方式方法；配有废水、雨水、清净下水管网及重要阀门设置图</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keepNext/>
              <w:keepLines/>
              <w:adjustRightInd w:val="0"/>
              <w:snapToGrid w:val="0"/>
              <w:rPr>
                <w:rFonts w:ascii="宋体" w:hAnsi="宋体" w:eastAsia="宋体"/>
                <w:sz w:val="21"/>
                <w:szCs w:val="21"/>
              </w:rPr>
            </w:pPr>
          </w:p>
        </w:tc>
        <w:tc>
          <w:tcPr>
            <w:tcW w:w="669" w:type="dxa"/>
            <w:vAlign w:val="top"/>
          </w:tcPr>
          <w:p>
            <w:pPr>
              <w:keepNext/>
              <w:keepLines/>
              <w:adjustRightInd w:val="0"/>
              <w:snapToGrid w:val="0"/>
              <w:rPr>
                <w:rFonts w:ascii="宋体" w:hAnsi="宋体" w:eastAsia="宋体"/>
                <w:sz w:val="21"/>
                <w:szCs w:val="21"/>
              </w:rPr>
            </w:pPr>
          </w:p>
        </w:tc>
        <w:tc>
          <w:tcPr>
            <w:tcW w:w="4850" w:type="dxa"/>
            <w:vAlign w:val="center"/>
          </w:tcPr>
          <w:p>
            <w:pPr>
              <w:keepNext/>
              <w:keepLines/>
              <w:adjustRightInd w:val="0"/>
              <w:snapToGrid w:val="0"/>
              <w:rPr>
                <w:rFonts w:ascii="宋体" w:hAnsi="宋体" w:eastAsia="宋体"/>
                <w:sz w:val="21"/>
                <w:szCs w:val="21"/>
              </w:rPr>
            </w:pPr>
            <w:r>
              <w:rPr>
                <w:rFonts w:hint="eastAsia" w:ascii="宋体" w:hAnsi="宋体" w:eastAsia="宋体"/>
                <w:sz w:val="21"/>
                <w:szCs w:val="21"/>
              </w:rPr>
              <w:t>说明控制水污染的原则性安排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860" w:hRule="atLeast"/>
          <w:jc w:val="center"/>
        </w:trPr>
        <w:tc>
          <w:tcPr>
            <w:tcW w:w="1134" w:type="dxa"/>
            <w:vMerge w:val="continue"/>
            <w:vAlign w:val="center"/>
          </w:tcPr>
          <w:p>
            <w:pPr>
              <w:keepNext/>
              <w:keepLines/>
              <w:adjustRightInd w:val="0"/>
              <w:snapToGrid w:val="0"/>
              <w:jc w:val="center"/>
              <w:rPr>
                <w:rFonts w:ascii="宋体" w:hAnsi="宋体" w:eastAsia="宋体"/>
                <w:sz w:val="21"/>
                <w:szCs w:val="21"/>
              </w:rPr>
            </w:pPr>
          </w:p>
        </w:tc>
        <w:tc>
          <w:tcPr>
            <w:tcW w:w="426" w:type="dxa"/>
            <w:vAlign w:val="center"/>
          </w:tcPr>
          <w:p>
            <w:pPr>
              <w:pStyle w:val="7"/>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31</w:t>
            </w:r>
            <w:r>
              <w:rPr>
                <w:rFonts w:hint="eastAsia" w:ascii="宋体" w:hAnsi="宋体" w:eastAsia="宋体"/>
                <w:sz w:val="21"/>
                <w:szCs w:val="21"/>
                <w:vertAlign w:val="superscript"/>
              </w:rPr>
              <w:t>b</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分别说明可能的事件情景及应急处置方案，明确相关岗位人员采取措施的时间、地点、内容、方式、目标等</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Align w:val="center"/>
          </w:tcPr>
          <w:p>
            <w:pPr>
              <w:adjustRightInd w:val="0"/>
              <w:snapToGrid w:val="0"/>
              <w:rPr>
                <w:rFonts w:ascii="宋体" w:hAnsi="宋体" w:eastAsia="宋体"/>
                <w:sz w:val="21"/>
                <w:szCs w:val="21"/>
              </w:rPr>
            </w:pPr>
            <w:r>
              <w:rPr>
                <w:rFonts w:hint="eastAsia" w:ascii="宋体" w:hAnsi="宋体" w:eastAsia="宋体"/>
                <w:sz w:val="21"/>
                <w:szCs w:val="21"/>
              </w:rPr>
              <w:t>按照以上原则性措施，针对具体事件情景，按岗位细化各项应对措施，并纳入岗位职责范围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021" w:hRule="atLeast"/>
          <w:jc w:val="center"/>
        </w:trPr>
        <w:tc>
          <w:tcPr>
            <w:tcW w:w="1134" w:type="dxa"/>
            <w:vMerge w:val="continue"/>
            <w:vAlign w:val="center"/>
          </w:tcPr>
          <w:p>
            <w:pPr>
              <w:keepNext/>
              <w:keepLines/>
              <w:adjustRightInd w:val="0"/>
              <w:snapToGrid w:val="0"/>
              <w:jc w:val="center"/>
              <w:rPr>
                <w:rFonts w:ascii="宋体" w:hAnsi="宋体" w:eastAsia="宋体"/>
                <w:sz w:val="21"/>
                <w:szCs w:val="21"/>
              </w:rPr>
            </w:pPr>
          </w:p>
        </w:tc>
        <w:tc>
          <w:tcPr>
            <w:tcW w:w="426" w:type="dxa"/>
            <w:vAlign w:val="center"/>
          </w:tcPr>
          <w:p>
            <w:pPr>
              <w:pStyle w:val="7"/>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32</w:t>
            </w:r>
            <w:r>
              <w:rPr>
                <w:rFonts w:hint="eastAsia" w:ascii="宋体" w:hAnsi="宋体" w:eastAsia="宋体"/>
                <w:sz w:val="21"/>
                <w:szCs w:val="21"/>
                <w:vertAlign w:val="superscript"/>
              </w:rPr>
              <w:t>b</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将应急措施细化、落实到岗位，形成应急处置卡</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Align w:val="center"/>
          </w:tcPr>
          <w:p>
            <w:pPr>
              <w:adjustRightInd w:val="0"/>
              <w:snapToGrid w:val="0"/>
              <w:rPr>
                <w:rFonts w:ascii="宋体" w:hAnsi="宋体" w:eastAsia="宋体"/>
                <w:sz w:val="21"/>
                <w:szCs w:val="21"/>
              </w:rPr>
            </w:pPr>
            <w:r>
              <w:rPr>
                <w:rFonts w:hint="eastAsia" w:ascii="宋体" w:hAnsi="宋体" w:eastAsia="宋体"/>
                <w:sz w:val="21"/>
                <w:szCs w:val="21"/>
              </w:rPr>
              <w:t>关键岗位的应急处置卡无遗漏，事件情景特征、处理步骤、应急物资、注意事项等叙述清晰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37" w:hRule="atLeast"/>
          <w:jc w:val="center"/>
        </w:trPr>
        <w:tc>
          <w:tcPr>
            <w:tcW w:w="1134" w:type="dxa"/>
            <w:vMerge w:val="continue"/>
            <w:vAlign w:val="center"/>
          </w:tcPr>
          <w:p>
            <w:pPr>
              <w:adjustRightInd w:val="0"/>
              <w:snapToGrid w:val="0"/>
              <w:jc w:val="center"/>
              <w:rPr>
                <w:rFonts w:ascii="宋体" w:hAnsi="宋体" w:eastAsia="宋体"/>
                <w:sz w:val="21"/>
                <w:szCs w:val="21"/>
              </w:rPr>
            </w:pPr>
          </w:p>
        </w:tc>
        <w:tc>
          <w:tcPr>
            <w:tcW w:w="426" w:type="dxa"/>
            <w:vAlign w:val="center"/>
          </w:tcPr>
          <w:p>
            <w:pPr>
              <w:pStyle w:val="7"/>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33</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配有厂区平面布置图，应急物资表</w:t>
            </w:r>
            <w:r>
              <w:rPr>
                <w:rFonts w:ascii="宋体" w:hAnsi="宋体" w:eastAsia="宋体"/>
                <w:sz w:val="21"/>
                <w:szCs w:val="21"/>
              </w:rPr>
              <w:t>/</w:t>
            </w:r>
            <w:r>
              <w:rPr>
                <w:rFonts w:hint="eastAsia" w:ascii="宋体" w:hAnsi="宋体" w:eastAsia="宋体"/>
                <w:sz w:val="21"/>
                <w:szCs w:val="21"/>
              </w:rPr>
              <w:t>分布图</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890" w:hRule="atLeast"/>
          <w:jc w:val="center"/>
        </w:trPr>
        <w:tc>
          <w:tcPr>
            <w:tcW w:w="1134"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应急终止</w:t>
            </w:r>
          </w:p>
        </w:tc>
        <w:tc>
          <w:tcPr>
            <w:tcW w:w="426" w:type="dxa"/>
            <w:vAlign w:val="center"/>
          </w:tcPr>
          <w:p>
            <w:pPr>
              <w:pStyle w:val="7"/>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34</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结合本单位实际，说明应急终止的条件和发布程序</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keepNext/>
              <w:keepLines/>
              <w:adjustRightInd w:val="0"/>
              <w:snapToGrid w:val="0"/>
              <w:rPr>
                <w:rFonts w:ascii="宋体" w:hAnsi="宋体" w:eastAsia="宋体"/>
                <w:sz w:val="21"/>
                <w:szCs w:val="21"/>
              </w:rPr>
            </w:pPr>
          </w:p>
        </w:tc>
        <w:tc>
          <w:tcPr>
            <w:tcW w:w="669" w:type="dxa"/>
            <w:vAlign w:val="top"/>
          </w:tcPr>
          <w:p>
            <w:pPr>
              <w:keepNext/>
              <w:keepLines/>
              <w:adjustRightInd w:val="0"/>
              <w:snapToGrid w:val="0"/>
              <w:rPr>
                <w:rFonts w:ascii="宋体" w:hAnsi="宋体" w:eastAsia="宋体"/>
                <w:sz w:val="21"/>
                <w:szCs w:val="21"/>
              </w:rPr>
            </w:pPr>
          </w:p>
        </w:tc>
        <w:tc>
          <w:tcPr>
            <w:tcW w:w="4850" w:type="dxa"/>
            <w:vAlign w:val="center"/>
          </w:tcPr>
          <w:p>
            <w:pPr>
              <w:keepNext/>
              <w:keepLines/>
              <w:adjustRightInd w:val="0"/>
              <w:snapToGrid w:val="0"/>
              <w:rPr>
                <w:rFonts w:ascii="宋体" w:hAnsi="宋体" w:eastAsia="宋体"/>
                <w:sz w:val="21"/>
                <w:szCs w:val="21"/>
              </w:rPr>
            </w:pPr>
            <w:r>
              <w:rPr>
                <w:rFonts w:hint="eastAsia" w:ascii="宋体" w:hAnsi="宋体" w:eastAsia="宋体"/>
                <w:sz w:val="21"/>
                <w:szCs w:val="21"/>
              </w:rPr>
              <w:t>列明应急终止的基本条件，明确应急终止的决策、指令内容及传递程序等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095" w:hRule="atLeast"/>
          <w:jc w:val="center"/>
        </w:trPr>
        <w:tc>
          <w:tcPr>
            <w:tcW w:w="1134"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事后恢复</w:t>
            </w:r>
          </w:p>
        </w:tc>
        <w:tc>
          <w:tcPr>
            <w:tcW w:w="426" w:type="dxa"/>
            <w:vAlign w:val="center"/>
          </w:tcPr>
          <w:p>
            <w:pPr>
              <w:pStyle w:val="7"/>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35</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说明事后恢复的工作内容和责任人，一般包括：现场污染物的后续处理；环境应急相关设施、设备、场所的维护；配合开展环境损害评估、赔偿、事件调查处理等</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Align w:val="center"/>
          </w:tcPr>
          <w:p>
            <w:pPr>
              <w:adjustRightInd w:val="0"/>
              <w:snapToGrid w:val="0"/>
              <w:rPr>
                <w:rFonts w:ascii="宋体" w:hAnsi="宋体" w:eastAsia="宋体"/>
                <w:sz w:val="21"/>
                <w:szCs w:val="21"/>
              </w:rPr>
            </w:pPr>
            <w:r>
              <w:rPr>
                <w:rFonts w:hint="eastAsia" w:ascii="宋体" w:hAnsi="宋体" w:eastAsia="宋体"/>
                <w:sz w:val="21"/>
                <w:szCs w:val="21"/>
              </w:rPr>
              <w:t>《突发事件应急预案管理办法》强调应急预案重在“应对”，适当向后延伸至“恢复”，即企业从突发环境事件应对的“非常规状态”过渡到“常规状态”的相关工作安排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875" w:hRule="atLeast"/>
          <w:jc w:val="center"/>
        </w:trPr>
        <w:tc>
          <w:tcPr>
            <w:tcW w:w="1134"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保障措施</w:t>
            </w:r>
          </w:p>
        </w:tc>
        <w:tc>
          <w:tcPr>
            <w:tcW w:w="426" w:type="dxa"/>
            <w:vAlign w:val="center"/>
          </w:tcPr>
          <w:p>
            <w:pPr>
              <w:pStyle w:val="7"/>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36</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说明环境应急预案涉及的人力资源、财力、物资以及其他技术、重要设施的保障</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Align w:val="center"/>
          </w:tcPr>
          <w:p>
            <w:pPr>
              <w:adjustRightInd w:val="0"/>
              <w:snapToGrid w:val="0"/>
              <w:rPr>
                <w:rFonts w:ascii="宋体" w:hAnsi="宋体" w:eastAsia="宋体"/>
                <w:sz w:val="21"/>
                <w:szCs w:val="21"/>
              </w:rPr>
            </w:pPr>
            <w:r>
              <w:rPr>
                <w:rFonts w:hint="eastAsia" w:ascii="宋体" w:hAnsi="宋体" w:eastAsia="宋体"/>
                <w:sz w:val="21"/>
                <w:szCs w:val="21"/>
              </w:rPr>
              <w:t>对各类保障措施进行总体安排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916" w:hRule="atLeast"/>
          <w:jc w:val="center"/>
        </w:trPr>
        <w:tc>
          <w:tcPr>
            <w:tcW w:w="1134" w:type="dxa"/>
            <w:vMerge w:val="restart"/>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预案管理</w:t>
            </w:r>
          </w:p>
        </w:tc>
        <w:tc>
          <w:tcPr>
            <w:tcW w:w="426" w:type="dxa"/>
            <w:vAlign w:val="center"/>
          </w:tcPr>
          <w:p>
            <w:pPr>
              <w:pStyle w:val="7"/>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37</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安排有关环境应急预案的培训和演练</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keepNext/>
              <w:keepLines/>
              <w:adjustRightInd w:val="0"/>
              <w:snapToGrid w:val="0"/>
              <w:rPr>
                <w:rFonts w:ascii="宋体" w:hAnsi="宋体" w:eastAsia="宋体"/>
                <w:sz w:val="21"/>
                <w:szCs w:val="21"/>
              </w:rPr>
            </w:pPr>
          </w:p>
        </w:tc>
        <w:tc>
          <w:tcPr>
            <w:tcW w:w="669" w:type="dxa"/>
            <w:vAlign w:val="top"/>
          </w:tcPr>
          <w:p>
            <w:pPr>
              <w:keepNext/>
              <w:keepLines/>
              <w:adjustRightInd w:val="0"/>
              <w:snapToGrid w:val="0"/>
              <w:rPr>
                <w:rFonts w:ascii="宋体" w:hAnsi="宋体" w:eastAsia="宋体"/>
                <w:sz w:val="21"/>
                <w:szCs w:val="21"/>
              </w:rPr>
            </w:pPr>
          </w:p>
        </w:tc>
        <w:tc>
          <w:tcPr>
            <w:tcW w:w="4850" w:type="dxa"/>
            <w:vAlign w:val="center"/>
          </w:tcPr>
          <w:p>
            <w:pPr>
              <w:keepNext/>
              <w:keepLines/>
              <w:adjustRightInd w:val="0"/>
              <w:snapToGrid w:val="0"/>
              <w:rPr>
                <w:rFonts w:ascii="宋体" w:hAnsi="宋体" w:eastAsia="宋体"/>
                <w:sz w:val="21"/>
                <w:szCs w:val="21"/>
              </w:rPr>
            </w:pPr>
            <w:r>
              <w:rPr>
                <w:rFonts w:hint="eastAsia" w:ascii="宋体" w:hAnsi="宋体" w:eastAsia="宋体"/>
                <w:sz w:val="21"/>
                <w:szCs w:val="21"/>
              </w:rPr>
              <w:t>对预案培训、演练进行总体安排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930" w:hRule="atLeast"/>
          <w:jc w:val="center"/>
        </w:trPr>
        <w:tc>
          <w:tcPr>
            <w:tcW w:w="1134" w:type="dxa"/>
            <w:vMerge w:val="continue"/>
            <w:vAlign w:val="center"/>
          </w:tcPr>
          <w:p>
            <w:pPr>
              <w:adjustRightInd w:val="0"/>
              <w:snapToGrid w:val="0"/>
              <w:jc w:val="center"/>
              <w:rPr>
                <w:rFonts w:ascii="宋体" w:hAnsi="宋体" w:eastAsia="宋体"/>
                <w:sz w:val="21"/>
                <w:szCs w:val="21"/>
              </w:rPr>
            </w:pPr>
          </w:p>
        </w:tc>
        <w:tc>
          <w:tcPr>
            <w:tcW w:w="426" w:type="dxa"/>
            <w:vAlign w:val="center"/>
          </w:tcPr>
          <w:p>
            <w:pPr>
              <w:pStyle w:val="7"/>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38</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明确环境应急预案的评估修订要求</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keepNext/>
              <w:keepLines/>
              <w:adjustRightInd w:val="0"/>
              <w:snapToGrid w:val="0"/>
              <w:rPr>
                <w:rFonts w:ascii="宋体" w:hAnsi="宋体" w:eastAsia="宋体"/>
                <w:sz w:val="21"/>
                <w:szCs w:val="21"/>
              </w:rPr>
            </w:pPr>
          </w:p>
        </w:tc>
        <w:tc>
          <w:tcPr>
            <w:tcW w:w="669" w:type="dxa"/>
            <w:vAlign w:val="top"/>
          </w:tcPr>
          <w:p>
            <w:pPr>
              <w:keepNext/>
              <w:keepLines/>
              <w:adjustRightInd w:val="0"/>
              <w:snapToGrid w:val="0"/>
              <w:rPr>
                <w:rFonts w:ascii="宋体" w:hAnsi="宋体" w:eastAsia="宋体"/>
                <w:sz w:val="21"/>
                <w:szCs w:val="21"/>
              </w:rPr>
            </w:pPr>
          </w:p>
        </w:tc>
        <w:tc>
          <w:tcPr>
            <w:tcW w:w="4850" w:type="dxa"/>
            <w:vAlign w:val="center"/>
          </w:tcPr>
          <w:p>
            <w:pPr>
              <w:keepNext/>
              <w:keepLines/>
              <w:adjustRightInd w:val="0"/>
              <w:snapToGrid w:val="0"/>
              <w:rPr>
                <w:rFonts w:ascii="宋体" w:hAnsi="宋体" w:eastAsia="宋体"/>
                <w:sz w:val="21"/>
                <w:szCs w:val="21"/>
              </w:rPr>
            </w:pPr>
            <w:r>
              <w:rPr>
                <w:rFonts w:hint="eastAsia" w:ascii="宋体" w:hAnsi="宋体" w:eastAsia="宋体"/>
                <w:sz w:val="21"/>
                <w:szCs w:val="21"/>
              </w:rPr>
              <w:t>对预案评估修订进行总体安排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25" w:hRule="atLeast"/>
          <w:jc w:val="center"/>
        </w:trPr>
        <w:tc>
          <w:tcPr>
            <w:tcW w:w="13781" w:type="dxa"/>
            <w:gridSpan w:val="8"/>
            <w:vAlign w:val="center"/>
          </w:tcPr>
          <w:p>
            <w:pPr>
              <w:adjustRightInd w:val="0"/>
              <w:snapToGrid w:val="0"/>
              <w:jc w:val="center"/>
              <w:rPr>
                <w:rFonts w:ascii="黑体" w:hAnsi="黑体" w:eastAsia="黑体"/>
                <w:sz w:val="21"/>
                <w:szCs w:val="21"/>
              </w:rPr>
            </w:pPr>
            <w:r>
              <w:rPr>
                <w:rFonts w:hint="eastAsia" w:ascii="黑体" w:hAnsi="黑体" w:eastAsia="黑体"/>
                <w:sz w:val="21"/>
                <w:szCs w:val="21"/>
              </w:rPr>
              <w:t>环境风险评估报告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237" w:hRule="atLeast"/>
          <w:jc w:val="center"/>
        </w:trPr>
        <w:tc>
          <w:tcPr>
            <w:tcW w:w="1134" w:type="dxa"/>
            <w:vMerge w:val="restart"/>
            <w:vAlign w:val="center"/>
          </w:tcPr>
          <w:p>
            <w:pPr>
              <w:adjustRightInd w:val="0"/>
              <w:snapToGrid w:val="0"/>
              <w:jc w:val="left"/>
              <w:rPr>
                <w:rFonts w:ascii="宋体" w:hAnsi="宋体" w:eastAsia="宋体"/>
                <w:sz w:val="21"/>
                <w:szCs w:val="21"/>
              </w:rPr>
            </w:pPr>
            <w:r>
              <w:rPr>
                <w:rFonts w:hint="eastAsia" w:ascii="宋体" w:hAnsi="宋体" w:eastAsia="宋体"/>
                <w:sz w:val="21"/>
                <w:szCs w:val="21"/>
              </w:rPr>
              <w:t>风险分析</w:t>
            </w:r>
            <w:r>
              <w:rPr>
                <w:rFonts w:hint="eastAsia" w:ascii="宋体" w:hAnsi="宋体" w:eastAsia="宋体"/>
                <w:sz w:val="21"/>
                <w:szCs w:val="21"/>
                <w:vertAlign w:val="superscript"/>
              </w:rPr>
              <w:t>c</w:t>
            </w:r>
          </w:p>
        </w:tc>
        <w:tc>
          <w:tcPr>
            <w:tcW w:w="426" w:type="dxa"/>
            <w:vAlign w:val="center"/>
          </w:tcPr>
          <w:p>
            <w:pPr>
              <w:pStyle w:val="7"/>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39</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识别出所有重要的环境风险物质；列表，至少列出重要环境风险物质的名称、数量（最大存在总量）、位置</w:t>
            </w:r>
            <w:r>
              <w:rPr>
                <w:rFonts w:ascii="宋体" w:hAnsi="宋体" w:eastAsia="宋体"/>
                <w:sz w:val="21"/>
                <w:szCs w:val="21"/>
              </w:rPr>
              <w:t>/</w:t>
            </w:r>
            <w:r>
              <w:rPr>
                <w:rFonts w:hint="eastAsia" w:ascii="宋体" w:hAnsi="宋体" w:eastAsia="宋体"/>
                <w:sz w:val="21"/>
                <w:szCs w:val="21"/>
              </w:rPr>
              <w:t>所在装置；环境风险物质数量大于临界量的，辨识重要环境风险单元</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jc w:val="left"/>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Align w:val="center"/>
          </w:tcPr>
          <w:p>
            <w:pPr>
              <w:adjustRightInd w:val="0"/>
              <w:snapToGrid w:val="0"/>
              <w:rPr>
                <w:rFonts w:ascii="宋体" w:hAnsi="宋体" w:eastAsia="宋体"/>
                <w:sz w:val="21"/>
                <w:szCs w:val="21"/>
              </w:rPr>
            </w:pPr>
            <w:r>
              <w:rPr>
                <w:rFonts w:hint="eastAsia" w:ascii="宋体" w:hAnsi="宋体" w:eastAsia="宋体"/>
                <w:sz w:val="21"/>
                <w:szCs w:val="21"/>
              </w:rPr>
              <w:t>对照企业突发环境事件风险评估相关文件，识别出所有重要的物质；对于数量大于临界量的，应辨识环境风险物质在企业哪些环境风险单元集中分布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972" w:hRule="atLeast"/>
          <w:jc w:val="center"/>
        </w:trPr>
        <w:tc>
          <w:tcPr>
            <w:tcW w:w="1134" w:type="dxa"/>
            <w:vMerge w:val="continue"/>
            <w:vAlign w:val="center"/>
          </w:tcPr>
          <w:p>
            <w:pPr>
              <w:adjustRightInd w:val="0"/>
              <w:snapToGrid w:val="0"/>
              <w:jc w:val="center"/>
              <w:rPr>
                <w:rFonts w:ascii="宋体" w:hAnsi="宋体" w:eastAsia="宋体"/>
                <w:sz w:val="21"/>
                <w:szCs w:val="21"/>
              </w:rPr>
            </w:pPr>
          </w:p>
        </w:tc>
        <w:tc>
          <w:tcPr>
            <w:tcW w:w="426" w:type="dxa"/>
            <w:vAlign w:val="center"/>
          </w:tcPr>
          <w:p>
            <w:pPr>
              <w:pStyle w:val="7"/>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40</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重点核对生产工艺、环境风险防控措施各项指标的赋值是否合理</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keepNext/>
              <w:keepLines/>
              <w:adjustRightInd w:val="0"/>
              <w:snapToGrid w:val="0"/>
              <w:rPr>
                <w:rFonts w:ascii="宋体" w:hAnsi="宋体" w:eastAsia="宋体"/>
                <w:sz w:val="21"/>
                <w:szCs w:val="21"/>
              </w:rPr>
            </w:pPr>
          </w:p>
        </w:tc>
        <w:tc>
          <w:tcPr>
            <w:tcW w:w="669" w:type="dxa"/>
            <w:vAlign w:val="top"/>
          </w:tcPr>
          <w:p>
            <w:pPr>
              <w:keepNext/>
              <w:keepLines/>
              <w:adjustRightInd w:val="0"/>
              <w:snapToGrid w:val="0"/>
              <w:rPr>
                <w:rFonts w:ascii="宋体" w:hAnsi="宋体" w:eastAsia="宋体"/>
                <w:sz w:val="21"/>
                <w:szCs w:val="21"/>
              </w:rPr>
            </w:pPr>
          </w:p>
        </w:tc>
        <w:tc>
          <w:tcPr>
            <w:tcW w:w="4850" w:type="dxa"/>
            <w:vAlign w:val="center"/>
          </w:tcPr>
          <w:p>
            <w:pPr>
              <w:keepNext/>
              <w:keepLines/>
              <w:adjustRightInd w:val="0"/>
              <w:snapToGrid w:val="0"/>
              <w:rPr>
                <w:rFonts w:ascii="宋体" w:hAnsi="宋体" w:eastAsia="宋体"/>
                <w:sz w:val="21"/>
                <w:szCs w:val="21"/>
              </w:rPr>
            </w:pPr>
            <w:r>
              <w:rPr>
                <w:rFonts w:hint="eastAsia" w:ascii="宋体" w:hAnsi="宋体" w:eastAsia="宋体"/>
                <w:sz w:val="21"/>
                <w:szCs w:val="21"/>
              </w:rPr>
              <w:t>按照企业突发环境事件风险评估相关文件的赋分规则审查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818" w:hRule="atLeast"/>
          <w:jc w:val="center"/>
        </w:trPr>
        <w:tc>
          <w:tcPr>
            <w:tcW w:w="1134" w:type="dxa"/>
            <w:vMerge w:val="continue"/>
            <w:vAlign w:val="center"/>
          </w:tcPr>
          <w:p/>
        </w:tc>
        <w:tc>
          <w:tcPr>
            <w:tcW w:w="426"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41</w:t>
            </w:r>
          </w:p>
        </w:tc>
        <w:tc>
          <w:tcPr>
            <w:tcW w:w="4819" w:type="dxa"/>
            <w:vAlign w:val="center"/>
          </w:tcPr>
          <w:p>
            <w:pPr>
              <w:adjustRightInd w:val="0"/>
              <w:snapToGrid w:val="0"/>
              <w:rPr>
                <w:rFonts w:ascii="宋体" w:hAnsi="宋体" w:eastAsia="宋体"/>
                <w:sz w:val="21"/>
                <w:szCs w:val="21"/>
              </w:rPr>
            </w:pPr>
            <w:r>
              <w:rPr>
                <w:rFonts w:hint="eastAsia" w:ascii="宋体" w:hAnsi="宋体" w:eastAsia="宋体"/>
                <w:sz w:val="21"/>
                <w:szCs w:val="21"/>
              </w:rPr>
              <w:t>环境风险受体类型的确定是否合理</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Align w:val="center"/>
          </w:tcPr>
          <w:p>
            <w:pPr>
              <w:adjustRightInd w:val="0"/>
              <w:snapToGrid w:val="0"/>
              <w:rPr>
                <w:rFonts w:ascii="宋体" w:hAnsi="宋体" w:eastAsia="宋体"/>
                <w:sz w:val="21"/>
                <w:szCs w:val="21"/>
              </w:rPr>
            </w:pPr>
            <w:r>
              <w:rPr>
                <w:rFonts w:hint="eastAsia" w:ascii="宋体" w:hAnsi="宋体" w:eastAsia="宋体"/>
                <w:sz w:val="21"/>
                <w:szCs w:val="21"/>
              </w:rPr>
              <w:t>按照企业突发环境事件风险评估相关文件的受体划分依据审查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93" w:hRule="atLeast"/>
          <w:jc w:val="center"/>
        </w:trPr>
        <w:tc>
          <w:tcPr>
            <w:tcW w:w="1134" w:type="dxa"/>
            <w:vMerge w:val="continue"/>
            <w:vAlign w:val="center"/>
          </w:tcPr>
          <w:p/>
        </w:tc>
        <w:tc>
          <w:tcPr>
            <w:tcW w:w="426"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42</w:t>
            </w:r>
          </w:p>
        </w:tc>
        <w:tc>
          <w:tcPr>
            <w:tcW w:w="4819" w:type="dxa"/>
            <w:vAlign w:val="center"/>
          </w:tcPr>
          <w:p>
            <w:pPr>
              <w:adjustRightInd w:val="0"/>
              <w:snapToGrid w:val="0"/>
              <w:rPr>
                <w:rFonts w:ascii="宋体" w:hAnsi="宋体" w:eastAsia="宋体"/>
                <w:sz w:val="21"/>
                <w:szCs w:val="21"/>
              </w:rPr>
            </w:pPr>
            <w:r>
              <w:rPr>
                <w:rFonts w:hint="eastAsia" w:ascii="宋体" w:hAnsi="宋体" w:eastAsia="宋体"/>
                <w:sz w:val="21"/>
                <w:szCs w:val="21"/>
              </w:rPr>
              <w:t>环境风险等级划分是否正确</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Align w:val="center"/>
          </w:tcPr>
          <w:p>
            <w:pPr>
              <w:adjustRightInd w:val="0"/>
              <w:snapToGrid w:val="0"/>
              <w:rPr>
                <w:rFonts w:ascii="宋体" w:hAnsi="宋体" w:eastAsia="宋体"/>
                <w:sz w:val="21"/>
                <w:szCs w:val="21"/>
              </w:rPr>
            </w:pPr>
            <w:r>
              <w:rPr>
                <w:rFonts w:hint="eastAsia" w:ascii="宋体" w:hAnsi="宋体" w:eastAsia="宋体"/>
                <w:sz w:val="21"/>
                <w:szCs w:val="21"/>
              </w:rPr>
              <w:t>按照企业突发环境事件风险评估相关文件审查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378" w:hRule="atLeast"/>
          <w:jc w:val="center"/>
        </w:trPr>
        <w:tc>
          <w:tcPr>
            <w:tcW w:w="1134" w:type="dxa"/>
            <w:vMerge w:val="restart"/>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情景构建</w:t>
            </w:r>
          </w:p>
        </w:tc>
        <w:tc>
          <w:tcPr>
            <w:tcW w:w="426" w:type="dxa"/>
            <w:vAlign w:val="center"/>
          </w:tcPr>
          <w:p>
            <w:pPr>
              <w:pStyle w:val="7"/>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43</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列明国内外同类企业的突发环境事件信息，提出本企业可能发生的突发环境事件情景</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keepNext/>
              <w:keepLines/>
              <w:adjustRightInd w:val="0"/>
              <w:snapToGrid w:val="0"/>
              <w:rPr>
                <w:rFonts w:ascii="宋体" w:hAnsi="宋体" w:eastAsia="宋体"/>
                <w:sz w:val="21"/>
                <w:szCs w:val="21"/>
              </w:rPr>
            </w:pPr>
          </w:p>
        </w:tc>
        <w:tc>
          <w:tcPr>
            <w:tcW w:w="669" w:type="dxa"/>
            <w:vAlign w:val="top"/>
          </w:tcPr>
          <w:p>
            <w:pPr>
              <w:keepNext/>
              <w:keepLines/>
              <w:adjustRightInd w:val="0"/>
              <w:snapToGrid w:val="0"/>
              <w:rPr>
                <w:rFonts w:ascii="宋体" w:hAnsi="宋体" w:eastAsia="宋体"/>
                <w:sz w:val="21"/>
                <w:szCs w:val="21"/>
              </w:rPr>
            </w:pPr>
          </w:p>
        </w:tc>
        <w:tc>
          <w:tcPr>
            <w:tcW w:w="4850" w:type="dxa"/>
            <w:vAlign w:val="center"/>
          </w:tcPr>
          <w:p>
            <w:pPr>
              <w:keepNext/>
              <w:keepLines/>
              <w:adjustRightInd w:val="0"/>
              <w:snapToGrid w:val="0"/>
              <w:rPr>
                <w:rFonts w:ascii="宋体" w:hAnsi="宋体" w:eastAsia="宋体"/>
                <w:sz w:val="21"/>
                <w:szCs w:val="21"/>
              </w:rPr>
            </w:pPr>
            <w:r>
              <w:rPr>
                <w:rFonts w:hint="eastAsia" w:ascii="宋体" w:hAnsi="宋体" w:eastAsia="宋体"/>
                <w:sz w:val="21"/>
                <w:szCs w:val="21"/>
              </w:rPr>
              <w:t>列表说明事件的日期、地点、引发原因、事件影响等内容，按照企业突发环境事件风险评估相关文件，结合企业实际列出事件情景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532" w:hRule="atLeast"/>
          <w:jc w:val="center"/>
        </w:trPr>
        <w:tc>
          <w:tcPr>
            <w:tcW w:w="1134" w:type="dxa"/>
            <w:vMerge w:val="continue"/>
            <w:vAlign w:val="center"/>
          </w:tcPr>
          <w:p>
            <w:pPr>
              <w:keepNext/>
              <w:keepLines/>
              <w:adjustRightInd w:val="0"/>
              <w:snapToGrid w:val="0"/>
              <w:jc w:val="center"/>
              <w:rPr>
                <w:rFonts w:ascii="宋体" w:hAnsi="宋体" w:eastAsia="宋体"/>
                <w:sz w:val="21"/>
                <w:szCs w:val="21"/>
              </w:rPr>
            </w:pPr>
          </w:p>
        </w:tc>
        <w:tc>
          <w:tcPr>
            <w:tcW w:w="426" w:type="dxa"/>
            <w:vAlign w:val="center"/>
          </w:tcPr>
          <w:p>
            <w:pPr>
              <w:pStyle w:val="7"/>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44</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源强分析，重点分析释放环境风险物质的种类、释放速率、持续时间</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jc w:val="left"/>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Align w:val="center"/>
          </w:tcPr>
          <w:p>
            <w:pPr>
              <w:adjustRightInd w:val="0"/>
              <w:snapToGrid w:val="0"/>
              <w:rPr>
                <w:rFonts w:ascii="宋体" w:hAnsi="宋体" w:eastAsia="宋体"/>
                <w:sz w:val="21"/>
                <w:szCs w:val="21"/>
              </w:rPr>
            </w:pPr>
            <w:r>
              <w:rPr>
                <w:rFonts w:hint="eastAsia" w:ascii="宋体" w:hAnsi="宋体" w:eastAsia="宋体"/>
                <w:sz w:val="21"/>
                <w:szCs w:val="21"/>
              </w:rPr>
              <w:t>针对每种典型事件情景进行源强分析，至少包括释放环境风险物质的种类、释放速率、持续时间三个要素，可以参考《建设项目环境风险评价技术导则》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489" w:hRule="atLeast"/>
          <w:jc w:val="center"/>
        </w:trPr>
        <w:tc>
          <w:tcPr>
            <w:tcW w:w="1134" w:type="dxa"/>
            <w:vMerge w:val="continue"/>
            <w:vAlign w:val="center"/>
          </w:tcPr>
          <w:p>
            <w:pPr>
              <w:adjustRightInd w:val="0"/>
              <w:snapToGrid w:val="0"/>
              <w:jc w:val="center"/>
              <w:rPr>
                <w:rFonts w:ascii="宋体" w:hAnsi="宋体" w:eastAsia="宋体"/>
                <w:sz w:val="21"/>
                <w:szCs w:val="21"/>
              </w:rPr>
            </w:pPr>
          </w:p>
        </w:tc>
        <w:tc>
          <w:tcPr>
            <w:tcW w:w="426" w:type="dxa"/>
            <w:vAlign w:val="center"/>
          </w:tcPr>
          <w:p>
            <w:pPr>
              <w:pStyle w:val="7"/>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45</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释放途径分析，重点分析环境风险物质从释放源头到受体之间的过程</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jc w:val="left"/>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Align w:val="center"/>
          </w:tcPr>
          <w:p>
            <w:pPr>
              <w:adjustRightInd w:val="0"/>
              <w:snapToGrid w:val="0"/>
              <w:rPr>
                <w:rFonts w:ascii="宋体" w:hAnsi="宋体" w:eastAsia="宋体"/>
                <w:sz w:val="21"/>
                <w:szCs w:val="21"/>
              </w:rPr>
            </w:pPr>
            <w:r>
              <w:rPr>
                <w:rFonts w:hint="eastAsia" w:ascii="宋体" w:hAnsi="宋体" w:eastAsia="宋体"/>
                <w:sz w:val="21"/>
                <w:szCs w:val="21"/>
              </w:rPr>
              <w:t>对于可能造成水污染的，分析环境风险物质从释放源头，经厂界内到厂界外，最终影响到环境风险受体的可能的路径；对于可能造成大气污染的，分析从泄漏源头释放至风险受体的路径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098" w:hRule="atLeast"/>
          <w:jc w:val="center"/>
        </w:trPr>
        <w:tc>
          <w:tcPr>
            <w:tcW w:w="1134" w:type="dxa"/>
            <w:vMerge w:val="continue"/>
            <w:vAlign w:val="center"/>
          </w:tcPr>
          <w:p>
            <w:pPr>
              <w:adjustRightInd w:val="0"/>
              <w:snapToGrid w:val="0"/>
              <w:jc w:val="center"/>
              <w:rPr>
                <w:rFonts w:ascii="宋体" w:hAnsi="宋体" w:eastAsia="宋体"/>
                <w:sz w:val="21"/>
                <w:szCs w:val="21"/>
              </w:rPr>
            </w:pPr>
          </w:p>
        </w:tc>
        <w:tc>
          <w:tcPr>
            <w:tcW w:w="426" w:type="dxa"/>
            <w:vAlign w:val="center"/>
          </w:tcPr>
          <w:p>
            <w:pPr>
              <w:pStyle w:val="7"/>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46</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危害后果分析，重点分析环境风险物质的影响范围和程度</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keepNext/>
              <w:keepLines/>
              <w:adjustRightInd w:val="0"/>
              <w:snapToGrid w:val="0"/>
              <w:rPr>
                <w:rFonts w:ascii="宋体" w:hAnsi="宋体" w:eastAsia="宋体"/>
                <w:sz w:val="21"/>
                <w:szCs w:val="21"/>
              </w:rPr>
            </w:pPr>
          </w:p>
        </w:tc>
        <w:tc>
          <w:tcPr>
            <w:tcW w:w="669" w:type="dxa"/>
            <w:vAlign w:val="top"/>
          </w:tcPr>
          <w:p>
            <w:pPr>
              <w:keepNext/>
              <w:keepLines/>
              <w:adjustRightInd w:val="0"/>
              <w:snapToGrid w:val="0"/>
              <w:rPr>
                <w:rFonts w:ascii="宋体" w:hAnsi="宋体" w:eastAsia="宋体"/>
                <w:sz w:val="21"/>
                <w:szCs w:val="21"/>
              </w:rPr>
            </w:pPr>
          </w:p>
        </w:tc>
        <w:tc>
          <w:tcPr>
            <w:tcW w:w="4850" w:type="dxa"/>
            <w:vAlign w:val="center"/>
          </w:tcPr>
          <w:p>
            <w:pPr>
              <w:keepNext/>
              <w:keepLines/>
              <w:adjustRightInd w:val="0"/>
              <w:snapToGrid w:val="0"/>
              <w:rPr>
                <w:rFonts w:ascii="宋体" w:hAnsi="宋体" w:eastAsia="宋体"/>
                <w:sz w:val="21"/>
                <w:szCs w:val="21"/>
              </w:rPr>
            </w:pPr>
            <w:r>
              <w:rPr>
                <w:rFonts w:hint="eastAsia" w:ascii="宋体" w:hAnsi="宋体" w:eastAsia="宋体"/>
                <w:sz w:val="21"/>
                <w:szCs w:val="21"/>
              </w:rPr>
              <w:t>针对每种情景的重点环境风险物质，计算浓度分布情况，说明影响范围和程度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153" w:hRule="atLeast"/>
          <w:jc w:val="center"/>
        </w:trPr>
        <w:tc>
          <w:tcPr>
            <w:tcW w:w="1134" w:type="dxa"/>
            <w:vMerge w:val="continue"/>
            <w:vAlign w:val="center"/>
          </w:tcPr>
          <w:p>
            <w:pPr>
              <w:keepNext/>
              <w:keepLines/>
              <w:adjustRightInd w:val="0"/>
              <w:snapToGrid w:val="0"/>
              <w:jc w:val="center"/>
              <w:rPr>
                <w:rFonts w:ascii="宋体" w:hAnsi="宋体" w:eastAsia="宋体"/>
                <w:sz w:val="21"/>
                <w:szCs w:val="21"/>
              </w:rPr>
            </w:pPr>
          </w:p>
        </w:tc>
        <w:tc>
          <w:tcPr>
            <w:tcW w:w="426" w:type="dxa"/>
            <w:vAlign w:val="center"/>
          </w:tcPr>
          <w:p>
            <w:pPr>
              <w:pStyle w:val="7"/>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47</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明确在最坏情景下，大气环境风险物质影响最远距离内的人口数量及位置等，水环境敏感受体的数量及位置等信息，并附有相关示意图</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jc w:val="left"/>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Align w:val="center"/>
          </w:tcPr>
          <w:p>
            <w:pPr>
              <w:adjustRightInd w:val="0"/>
              <w:snapToGrid w:val="0"/>
              <w:rPr>
                <w:rFonts w:ascii="宋体" w:hAnsi="宋体" w:eastAsia="宋体"/>
                <w:sz w:val="21"/>
                <w:szCs w:val="21"/>
              </w:rPr>
            </w:pPr>
            <w:r>
              <w:rPr>
                <w:rFonts w:hint="eastAsia" w:ascii="宋体" w:hAnsi="宋体" w:eastAsia="宋体"/>
                <w:sz w:val="21"/>
                <w:szCs w:val="21"/>
              </w:rPr>
              <w:t>针对最坏情景的计算结果，列出受影响的大气和水环境保护目标，附图示说明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433" w:hRule="atLeast"/>
          <w:jc w:val="center"/>
        </w:trPr>
        <w:tc>
          <w:tcPr>
            <w:tcW w:w="1134"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完善计划</w:t>
            </w:r>
          </w:p>
        </w:tc>
        <w:tc>
          <w:tcPr>
            <w:tcW w:w="426" w:type="dxa"/>
            <w:vAlign w:val="center"/>
          </w:tcPr>
          <w:p>
            <w:pPr>
              <w:pStyle w:val="7"/>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48</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分析现有环境风险防控与应急措施所存在的差距，制定环境风险防控整改完善计划</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keepNext/>
              <w:keepLines/>
              <w:adjustRightInd w:val="0"/>
              <w:snapToGrid w:val="0"/>
              <w:rPr>
                <w:rFonts w:ascii="宋体" w:hAnsi="宋体" w:eastAsia="宋体"/>
                <w:sz w:val="21"/>
                <w:szCs w:val="21"/>
              </w:rPr>
            </w:pPr>
          </w:p>
        </w:tc>
        <w:tc>
          <w:tcPr>
            <w:tcW w:w="669" w:type="dxa"/>
            <w:vAlign w:val="top"/>
          </w:tcPr>
          <w:p>
            <w:pPr>
              <w:keepNext/>
              <w:keepLines/>
              <w:adjustRightInd w:val="0"/>
              <w:snapToGrid w:val="0"/>
              <w:rPr>
                <w:rFonts w:ascii="宋体" w:hAnsi="宋体" w:eastAsia="宋体"/>
                <w:sz w:val="21"/>
                <w:szCs w:val="21"/>
              </w:rPr>
            </w:pPr>
          </w:p>
        </w:tc>
        <w:tc>
          <w:tcPr>
            <w:tcW w:w="4850" w:type="dxa"/>
            <w:vAlign w:val="center"/>
          </w:tcPr>
          <w:p>
            <w:pPr>
              <w:keepNext/>
              <w:keepLines/>
              <w:adjustRightInd w:val="0"/>
              <w:snapToGrid w:val="0"/>
              <w:rPr>
                <w:rFonts w:ascii="宋体" w:hAnsi="宋体" w:eastAsia="宋体"/>
                <w:sz w:val="21"/>
                <w:szCs w:val="21"/>
              </w:rPr>
            </w:pPr>
            <w:r>
              <w:rPr>
                <w:rFonts w:hint="eastAsia" w:ascii="宋体" w:hAnsi="宋体" w:eastAsia="宋体"/>
                <w:sz w:val="21"/>
                <w:szCs w:val="21"/>
              </w:rPr>
              <w:t>对现有环境风险防控与应急措施的完备性、可靠性和有效性进行分析论证，找出差距、问题。针对需要整改的短期、中期和长期项目，分别制定完善环境风险防控和应急措施的实施计划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3781" w:type="dxa"/>
            <w:gridSpan w:val="8"/>
            <w:vAlign w:val="center"/>
          </w:tcPr>
          <w:p>
            <w:pPr>
              <w:adjustRightInd w:val="0"/>
              <w:snapToGrid w:val="0"/>
              <w:jc w:val="center"/>
              <w:rPr>
                <w:rFonts w:ascii="黑体" w:hAnsi="黑体" w:eastAsia="黑体"/>
                <w:sz w:val="21"/>
                <w:szCs w:val="21"/>
              </w:rPr>
            </w:pPr>
            <w:r>
              <w:rPr>
                <w:rFonts w:hint="eastAsia" w:ascii="黑体" w:hAnsi="黑体" w:eastAsia="黑体"/>
                <w:sz w:val="21"/>
                <w:szCs w:val="21"/>
              </w:rPr>
              <w:t>环境应急资源调查报告（表）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713" w:hRule="atLeast"/>
          <w:jc w:val="center"/>
        </w:trPr>
        <w:tc>
          <w:tcPr>
            <w:tcW w:w="1134"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调查内容</w:t>
            </w:r>
          </w:p>
        </w:tc>
        <w:tc>
          <w:tcPr>
            <w:tcW w:w="426" w:type="dxa"/>
            <w:vAlign w:val="center"/>
          </w:tcPr>
          <w:p>
            <w:pPr>
              <w:pStyle w:val="7"/>
              <w:keepNext/>
              <w:keepLines/>
              <w:tabs>
                <w:tab w:val="left" w:pos="0"/>
              </w:tab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49</w:t>
            </w:r>
          </w:p>
        </w:tc>
        <w:tc>
          <w:tcPr>
            <w:tcW w:w="4819" w:type="dxa"/>
            <w:vAlign w:val="center"/>
          </w:tcPr>
          <w:p>
            <w:pPr>
              <w:adjustRightInd w:val="0"/>
              <w:snapToGrid w:val="0"/>
              <w:jc w:val="left"/>
              <w:rPr>
                <w:rFonts w:ascii="宋体" w:hAnsi="宋体" w:eastAsia="宋体"/>
                <w:spacing w:val="-2"/>
                <w:sz w:val="21"/>
                <w:szCs w:val="21"/>
              </w:rPr>
            </w:pPr>
            <w:r>
              <w:rPr>
                <w:rFonts w:hint="eastAsia" w:ascii="宋体" w:hAnsi="宋体" w:eastAsia="宋体"/>
                <w:spacing w:val="-2"/>
                <w:sz w:val="21"/>
                <w:szCs w:val="21"/>
              </w:rPr>
              <w:t>第一时间可调用的环境应急队伍、装备、物资、场所</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center"/>
          </w:tcPr>
          <w:p>
            <w:pPr>
              <w:keepNext/>
              <w:keepLines/>
              <w:adjustRightInd w:val="0"/>
              <w:snapToGrid w:val="0"/>
              <w:jc w:val="center"/>
              <w:rPr>
                <w:rFonts w:ascii="宋体" w:hAnsi="宋体" w:eastAsia="宋体"/>
                <w:sz w:val="21"/>
                <w:szCs w:val="21"/>
              </w:rPr>
            </w:pPr>
          </w:p>
        </w:tc>
        <w:tc>
          <w:tcPr>
            <w:tcW w:w="669" w:type="dxa"/>
            <w:vAlign w:val="center"/>
          </w:tcPr>
          <w:p>
            <w:pPr>
              <w:keepNext/>
              <w:keepLines/>
              <w:adjustRightInd w:val="0"/>
              <w:snapToGrid w:val="0"/>
              <w:jc w:val="center"/>
              <w:rPr>
                <w:rFonts w:ascii="宋体" w:hAnsi="宋体" w:eastAsia="宋体"/>
                <w:sz w:val="21"/>
                <w:szCs w:val="21"/>
              </w:rPr>
            </w:pPr>
          </w:p>
        </w:tc>
        <w:tc>
          <w:tcPr>
            <w:tcW w:w="4850" w:type="dxa"/>
            <w:vAlign w:val="center"/>
          </w:tcPr>
          <w:p>
            <w:pPr>
              <w:keepNext/>
              <w:keepLines/>
              <w:adjustRightInd w:val="0"/>
              <w:snapToGrid w:val="0"/>
              <w:jc w:val="left"/>
              <w:rPr>
                <w:rFonts w:ascii="宋体" w:hAnsi="宋体" w:eastAsia="宋体"/>
                <w:sz w:val="21"/>
                <w:szCs w:val="21"/>
              </w:rPr>
            </w:pPr>
            <w:r>
              <w:rPr>
                <w:rFonts w:hint="eastAsia" w:ascii="宋体" w:hAnsi="宋体" w:eastAsia="宋体"/>
                <w:sz w:val="21"/>
                <w:szCs w:val="21"/>
              </w:rPr>
              <w:t>重点调查可以直接使用的环境应急资源，包括：专职和兼职应急队伍；自储、代储、协议储备的环境应急装备；自储、代储、协议储备环境应急物资；应急处置场所、应急物资或装备存放场所、应急指挥场所。预案中的应急措施使用的环境应急资源与现有资源一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042" w:hRule="atLeast"/>
          <w:jc w:val="center"/>
        </w:trPr>
        <w:tc>
          <w:tcPr>
            <w:tcW w:w="1134"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调查结果</w:t>
            </w:r>
          </w:p>
        </w:tc>
        <w:tc>
          <w:tcPr>
            <w:tcW w:w="426" w:type="dxa"/>
            <w:vAlign w:val="center"/>
          </w:tcPr>
          <w:p>
            <w:pPr>
              <w:pStyle w:val="7"/>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50</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针对环境应急资源清单，抽查数据的可信性</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jc w:val="left"/>
              <w:rPr>
                <w:rFonts w:ascii="宋体" w:hAnsi="宋体" w:eastAsia="宋体"/>
                <w:sz w:val="21"/>
                <w:szCs w:val="21"/>
              </w:rPr>
            </w:pPr>
            <w:r>
              <w:rPr>
                <w:rFonts w:hint="eastAsia" w:ascii="宋体" w:hAnsi="宋体" w:eastAsia="宋体"/>
                <w:sz w:val="21"/>
                <w:szCs w:val="21"/>
              </w:rPr>
              <w:t>□不符合</w:t>
            </w:r>
          </w:p>
        </w:tc>
        <w:tc>
          <w:tcPr>
            <w:tcW w:w="607" w:type="dxa"/>
            <w:gridSpan w:val="2"/>
            <w:vAlign w:val="center"/>
          </w:tcPr>
          <w:p>
            <w:pPr>
              <w:adjustRightInd w:val="0"/>
              <w:snapToGrid w:val="0"/>
              <w:jc w:val="center"/>
              <w:rPr>
                <w:rFonts w:ascii="宋体" w:hAnsi="宋体" w:eastAsia="宋体"/>
                <w:sz w:val="21"/>
                <w:szCs w:val="21"/>
              </w:rPr>
            </w:pPr>
          </w:p>
        </w:tc>
        <w:tc>
          <w:tcPr>
            <w:tcW w:w="669" w:type="dxa"/>
            <w:vAlign w:val="center"/>
          </w:tcPr>
          <w:p>
            <w:pPr>
              <w:adjustRightInd w:val="0"/>
              <w:snapToGrid w:val="0"/>
              <w:jc w:val="center"/>
              <w:rPr>
                <w:rFonts w:ascii="宋体" w:hAnsi="宋体" w:eastAsia="宋体"/>
                <w:sz w:val="21"/>
                <w:szCs w:val="21"/>
              </w:rPr>
            </w:pPr>
          </w:p>
        </w:tc>
        <w:tc>
          <w:tcPr>
            <w:tcW w:w="4850"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通过逻辑分析、现场抽查等方式对调查数据进行查验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74" w:hRule="atLeast"/>
          <w:jc w:val="center"/>
        </w:trPr>
        <w:tc>
          <w:tcPr>
            <w:tcW w:w="7655" w:type="dxa"/>
            <w:gridSpan w:val="4"/>
            <w:vAlign w:val="center"/>
          </w:tcPr>
          <w:p>
            <w:pPr>
              <w:adjustRightInd w:val="0"/>
              <w:snapToGrid w:val="0"/>
              <w:jc w:val="center"/>
              <w:rPr>
                <w:rFonts w:ascii="宋体" w:hAnsi="宋体" w:eastAsia="宋体"/>
                <w:b/>
                <w:sz w:val="21"/>
                <w:szCs w:val="21"/>
              </w:rPr>
            </w:pPr>
            <w:r>
              <w:rPr>
                <w:rFonts w:hint="eastAsia" w:ascii="宋体" w:hAnsi="宋体" w:eastAsia="宋体"/>
                <w:b/>
                <w:sz w:val="21"/>
                <w:szCs w:val="21"/>
              </w:rPr>
              <w:t>合  计</w:t>
            </w:r>
          </w:p>
        </w:tc>
        <w:tc>
          <w:tcPr>
            <w:tcW w:w="607" w:type="dxa"/>
            <w:gridSpan w:val="2"/>
            <w:vAlign w:val="center"/>
          </w:tcPr>
          <w:p>
            <w:pPr>
              <w:adjustRightInd w:val="0"/>
              <w:snapToGrid w:val="0"/>
              <w:jc w:val="center"/>
              <w:rPr>
                <w:rFonts w:ascii="宋体" w:hAnsi="宋体" w:eastAsia="宋体"/>
                <w:b/>
                <w:sz w:val="21"/>
                <w:szCs w:val="21"/>
              </w:rPr>
            </w:pPr>
          </w:p>
        </w:tc>
        <w:tc>
          <w:tcPr>
            <w:tcW w:w="669" w:type="dxa"/>
            <w:vAlign w:val="center"/>
          </w:tcPr>
          <w:p>
            <w:pPr>
              <w:adjustRightInd w:val="0"/>
              <w:snapToGrid w:val="0"/>
              <w:jc w:val="center"/>
              <w:rPr>
                <w:rFonts w:ascii="宋体" w:hAnsi="宋体" w:eastAsia="宋体"/>
                <w:b/>
                <w:sz w:val="21"/>
                <w:szCs w:val="21"/>
              </w:rPr>
            </w:pPr>
            <w:r>
              <w:rPr>
                <w:rFonts w:hint="eastAsia" w:ascii="宋体" w:hAnsi="宋体" w:eastAsia="宋体"/>
                <w:b/>
                <w:sz w:val="21"/>
                <w:szCs w:val="21"/>
              </w:rPr>
              <w:t>-</w:t>
            </w:r>
          </w:p>
        </w:tc>
        <w:tc>
          <w:tcPr>
            <w:tcW w:w="4850" w:type="dxa"/>
            <w:vAlign w:val="center"/>
          </w:tcPr>
          <w:p>
            <w:pPr>
              <w:adjustRightInd w:val="0"/>
              <w:snapToGrid w:val="0"/>
              <w:jc w:val="center"/>
              <w:rPr>
                <w:rFonts w:ascii="宋体" w:hAnsi="宋体" w:eastAsia="宋体"/>
                <w:b/>
                <w:sz w:val="21"/>
                <w:szCs w:val="21"/>
              </w:rPr>
            </w:pPr>
            <w:r>
              <w:rPr>
                <w:rFonts w:hint="eastAsia" w:ascii="宋体" w:hAnsi="宋体" w:eastAsia="宋体"/>
                <w:b/>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042" w:hRule="atLeast"/>
          <w:jc w:val="center"/>
        </w:trPr>
        <w:tc>
          <w:tcPr>
            <w:tcW w:w="13781" w:type="dxa"/>
            <w:gridSpan w:val="8"/>
            <w:vAlign w:val="center"/>
          </w:tcPr>
          <w:p>
            <w:pPr>
              <w:keepNext/>
              <w:keepLines/>
              <w:adjustRightInd w:val="0"/>
              <w:snapToGrid w:val="0"/>
              <w:rPr>
                <w:rFonts w:ascii="宋体" w:hAnsi="宋体" w:eastAsia="宋体"/>
                <w:sz w:val="21"/>
                <w:szCs w:val="21"/>
              </w:rPr>
            </w:pPr>
            <w:r>
              <w:rPr>
                <w:rFonts w:hint="eastAsia" w:ascii="宋体" w:hAnsi="宋体" w:eastAsia="宋体"/>
                <w:sz w:val="21"/>
                <w:szCs w:val="21"/>
              </w:rPr>
              <w:t>评审人员（签字）：</w:t>
            </w:r>
          </w:p>
          <w:p>
            <w:pPr>
              <w:keepNext/>
              <w:keepLines/>
              <w:adjustRightInd w:val="0"/>
              <w:snapToGrid w:val="0"/>
              <w:rPr>
                <w:rFonts w:ascii="宋体" w:hAnsi="宋体" w:eastAsia="宋体"/>
                <w:sz w:val="21"/>
                <w:szCs w:val="21"/>
              </w:rPr>
            </w:pPr>
            <w:r>
              <w:rPr>
                <w:rFonts w:hint="eastAsia" w:ascii="宋体" w:hAnsi="宋体" w:eastAsia="宋体"/>
                <w:sz w:val="21"/>
                <w:szCs w:val="21"/>
              </w:rPr>
              <w:t xml:space="preserve">                                                                                          评审日期：</w:t>
            </w:r>
            <w:r>
              <w:rPr>
                <w:rFonts w:ascii="宋体" w:hAnsi="宋体" w:eastAsia="宋体"/>
                <w:sz w:val="21"/>
                <w:szCs w:val="21"/>
              </w:rPr>
              <w:t xml:space="preserve">     </w:t>
            </w: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tc>
      </w:tr>
    </w:tbl>
    <w:p>
      <w:pPr>
        <w:adjustRightInd w:val="0"/>
        <w:snapToGrid w:val="0"/>
        <w:spacing w:line="288" w:lineRule="auto"/>
        <w:rPr>
          <w:rFonts w:hint="eastAsia" w:ascii="宋体" w:hAnsi="宋体" w:eastAsia="宋体"/>
          <w:sz w:val="21"/>
        </w:rPr>
      </w:pPr>
      <w:r>
        <w:rPr>
          <w:rFonts w:hint="eastAsia" w:ascii="宋体" w:hAnsi="宋体" w:eastAsia="宋体"/>
          <w:sz w:val="21"/>
        </w:rPr>
        <w:t>注：1.符合，指的是评审专家判定某一项指标所涉及的内容能够反映制定环境应急预案的企业开展了该项工作，且工作全面、深入、质量高；部分</w:t>
      </w:r>
    </w:p>
    <w:p>
      <w:pPr>
        <w:adjustRightInd w:val="0"/>
        <w:snapToGrid w:val="0"/>
        <w:spacing w:line="288" w:lineRule="auto"/>
        <w:rPr>
          <w:rFonts w:hint="eastAsia" w:ascii="宋体" w:hAnsi="宋体" w:eastAsia="宋体"/>
          <w:sz w:val="21"/>
        </w:rPr>
      </w:pPr>
      <w:r>
        <w:rPr>
          <w:rFonts w:hint="eastAsia" w:ascii="宋体" w:hAnsi="宋体" w:eastAsia="宋体"/>
          <w:sz w:val="21"/>
        </w:rPr>
        <w:t xml:space="preserve">      符合，指的是评审专家判定企业开展了该项工作，但工作不全面、不深入或质量不高；不符合，指的是评审人员判定企业未开展该项工作，</w:t>
      </w:r>
    </w:p>
    <w:p>
      <w:pPr>
        <w:adjustRightInd w:val="0"/>
        <w:snapToGrid w:val="0"/>
        <w:spacing w:line="288" w:lineRule="auto"/>
        <w:rPr>
          <w:rFonts w:ascii="宋体" w:hAnsi="宋体" w:eastAsia="宋体"/>
          <w:sz w:val="21"/>
        </w:rPr>
      </w:pPr>
      <w:r>
        <w:rPr>
          <w:rFonts w:hint="eastAsia" w:ascii="宋体" w:hAnsi="宋体" w:eastAsia="宋体"/>
          <w:sz w:val="21"/>
        </w:rPr>
        <w:t xml:space="preserve">      或工作有重大疏漏、流于形式或质量差。</w:t>
      </w:r>
    </w:p>
    <w:p>
      <w:pPr>
        <w:adjustRightInd w:val="0"/>
        <w:snapToGrid w:val="0"/>
        <w:spacing w:line="288" w:lineRule="auto"/>
        <w:rPr>
          <w:rFonts w:hint="eastAsia" w:ascii="宋体" w:hAnsi="宋体" w:eastAsia="宋体"/>
          <w:sz w:val="21"/>
        </w:rPr>
      </w:pPr>
      <w:r>
        <w:rPr>
          <w:rFonts w:hint="eastAsia" w:ascii="宋体" w:hAnsi="宋体" w:eastAsia="宋体"/>
          <w:sz w:val="21"/>
        </w:rPr>
        <w:t xml:space="preserve">    2.赋分原则：“符合”得2分、“部分符合”得1分、“不符合”得0分；其中标注a的指标得分按“符合”得1分、“部分符合”得0.5分、“不</w:t>
      </w:r>
    </w:p>
    <w:p>
      <w:pPr>
        <w:adjustRightInd w:val="0"/>
        <w:snapToGrid w:val="0"/>
        <w:spacing w:line="288" w:lineRule="auto"/>
        <w:rPr>
          <w:rFonts w:hint="eastAsia" w:ascii="宋体" w:hAnsi="宋体" w:eastAsia="宋体"/>
          <w:sz w:val="21"/>
        </w:rPr>
      </w:pPr>
      <w:r>
        <w:rPr>
          <w:rFonts w:hint="eastAsia" w:ascii="宋体" w:hAnsi="宋体" w:eastAsia="宋体"/>
          <w:sz w:val="21"/>
        </w:rPr>
        <w:t xml:space="preserve">      符合”得0分计，标注b的指标得分按“符合”得3分、“部分符合”得1.5分、“不符合”得0分计。</w:t>
      </w:r>
    </w:p>
    <w:p>
      <w:pPr>
        <w:adjustRightInd w:val="0"/>
        <w:snapToGrid w:val="0"/>
        <w:spacing w:line="288" w:lineRule="auto"/>
        <w:rPr>
          <w:rFonts w:ascii="宋体" w:hAnsi="宋体" w:eastAsia="宋体"/>
          <w:sz w:val="21"/>
        </w:rPr>
      </w:pPr>
      <w:r>
        <w:rPr>
          <w:rFonts w:hint="eastAsia" w:ascii="宋体" w:hAnsi="宋体" w:eastAsia="宋体"/>
          <w:sz w:val="21"/>
        </w:rPr>
        <w:t xml:space="preserve">    3.指标调整：标注</w:t>
      </w:r>
      <w:r>
        <w:rPr>
          <w:rFonts w:ascii="宋体" w:hAnsi="宋体" w:eastAsia="宋体"/>
          <w:sz w:val="21"/>
        </w:rPr>
        <w:t>c</w:t>
      </w:r>
      <w:r>
        <w:rPr>
          <w:rFonts w:hint="eastAsia" w:ascii="宋体" w:hAnsi="宋体" w:eastAsia="宋体"/>
          <w:sz w:val="21"/>
        </w:rPr>
        <w:t>的指标或项目中的部分指标，评审组可以对不适用的进行调整。</w:t>
      </w:r>
    </w:p>
    <w:p>
      <w:pPr>
        <w:adjustRightInd w:val="0"/>
        <w:snapToGrid w:val="0"/>
        <w:spacing w:line="288" w:lineRule="auto"/>
        <w:rPr>
          <w:rFonts w:ascii="宋体" w:hAnsi="宋体" w:eastAsia="宋体"/>
          <w:sz w:val="21"/>
        </w:rPr>
      </w:pPr>
      <w:r>
        <w:rPr>
          <w:rFonts w:hint="eastAsia" w:ascii="宋体" w:hAnsi="宋体" w:eastAsia="宋体"/>
          <w:sz w:val="21"/>
        </w:rPr>
        <w:t xml:space="preserve">    4.“一票否决”项不计入评审得分。</w:t>
      </w:r>
    </w:p>
    <w:p>
      <w:pPr>
        <w:adjustRightInd w:val="0"/>
        <w:snapToGrid w:val="0"/>
        <w:spacing w:line="288" w:lineRule="auto"/>
        <w:rPr>
          <w:rFonts w:ascii="宋体" w:hAnsi="宋体" w:eastAsia="宋体"/>
          <w:sz w:val="21"/>
        </w:rPr>
      </w:pPr>
      <w:r>
        <w:rPr>
          <w:rFonts w:hint="eastAsia" w:ascii="宋体" w:hAnsi="宋体" w:eastAsia="宋体"/>
          <w:sz w:val="21"/>
        </w:rPr>
        <w:t xml:space="preserve">    5.指标说明供参考。</w:t>
      </w:r>
    </w:p>
    <w:p/>
    <w:sectPr>
      <w:footerReference r:id="rId3" w:type="default"/>
      <w:pgSz w:w="16838" w:h="11906" w:orient="landscape"/>
      <w:pgMar w:top="1701" w:right="1701" w:bottom="1701" w:left="1701" w:header="851" w:footer="992" w:gutter="0"/>
      <w:paperSrc/>
      <w:cols w:space="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Fonts w:hint="eastAsia" w:ascii="宋体" w:hAnsi="宋体" w:eastAsia="宋体"/>
        <w:sz w:val="28"/>
        <w:szCs w:val="28"/>
      </w:rPr>
    </w:pPr>
    <w:r>
      <w:rPr>
        <w:rStyle w:val="5"/>
        <w:rFonts w:hint="eastAsia" w:ascii="宋体" w:hAnsi="宋体" w:eastAsia="宋体"/>
        <w:sz w:val="28"/>
        <w:szCs w:val="28"/>
      </w:rPr>
      <w:t>—</w:t>
    </w:r>
    <w:r>
      <w:rPr>
        <w:rStyle w:val="5"/>
        <w:rFonts w:hint="eastAsia" w:ascii="宋体" w:hAnsi="宋体" w:eastAsia="宋体"/>
        <w:sz w:val="20"/>
        <w:szCs w:val="20"/>
      </w:rPr>
      <w:t xml:space="preserve">  </w:t>
    </w:r>
    <w:r>
      <w:rPr>
        <w:rFonts w:ascii="宋体" w:hAnsi="宋体" w:eastAsia="宋体"/>
        <w:sz w:val="26"/>
        <w:szCs w:val="26"/>
      </w:rPr>
      <w:fldChar w:fldCharType="begin"/>
    </w:r>
    <w:r>
      <w:rPr>
        <w:rStyle w:val="5"/>
        <w:rFonts w:ascii="宋体" w:hAnsi="宋体" w:eastAsia="宋体"/>
        <w:sz w:val="26"/>
        <w:szCs w:val="26"/>
      </w:rPr>
      <w:instrText xml:space="preserve">PAGE  </w:instrText>
    </w:r>
    <w:r>
      <w:rPr>
        <w:rFonts w:ascii="宋体" w:hAnsi="宋体" w:eastAsia="宋体"/>
        <w:sz w:val="26"/>
        <w:szCs w:val="26"/>
      </w:rPr>
      <w:fldChar w:fldCharType="separate"/>
    </w:r>
    <w:r>
      <w:rPr>
        <w:rStyle w:val="5"/>
        <w:rFonts w:ascii="宋体" w:hAnsi="宋体" w:eastAsia="宋体"/>
        <w:sz w:val="26"/>
        <w:szCs w:val="26"/>
      </w:rPr>
      <w:t>19</w:t>
    </w:r>
    <w:r>
      <w:rPr>
        <w:rFonts w:ascii="宋体" w:hAnsi="宋体" w:eastAsia="宋体"/>
        <w:sz w:val="26"/>
        <w:szCs w:val="26"/>
      </w:rPr>
      <w:fldChar w:fldCharType="end"/>
    </w:r>
    <w:r>
      <w:rPr>
        <w:rStyle w:val="5"/>
        <w:rFonts w:hint="eastAsia" w:ascii="宋体" w:hAnsi="宋体" w:eastAsia="宋体"/>
        <w:sz w:val="20"/>
        <w:szCs w:val="20"/>
      </w:rPr>
      <w:t xml:space="preserve">  </w:t>
    </w:r>
    <w:r>
      <w:rPr>
        <w:rStyle w:val="5"/>
        <w:rFonts w:hint="eastAsia" w:ascii="宋体" w:hAnsi="宋体" w:eastAsia="宋体"/>
        <w:sz w:val="28"/>
        <w:szCs w:val="28"/>
      </w:rPr>
      <w:t>—</w:t>
    </w:r>
  </w:p>
  <w:p>
    <w:pPr>
      <w:pStyle w:val="2"/>
      <w:ind w:right="360" w:firstLine="360"/>
      <w:jc w:val="center"/>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2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357F4"/>
    <w:rsid w:val="087357F4"/>
    <w:rsid w:val="0F3233C0"/>
    <w:rsid w:val="17585419"/>
    <w:rsid w:val="229F38A9"/>
    <w:rsid w:val="59125FF1"/>
    <w:rsid w:val="77F64E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32"/>
      <w:szCs w:val="22"/>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 w:type="paragraph" w:customStyle="1" w:styleId="7">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2018-02-24T08:56:00Z</dcterms:created>
  <dc:creator>风筝人</dc:creator>
  <cp:lastModifiedBy>风筝人</cp:lastModifiedBy>
  <dcterms:modified xsi:type="dcterms:W3CDTF">2018-02-24T08:57:49Z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