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8A" w:rsidRDefault="00AD2B8A" w:rsidP="00AD2B8A">
      <w:pPr>
        <w:pStyle w:val="a6"/>
        <w:widowControl/>
        <w:spacing w:line="336" w:lineRule="auto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附件1：</w:t>
      </w:r>
    </w:p>
    <w:p w:rsidR="00AD2B8A" w:rsidRDefault="00AD2B8A" w:rsidP="00AD2B8A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杨陵区农家乐旅游星级评分细则</w:t>
      </w:r>
    </w:p>
    <w:p w:rsidR="00AD2B8A" w:rsidRDefault="00AD2B8A" w:rsidP="00AD2B8A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一、总 则</w:t>
      </w:r>
    </w:p>
    <w:p w:rsidR="00AD2B8A" w:rsidRDefault="00AD2B8A" w:rsidP="00AD2B8A">
      <w:pPr>
        <w:pStyle w:val="a6"/>
        <w:widowControl/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第一条、本评分细则共涉及七大项，102小项，其中必备项94项，加分项8项；总分值为1000分，其中必备项目分值950分，加分项目50分。</w:t>
      </w:r>
    </w:p>
    <w:p w:rsidR="00AD2B8A" w:rsidRDefault="00AD2B8A" w:rsidP="00AD2B8A">
      <w:pPr>
        <w:pStyle w:val="a6"/>
        <w:widowControl/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第二条、各大项分值为：1.经营场地240分；2.接待设施390分；3.安全管理90分；4.环境保护40分；5.服务质量120分；6.特色项目70分；7.加分项目50分。</w:t>
      </w:r>
    </w:p>
    <w:p w:rsidR="00AD2B8A" w:rsidRDefault="00AD2B8A" w:rsidP="00AD2B8A">
      <w:pPr>
        <w:pStyle w:val="a6"/>
        <w:widowControl/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第三条、各星级基础分（含加分项目）：一星级不低于315分；二星级不低于450分；三星级不低于610；四星级不低于800分；五星级不低于960分。各项目分类得分如下表：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990"/>
        <w:gridCol w:w="945"/>
        <w:gridCol w:w="1037"/>
        <w:gridCol w:w="1018"/>
        <w:gridCol w:w="1110"/>
        <w:gridCol w:w="1008"/>
        <w:gridCol w:w="1060"/>
      </w:tblGrid>
      <w:tr w:rsidR="00AD2B8A" w:rsidTr="00AD2B8A">
        <w:trPr>
          <w:tblCellSpacing w:w="0" w:type="dxa"/>
          <w:jc w:val="center"/>
        </w:trPr>
        <w:tc>
          <w:tcPr>
            <w:tcW w:w="1092" w:type="dxa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项目</w:t>
            </w:r>
          </w:p>
        </w:tc>
        <w:tc>
          <w:tcPr>
            <w:tcW w:w="990" w:type="dxa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经营场地</w:t>
            </w:r>
          </w:p>
        </w:tc>
        <w:tc>
          <w:tcPr>
            <w:tcW w:w="945" w:type="dxa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接待设施</w:t>
            </w:r>
          </w:p>
        </w:tc>
        <w:tc>
          <w:tcPr>
            <w:tcW w:w="1037" w:type="dxa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安全管理</w:t>
            </w:r>
          </w:p>
        </w:tc>
        <w:tc>
          <w:tcPr>
            <w:tcW w:w="1018" w:type="dxa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环境保护</w:t>
            </w:r>
          </w:p>
        </w:tc>
        <w:tc>
          <w:tcPr>
            <w:tcW w:w="1110" w:type="dxa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服务质量</w:t>
            </w:r>
          </w:p>
        </w:tc>
        <w:tc>
          <w:tcPr>
            <w:tcW w:w="1008" w:type="dxa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特色项目</w:t>
            </w:r>
          </w:p>
        </w:tc>
        <w:tc>
          <w:tcPr>
            <w:tcW w:w="1060" w:type="dxa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加分项目</w:t>
            </w:r>
          </w:p>
        </w:tc>
      </w:tr>
      <w:tr w:rsidR="00AD2B8A" w:rsidTr="00AD2B8A">
        <w:trPr>
          <w:tblCellSpacing w:w="0" w:type="dxa"/>
          <w:jc w:val="center"/>
        </w:trPr>
        <w:tc>
          <w:tcPr>
            <w:tcW w:w="1092" w:type="dxa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分值</w:t>
            </w:r>
          </w:p>
        </w:tc>
        <w:tc>
          <w:tcPr>
            <w:tcW w:w="99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240</w:t>
            </w:r>
          </w:p>
        </w:tc>
        <w:tc>
          <w:tcPr>
            <w:tcW w:w="945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390</w:t>
            </w:r>
          </w:p>
        </w:tc>
        <w:tc>
          <w:tcPr>
            <w:tcW w:w="1037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90</w:t>
            </w:r>
          </w:p>
        </w:tc>
        <w:tc>
          <w:tcPr>
            <w:tcW w:w="1018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111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120</w:t>
            </w:r>
          </w:p>
        </w:tc>
        <w:tc>
          <w:tcPr>
            <w:tcW w:w="1008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70</w:t>
            </w:r>
          </w:p>
        </w:tc>
        <w:tc>
          <w:tcPr>
            <w:tcW w:w="106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50</w:t>
            </w:r>
          </w:p>
        </w:tc>
      </w:tr>
      <w:tr w:rsidR="00AD2B8A" w:rsidTr="00AD2B8A">
        <w:trPr>
          <w:tblCellSpacing w:w="0" w:type="dxa"/>
          <w:jc w:val="center"/>
        </w:trPr>
        <w:tc>
          <w:tcPr>
            <w:tcW w:w="1092" w:type="dxa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一星级</w:t>
            </w:r>
          </w:p>
        </w:tc>
        <w:tc>
          <w:tcPr>
            <w:tcW w:w="99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≥60</w:t>
            </w:r>
          </w:p>
        </w:tc>
        <w:tc>
          <w:tcPr>
            <w:tcW w:w="945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≥130</w:t>
            </w:r>
          </w:p>
        </w:tc>
        <w:tc>
          <w:tcPr>
            <w:tcW w:w="1037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≥35</w:t>
            </w:r>
          </w:p>
        </w:tc>
        <w:tc>
          <w:tcPr>
            <w:tcW w:w="1018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≥21</w:t>
            </w:r>
          </w:p>
        </w:tc>
        <w:tc>
          <w:tcPr>
            <w:tcW w:w="111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≥50</w:t>
            </w:r>
          </w:p>
        </w:tc>
        <w:tc>
          <w:tcPr>
            <w:tcW w:w="1008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≥15</w:t>
            </w:r>
          </w:p>
        </w:tc>
        <w:tc>
          <w:tcPr>
            <w:tcW w:w="106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≥5</w:t>
            </w:r>
          </w:p>
        </w:tc>
      </w:tr>
      <w:tr w:rsidR="00AD2B8A" w:rsidTr="00AD2B8A">
        <w:trPr>
          <w:tblCellSpacing w:w="0" w:type="dxa"/>
          <w:jc w:val="center"/>
        </w:trPr>
        <w:tc>
          <w:tcPr>
            <w:tcW w:w="1092" w:type="dxa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二星级</w:t>
            </w:r>
          </w:p>
        </w:tc>
        <w:tc>
          <w:tcPr>
            <w:tcW w:w="99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≥90</w:t>
            </w:r>
          </w:p>
        </w:tc>
        <w:tc>
          <w:tcPr>
            <w:tcW w:w="945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≥190</w:t>
            </w:r>
          </w:p>
        </w:tc>
        <w:tc>
          <w:tcPr>
            <w:tcW w:w="1037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≥55</w:t>
            </w:r>
          </w:p>
        </w:tc>
        <w:tc>
          <w:tcPr>
            <w:tcW w:w="1018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≥26</w:t>
            </w:r>
          </w:p>
        </w:tc>
        <w:tc>
          <w:tcPr>
            <w:tcW w:w="111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≥60</w:t>
            </w:r>
          </w:p>
        </w:tc>
        <w:tc>
          <w:tcPr>
            <w:tcW w:w="1008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≥25</w:t>
            </w:r>
          </w:p>
        </w:tc>
        <w:tc>
          <w:tcPr>
            <w:tcW w:w="106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≥5</w:t>
            </w:r>
          </w:p>
        </w:tc>
      </w:tr>
      <w:tr w:rsidR="00AD2B8A" w:rsidTr="00AD2B8A">
        <w:trPr>
          <w:tblCellSpacing w:w="0" w:type="dxa"/>
          <w:jc w:val="center"/>
        </w:trPr>
        <w:tc>
          <w:tcPr>
            <w:tcW w:w="1092" w:type="dxa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三星级</w:t>
            </w:r>
          </w:p>
        </w:tc>
        <w:tc>
          <w:tcPr>
            <w:tcW w:w="99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≥120</w:t>
            </w:r>
          </w:p>
        </w:tc>
        <w:tc>
          <w:tcPr>
            <w:tcW w:w="945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≥260</w:t>
            </w:r>
          </w:p>
        </w:tc>
        <w:tc>
          <w:tcPr>
            <w:tcW w:w="1037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≥75</w:t>
            </w:r>
          </w:p>
        </w:tc>
        <w:tc>
          <w:tcPr>
            <w:tcW w:w="1018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≥31</w:t>
            </w:r>
          </w:p>
        </w:tc>
        <w:tc>
          <w:tcPr>
            <w:tcW w:w="111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≥75</w:t>
            </w:r>
          </w:p>
        </w:tc>
        <w:tc>
          <w:tcPr>
            <w:tcW w:w="1008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≥40</w:t>
            </w:r>
          </w:p>
        </w:tc>
        <w:tc>
          <w:tcPr>
            <w:tcW w:w="106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≥10</w:t>
            </w:r>
          </w:p>
        </w:tc>
      </w:tr>
      <w:tr w:rsidR="00AD2B8A" w:rsidTr="00AD2B8A">
        <w:trPr>
          <w:tblCellSpacing w:w="0" w:type="dxa"/>
          <w:jc w:val="center"/>
        </w:trPr>
        <w:tc>
          <w:tcPr>
            <w:tcW w:w="1092" w:type="dxa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四星级</w:t>
            </w:r>
          </w:p>
        </w:tc>
        <w:tc>
          <w:tcPr>
            <w:tcW w:w="99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≥180</w:t>
            </w:r>
          </w:p>
        </w:tc>
        <w:tc>
          <w:tcPr>
            <w:tcW w:w="945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≥330</w:t>
            </w:r>
          </w:p>
        </w:tc>
        <w:tc>
          <w:tcPr>
            <w:tcW w:w="103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≥80</w:t>
            </w:r>
          </w:p>
        </w:tc>
        <w:tc>
          <w:tcPr>
            <w:tcW w:w="1018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≥38</w:t>
            </w:r>
          </w:p>
        </w:tc>
        <w:tc>
          <w:tcPr>
            <w:tcW w:w="111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≥115</w:t>
            </w:r>
          </w:p>
        </w:tc>
        <w:tc>
          <w:tcPr>
            <w:tcW w:w="1008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≥50</w:t>
            </w:r>
          </w:p>
        </w:tc>
        <w:tc>
          <w:tcPr>
            <w:tcW w:w="106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≥10</w:t>
            </w:r>
          </w:p>
        </w:tc>
      </w:tr>
      <w:tr w:rsidR="00AD2B8A" w:rsidTr="00AD2B8A">
        <w:trPr>
          <w:tblCellSpacing w:w="0" w:type="dxa"/>
          <w:jc w:val="center"/>
        </w:trPr>
        <w:tc>
          <w:tcPr>
            <w:tcW w:w="1092" w:type="dxa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五星级</w:t>
            </w:r>
          </w:p>
        </w:tc>
        <w:tc>
          <w:tcPr>
            <w:tcW w:w="99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240</w:t>
            </w:r>
          </w:p>
        </w:tc>
        <w:tc>
          <w:tcPr>
            <w:tcW w:w="945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390</w:t>
            </w:r>
          </w:p>
        </w:tc>
        <w:tc>
          <w:tcPr>
            <w:tcW w:w="1037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90</w:t>
            </w:r>
          </w:p>
        </w:tc>
        <w:tc>
          <w:tcPr>
            <w:tcW w:w="1018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40</w:t>
            </w:r>
          </w:p>
        </w:tc>
        <w:tc>
          <w:tcPr>
            <w:tcW w:w="111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120</w:t>
            </w:r>
          </w:p>
        </w:tc>
        <w:tc>
          <w:tcPr>
            <w:tcW w:w="1008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70</w:t>
            </w:r>
          </w:p>
        </w:tc>
        <w:tc>
          <w:tcPr>
            <w:tcW w:w="1060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 xml:space="preserve">　　≥10</w:t>
            </w:r>
          </w:p>
        </w:tc>
      </w:tr>
    </w:tbl>
    <w:p w:rsidR="00AD2B8A" w:rsidRDefault="00AD2B8A" w:rsidP="00AD2B8A">
      <w:pPr>
        <w:pStyle w:val="a6"/>
        <w:widowControl/>
        <w:spacing w:line="456" w:lineRule="auto"/>
        <w:jc w:val="center"/>
        <w:rPr>
          <w:rStyle w:val="a3"/>
          <w:rFonts w:ascii="黑体" w:eastAsia="黑体" w:hAnsi="黑体" w:cs="黑体" w:hint="eastAsia"/>
          <w:sz w:val="36"/>
          <w:szCs w:val="36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jc w:val="center"/>
      </w:pPr>
      <w:r>
        <w:rPr>
          <w:rStyle w:val="a3"/>
          <w:rFonts w:ascii="黑体" w:eastAsia="黑体" w:hAnsi="黑体" w:cs="黑体" w:hint="eastAsia"/>
          <w:sz w:val="36"/>
          <w:szCs w:val="36"/>
          <w:shd w:val="clear" w:color="auto" w:fill="FFFFFF"/>
        </w:rPr>
        <w:lastRenderedPageBreak/>
        <w:t>二、评分细则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5355"/>
        <w:gridCol w:w="557"/>
        <w:gridCol w:w="730"/>
        <w:gridCol w:w="412"/>
        <w:gridCol w:w="412"/>
        <w:gridCol w:w="412"/>
      </w:tblGrid>
      <w:tr w:rsidR="00AD2B8A" w:rsidTr="00AD2B8A">
        <w:trPr>
          <w:trHeight w:val="1692"/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序号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评分项目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大项</w:t>
            </w:r>
          </w:p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得分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分项</w:t>
            </w:r>
          </w:p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得分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自评得分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推荐单位计分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评定单位计分</w:t>
            </w:r>
          </w:p>
        </w:tc>
      </w:tr>
      <w:tr w:rsidR="00AD2B8A" w:rsidTr="00AD2B8A">
        <w:trPr>
          <w:trHeight w:val="519"/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经营场地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240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rHeight w:val="399"/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1.1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生态环境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80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1.1.1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四周保持整洁干净，周边生态环境好。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1.1.2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四周保持整洁干净，周边生态环境较好。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1.1.3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四周保持整洁干净，周边生态环境良好，与经营环境相协调。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1.1.4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四周保持整洁干净，周边生态环境优良，与经营环境相协调，有特色景观。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1.1.5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四周保持整洁干净，空气清新，周边生态环境优越，有特色景观。经营用房与生态环境相互融合。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80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1.2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建筑结构及风情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80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1.2.1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建筑结构好，布局基本合理，外墙整洁，照明、采光、通风好。有明显的农家乐经营户标志。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1.2.2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建筑结构较好，布局合理，外墙整洁，照明、采光、通风较好，主体建筑具有一定的乡村风情和地方特色。有明显的农家乐经营户标志。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1.2.3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建筑结构良好，布局合理，外墙整洁，照明、采光、通风良好，主体建筑具有相当的乡村风情和地方民俗特色。设置行路、场所等公共信息图形符号，有明显的农家乐经营户标志。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1.2.4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建筑结构优良，布局科学合理，外墙整洁美观，照明、采光、通风优良，主体建筑具有浓郁的乡村风情和地方民俗特色。设置行路、场所等公共信息图形符号，有明显的农家乐经营户标志，标志有农家特色。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1.2.5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建筑结构优越，布局科学合理，外墙整洁美观，照明、采光、通风优越，主体建筑具有浓郁的乡村风情和地方民俗特色，人居环</w:t>
            </w: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lastRenderedPageBreak/>
              <w:t>境优越。设置行路、场所等公共信息图形符号，有明显的农家乐经营户标志，标志有农家特色。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80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lastRenderedPageBreak/>
              <w:t>1.3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接待区域布置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80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1.3.1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根据经营需要，进行必要的绿化、硬化处理。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1.3.2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根据经营需要，进行适当的绿化、硬化处理。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1.3.3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根据经营需要，需要绿化、硬化的地方全部经过绿化、硬化处理。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1.3.4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根据经营需要，按服务功能进行布局，需要绿化、硬化的地方全部经过绿化、硬化处理。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1.3.5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根据经营需要，按实用与美观相结合的原则，经专门设计，按服务功能进行布局，需要绿化、硬化、美化的地方全部经过绿化、硬化、美化处理。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80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rHeight w:val="528"/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接待设施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390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2.1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厨房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2.1.1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厨房布局、流程基本合理，通风好。有冷藏、冷冻、消毒设施，食品和非食品存放场所分设。厨房整洁卫生，有防蚊蝇、蟑螂等设施。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2.1.2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厨房布局、流程较合理，通风良好。食品和非食品存放场所分设。有冷藏、冷冻、消毒设施。地面经硬化防滑处理，墙面瓷砖墙裙1.5米以上。厨房整洁卫生，有防蚊蝇、蟑螂等设施。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2.1.3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厨房布局、流程合理，紧邻餐厅，配备通风排烟设施和消防设施。食品和非食品存放场所分设。地面经硬化防滑处理，墙面瓷砖墙裙2米以上。有冷藏、冷冻设施和餐具专用消毒设备，有符合食品卫生标准的冷菜柜。厨房整洁卫生，有防蚊蝇、蟑螂等设施。有专门放置临时垃圾的设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2.1.4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厨房布局、流程合理，紧邻餐厅，配备通风排烟设施和消防设施。食品和非食品存放场所分设。地面经硬化防滑处理，墙面瓷砖墙裙2米以上，且有吊顶。有冷藏、冷冻设施和餐具专用消毒设备，食品粗加工间和烹调间分设。有符合食品卫生标准的冷菜柜。厨房整洁卫生，有防蚊蝇、蟑螂等设施。有专门放置临时垃圾的设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rHeight w:val="489"/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lastRenderedPageBreak/>
                <w:t>2.1.5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厨房布局、流程合理，紧邻餐厅，配备通风排烟设施和消防设施。食品和非食品存放场所分设。食品粗加工间和烹调间分设。地面经硬化防滑处理，墙面瓷砖墙裙2米以上，且有吊顶。有充足的冷藏、冷冻和保鲜设施，有餐具专用消毒设备，有符合食品卫生标准的冷菜柜。厨房整洁卫生，有防蚊蝇、蟑螂等设施。有专门放置临时垃圾的设施，并保持密封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rHeight w:val="504"/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2.2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餐厅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2.2.1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餐厅布局合理、宽敞，采光通风好，整洁卫生。餐具、酒具等各种器具配套，消毒措施到位。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2.2.2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餐厅布局合理、宽敞，采光通风较好，整洁卫生。餐具、酒具、茶具等各种器具配套，消毒措施到位。有防蚊蝇、蟑螂等设施。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2.2.3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餐厅布局合理、宽敞，采光通风良好，整洁卫生。餐具、酒具、茶具等各种器具配套，无破损，并定期消毒。有防蚊蝇、蟑螂等设施。一次性可接待就餐人数40人以上。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2.2.4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餐厅经适当装修，布局合理、宽敞，采光通风良好，整洁卫生。餐具、酒具、茶具等各种器具配套，无破损，并定期消毒。有防蚊蝇、蟑螂等设施。一次性可接待就餐人数60人以上。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2.2.5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餐厅经适当装修，布局合理、宽敞，采光通风良好，整洁卫生。餐具、酒具、茶具等各种器具配套，无破损，并定期消毒。有防蚊蝇、蟑螂等设施。一次性可接待就餐人数80人以上。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2.3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食品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2.3.1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食品来源和食品加工符合食品卫生要求，饮用水达到安全标准。有2个以上具有农家风味和地方特色的菜点。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2.3.2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食品来源和食品加工符合食品卫生要求，饮用水达到安全标准。有3个以上具有农家风味和地方特色的菜点。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2.3.3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食品来源和食品加工符合食品卫生要求，饮用水达到安全标准。有5个以上具有农家风味和地方特色的菜点。有专门印制的菜单和饮品单，出菜率在60%以上。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2.3.4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食品来源和食品加工符合食品卫生要求，饮用水达到安全标准。有8个以上具有农家风味和地方特色的菜点。有专门印制的菜单和饮品单，出菜率在80%以上。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2.3.5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食品来源和食品加工符合食品卫生要求，饮用水达到安全标准。</w:t>
            </w: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lastRenderedPageBreak/>
              <w:t>结合当地特色农产品，有10个以上具有农家风味和地方特色的菜点。有专门印制的菜单和饮品单，出菜率在80%以上。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lastRenderedPageBreak/>
              <w:t>2.4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厕所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2.4.1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至少有一间公共厕所，整洁卫生。采光、通风、照明条件好。冲洗设备完好，且有手纸框、洗手池（备有洗涤用品）等辅助设施；厕所内经适当装修，有明显的指示标志和防滑标志。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2.4.2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至少有一间公共厕所，且男女分设，整洁卫生。采光、通风、照明条件较好。冲洗设备完好，且有手纸框、洗手池（备有洗涤用品）、镜台等辅助设施。厕所内经适当装修，有明显的指示标志和防滑标志。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2.4.3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一间以上公共厕所，且男女分设，每个厕所厕位各不少于2个，整洁卫生。采光、通风、照明条件较好，有除臭措施。冲洗设备完好，且有手纸框、洗手池（备有洗涤用品）、镜台等辅助设施。厕所墙面瓷砖墙裙1.5米以上，地面经防滑处理，有明显的指示标志和防滑标志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2.4.4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  <w:jc w:val="both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一间以上公共厕所，且男女分设，每个厕所厕位各不少于2个，整洁卫生。采光、通风、照明条件较好，有除臭措施。冲洗设备完好，且有手纸框、洗手池（备有洗涤用品）、镜台等辅助设施。厕所墙面瓷砖墙裙2米以上。地面经防滑处理，有明显的指示标志和防滑标志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2.4.5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一间以上公共厕所，且男女分设，每个厕所厕位各不少于2个，有专人负责打扫，整洁卫生。采光、通风、照明条件较好，有除臭措施。冲洗设备完好，且有手纸框、洗手池（备有洗涤用品）、镜台等辅助设施。厕所墙面瓷砖墙裙2米以上。地面经防滑处理，有明显的指示标志和防滑标志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2.5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客房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2.5.1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2间以上客房。客房布局合理，整洁卫生，有防蚊蝇、蟑螂等设施。有桌椅、衣架、电扇、电视机、应急照明等基本接待设施和拖鞋、烟灰缸、茶水等生活用品，家具、用品使用性能好。床单等床上用品做到一客一换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2.5.2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有6间以上客房。客房布局合理，有防蚊蝇、蟑螂等设施。有桌椅、床头柜、衣架、电扇、电视机、应急照明等基本接待设施和</w:t>
            </w: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lastRenderedPageBreak/>
              <w:t>拖鞋、烟灰缸、茶水等生活用品，家具、用品使用性能较好。床单等床上用品做到一客一换。客房每日至少打扫一次，整洁卫生，做到应叫服务。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lastRenderedPageBreak/>
                <w:t>2.5.3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10间以上客房，其中应有配置空调的客房。客房布局合理，舒适宽敞。有防蚊蝇、蟑螂等设施。有桌椅、床头柜、衣架、电扇、电视机、电话、应急照明等基本接待设施和拖鞋、烟灰缸、茶水等生活用品，家具、用品使用性能良好。床单等床上用品做到一客一换，且定期进行消毒。客房每日至少打扫一次，整洁卫生，做到应叫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2.5.4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15间以上客房，其中有4间以上配置空调的客房。客房经装饰装修，布局合理，舒适宽敞。有防蚊蝇、蟑螂等设施。有桌椅、床头柜、衣架、电扇、电视机、电话、应急照明等基本接待设施和拖鞋、烟灰缸、茶水等生活用品，家具、用品使用性能良好。床单等床上用品做到一客一换，且定期进行消毒。客房每日至少打扫一次，整洁卫生，做到随叫随时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2.5.5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20间以上客房，其中有5间以上配置空调的客房。客房经装饰装修，布局合理，舒适宽敞。有防蚊蝇、蟑螂等设施。有桌椅、床头柜、衣架、电扇、电视机、电话、应急照明等基本接待设施和拖鞋、烟灰缸、茶水等生活用品，家具、用品使用性能良好。床单等床上用品做到一客一换，且定期进行消毒。客房每日至少打扫一次，整洁卫生，做到随叫随时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2.6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客房辅助设施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2.6.1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至少有1间供住宿客人洗刷、洗浴和方便等的盥洗室，冲洗设备完好，整洁卫生，有防滑标志。配备梳妆镜、洗脸盆架。24小时供应冷水，定时供应热水。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2.6.2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至少有1间供住宿客人洗刷、洗浴和方便等的盥洗室，冲洗设备完好，整洁卫生。地面经防滑处理且有防滑标志，墙面磁砖墙裙2米以上。配备梳妆镜、洗脸盆架。24小时供应冷水，6小时供应热水。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2.6.3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每个楼层至少有一间供住宿客人洗刷、洗浴和方便等的盥洗室或有2个以上盥洗室，冲洗设备完好，整洁卫生。地面经防滑处理且有防滑标志，墙面磁砖墙裙2米以上。配备梳妆镜、洗脸盆架。24小时供应冷水，12小时供应热水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lastRenderedPageBreak/>
                <w:t>2.6.4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客房内单设卫生间，地面经防滑处理，墙面磁砖墙裙2米以上。有抽水马桶及洗浴设施，提供免费洗浴用品。配备梳妆镜、洗脸盆架。24小时供应冷、热水。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2.6.5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客房内单设卫生间，地面经防滑处理，墙面磁砖墙裙2米以上。有抽水马桶及洗浴设施，提供免费洗浴用品。配备梳妆镜、洗脸盆架。24小时供应冷、热水。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2.7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停车场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2.7.1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就近有游客泊车地方。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2.7.2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有供游客泊车的自备场地。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2.7.3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有自备停车场地，车位与接待能力相适应。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rHeight w:val="504"/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2.8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综合服务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2.8.1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能提供公用电话、信息查询、小件物品寄存、宣传品、雨伞等综合服务。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2.8.2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能提供信息查询、小件物品寄存、宣传品、雨伞、旅行日常用品、旅游纪念品、土特产品等综合服务。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2.8.3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设有专门的住宿登记接待处。提供信息查询、小件物品寄存、宣传品、雨伞、旅行日常用品、旅游纪念品、土特产品等综合服务。能提供贵重物品专用寄存、上网、传真等服务。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安全管理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90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3.1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经营用房安全牢固，无危房，无乱搭乱建设施。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3.2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热水供给设备、用电设施、烹调设施、桌椅等安全可靠。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3.3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备有消防、防盗、救护等设备，完好有效，并按规定进行定期检查。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3.4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易发生危险的设施、地段等标有明显的警示标志，并有必要的防护措施。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3.5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建立住宿游客登记制度，游客凭有效身份证件登记住宿。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3.6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主要从业人员经过消防、卫生、治安等安全知识培训，掌握安全设备使用的基本技能。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lastRenderedPageBreak/>
              <w:t>3.7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建立突发事件处理应急机制，主要从业人员具有在紧急情况下游客疏散、电话报警、快速救援等的知识和技能。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3.8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备有游客常用、应急的非处方药品。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3.9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建立安全巡查制度，并能在适当时间进行安全巡查。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环境保护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4.1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  <w:spacing w:line="400" w:lineRule="exact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旅游服务设施建设、经营服务活动等不破坏周边自然资源和生态环境。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4.2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旅游服务设施建设、经营服务活动等能保护好特色建筑物。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4.3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经营场地有专人打扫，基本无污水污物，无乱扔乱放。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4.4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生活污水、粪便经污水处理池等方式有效处理后排放。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4.5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处理池等的处理能力与接待人数相适应。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4.6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处理池等设施位置合理，并防渗、密封。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4.7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生活垃圾集中收集，统一处理。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4.8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经营场地放置一定数量的垃圾筒。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3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4.9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垃圾桶设计具有农家特色。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4.10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垃圾筒体完好、有盖，表面干净无污渍，能及时处理。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服务质量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120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5.1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建立健全各项岗位责任制、服务质量标准和消费者投诉处理制度。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45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5.1.1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树立游客至上、优质服务的宗旨。经营业主诚实守信，依法经营。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5.1.2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制定岗位服务质量操作规范。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5.1.3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可按规范提供接待服务。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5.1.4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设有旅游服务质量投诉电话和意见簿，无严重质量投诉。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lastRenderedPageBreak/>
                <w:t>5.1.5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能按游客意见改进服务。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5.2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从业人员基本要求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40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5.2.1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从业人员身体健康，有卫生健康证。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5.2.2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从业人员定期进行健康体检。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5.2.3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从业人员着装整洁。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5.2.4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从业人员着装基本统一。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5.2.5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从业人员掌握旅游接待服务基本知识，文明礼貌，服务态度热情。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5.3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从业人员培训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15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5.3.1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从业人员专业培训率达50%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5.3.2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从业人员专业培训率达75%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5.3.3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从业人员专业培训率达100%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5.4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能用普通话进行接待服务。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5.5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有一名以上厨师具有初级以上烹调职业资格证书。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特色项目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70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6.1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户外活动场所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6.1.1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有一定适宜游客户外活动的场所。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6.1.2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有游客户外活动的场所，且具有一定的服务功能。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6.2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体验活动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6.2.1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可提供赏花、摘水果、垂钓、种小菜等农事参与体验活动。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6.2.2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体验活动有专人指导、讲解。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6.2.3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可提供游客参与的做当地工艺品、唱山歌等农家趣事活动。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lastRenderedPageBreak/>
                <w:t>6.2.4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附近有供游客游玩的一些旅游景观。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6.2.5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可提供旅游景观简要的介绍资料。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6.2.6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有具有地方特色的民族民俗文化表演活动。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6.2.7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民族民俗文化表演活动的游客参与性强。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7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加分项目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7.1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农家乐经营户获得国家、省、市、县相关荣誉称号。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7.1.1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获得国家级荣誉称号。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20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7.1.2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获得省级荣誉称号。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7.1.3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获得市级荣誉称号。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7.1.4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获得区、县级荣誉。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7.2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位于国家农业旅游示范点内。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15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7.3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从业人员所占比例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15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7.3.1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从业人员中农村剩余劳动力占30%。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7.3.2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从业人员中农村剩余劳动力占50%。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微软雅黑" w:eastAsia="微软雅黑" w:hAnsi="微软雅黑" w:cs="微软雅黑" w:hint="eastAsia"/>
                  <w:sz w:val="19"/>
                  <w:szCs w:val="19"/>
                </w:rPr>
                <w:t>7.3.3</w:t>
              </w:r>
            </w:smartTag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pStyle w:val="a6"/>
              <w:widowControl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从业人员中农村剩余劳动力占100%。</w:t>
            </w: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15</w:t>
            </w: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  <w:tr w:rsidR="00AD2B8A" w:rsidTr="00AD2B8A">
        <w:trPr>
          <w:tblCellSpacing w:w="0" w:type="dxa"/>
          <w:jc w:val="center"/>
        </w:trPr>
        <w:tc>
          <w:tcPr>
            <w:tcW w:w="813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合计</w:t>
            </w:r>
          </w:p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得分</w:t>
            </w:r>
          </w:p>
        </w:tc>
        <w:tc>
          <w:tcPr>
            <w:tcW w:w="5355" w:type="dxa"/>
            <w:vAlign w:val="center"/>
          </w:tcPr>
          <w:p w:rsidR="00AD2B8A" w:rsidRDefault="00AD2B8A" w:rsidP="00AD2B8A">
            <w:pPr>
              <w:jc w:val="left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557" w:type="dxa"/>
            <w:vAlign w:val="center"/>
          </w:tcPr>
          <w:p w:rsidR="00AD2B8A" w:rsidRDefault="00AD2B8A" w:rsidP="00AD2B8A">
            <w:pPr>
              <w:pStyle w:val="a6"/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</w:rPr>
              <w:t>1000</w:t>
            </w:r>
          </w:p>
        </w:tc>
        <w:tc>
          <w:tcPr>
            <w:tcW w:w="730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  <w:tc>
          <w:tcPr>
            <w:tcW w:w="412" w:type="dxa"/>
            <w:vAlign w:val="center"/>
          </w:tcPr>
          <w:p w:rsidR="00AD2B8A" w:rsidRDefault="00AD2B8A" w:rsidP="00AD2B8A">
            <w:pPr>
              <w:jc w:val="center"/>
              <w:rPr>
                <w:rFonts w:ascii="微软雅黑" w:eastAsia="微软雅黑" w:hAnsi="微软雅黑" w:cs="微软雅黑"/>
                <w:color w:val="2B2B2B"/>
                <w:sz w:val="19"/>
                <w:szCs w:val="19"/>
              </w:rPr>
            </w:pPr>
          </w:p>
        </w:tc>
      </w:tr>
    </w:tbl>
    <w:p w:rsidR="00AD2B8A" w:rsidRDefault="00AD2B8A" w:rsidP="00AD2B8A">
      <w:pPr>
        <w:widowControl/>
        <w:shd w:val="clear" w:color="auto" w:fill="FFFFFF"/>
        <w:spacing w:before="376" w:line="520" w:lineRule="atLeast"/>
        <w:jc w:val="left"/>
        <w:rPr>
          <w:rFonts w:ascii="Tahoma" w:eastAsia="Tahoma" w:hAnsi="Tahoma" w:cs="Tahoma"/>
          <w:b/>
          <w:color w:val="333333"/>
          <w:kern w:val="0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附件2：</w:t>
      </w:r>
    </w:p>
    <w:p w:rsidR="00AD2B8A" w:rsidRDefault="00AD2B8A" w:rsidP="00AD2B8A">
      <w:pPr>
        <w:widowControl/>
        <w:shd w:val="clear" w:color="auto" w:fill="FFFFFF"/>
        <w:spacing w:before="376" w:line="500" w:lineRule="exac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杨陵区农家乐旅游星级评定服务质量要求</w:t>
      </w:r>
    </w:p>
    <w:p w:rsidR="00AD2B8A" w:rsidRDefault="00AD2B8A" w:rsidP="00AD2B8A">
      <w:pPr>
        <w:widowControl/>
        <w:shd w:val="clear" w:color="auto" w:fill="FFFFFF"/>
        <w:spacing w:before="376" w:line="500" w:lineRule="exact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 xml:space="preserve">    一、服务基本原则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1、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对客人礼貌、热情、亲切、友好。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2、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对所有客人，不分种族、民族、国别、贫富、亲疏，一视同仁。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3、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密切关注并尽量满足客人的需求，高效率地完成对客服务。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4、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遵守国家法律法规，保护客人的合法权益。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5、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尊重客人的道德信仰与风俗习惯，不损害民族尊严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D2B8A" w:rsidRDefault="00AD2B8A" w:rsidP="00AD2B8A">
      <w:pPr>
        <w:pStyle w:val="a6"/>
        <w:widowControl/>
        <w:spacing w:line="456" w:lineRule="auto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  二、服务基本要求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1、仪容仪表端庄、大方、整洁；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2、服务过程中表情自然、亲切，热情适度，提倡微笑服务；</w:t>
      </w: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3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、各岗位行为规范，主动服务，有职业风范；</w:t>
      </w:r>
    </w:p>
    <w:p w:rsidR="00AD2B8A" w:rsidRDefault="00AD2B8A" w:rsidP="00AD2B8A">
      <w:pPr>
        <w:pStyle w:val="a6"/>
        <w:widowControl/>
        <w:spacing w:line="456" w:lineRule="auto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、以协调适宜的自然语言和身体语言对客服务，让客人感到尊重舒适。</w:t>
      </w:r>
    </w:p>
    <w:p w:rsidR="00AD2B8A" w:rsidRDefault="00AD2B8A" w:rsidP="00AD2B8A">
      <w:pPr>
        <w:pStyle w:val="a6"/>
        <w:widowControl/>
        <w:spacing w:line="456" w:lineRule="auto"/>
        <w:ind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三、服务人员语言要求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1、语言文明、简明、清晰，符合礼仪规范；</w:t>
      </w:r>
    </w:p>
    <w:p w:rsidR="00AD2B8A" w:rsidRDefault="00AD2B8A" w:rsidP="00AD2B8A">
      <w:pPr>
        <w:pStyle w:val="a6"/>
        <w:widowControl/>
        <w:spacing w:line="456" w:lineRule="auto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2、对客人提出的问题暂时无法解决时，应耐心解释并于事后设法解决，不推诿和应付。</w:t>
      </w:r>
    </w:p>
    <w:p w:rsidR="00AD2B8A" w:rsidRDefault="00AD2B8A" w:rsidP="00AD2B8A">
      <w:pPr>
        <w:pStyle w:val="a6"/>
        <w:widowControl/>
        <w:spacing w:line="456" w:lineRule="auto"/>
        <w:ind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四、管理制度要求</w:t>
      </w:r>
    </w:p>
    <w:p w:rsidR="00AD2B8A" w:rsidRDefault="00AD2B8A" w:rsidP="00AD2B8A">
      <w:pPr>
        <w:pStyle w:val="a6"/>
        <w:widowControl/>
        <w:spacing w:line="45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1、有员工手册、有农家乐旅游组织机构图和部门组织机构图。</w:t>
      </w:r>
    </w:p>
    <w:p w:rsidR="00AD2B8A" w:rsidRDefault="00AD2B8A" w:rsidP="00AD2B8A">
      <w:pPr>
        <w:pStyle w:val="a6"/>
        <w:widowControl/>
        <w:numPr>
          <w:ilvl w:val="0"/>
          <w:numId w:val="1"/>
        </w:numPr>
        <w:spacing w:line="456" w:lineRule="auto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管理制度、层级管理、质量控制、市场营销、物资采购、安全管理等制度健全。</w:t>
      </w:r>
    </w:p>
    <w:p w:rsidR="00AD2B8A" w:rsidRDefault="00AD2B8A" w:rsidP="00AD2B8A">
      <w:pPr>
        <w:widowControl/>
        <w:shd w:val="clear" w:color="auto" w:fill="FFFFFF"/>
        <w:spacing w:before="376" w:line="360" w:lineRule="auto"/>
        <w:rPr>
          <w:rFonts w:ascii="仿宋_GB2312" w:eastAsia="仿宋_GB2312" w:hAnsi="仿宋_GB2312" w:cs="仿宋_GB2312"/>
          <w:color w:val="2B2B2B"/>
          <w:kern w:val="0"/>
          <w:sz w:val="32"/>
          <w:szCs w:val="32"/>
          <w:shd w:val="clear" w:color="auto" w:fill="FFFFFF"/>
        </w:rPr>
      </w:pPr>
    </w:p>
    <w:p w:rsidR="00AD2B8A" w:rsidRDefault="00AD2B8A" w:rsidP="00AD2B8A">
      <w:pPr>
        <w:widowControl/>
        <w:shd w:val="clear" w:color="auto" w:fill="FFFFFF"/>
        <w:spacing w:before="376" w:line="360" w:lineRule="auto"/>
        <w:rPr>
          <w:rFonts w:ascii="仿宋_GB2312" w:eastAsia="仿宋_GB2312" w:hAnsi="仿宋_GB2312" w:cs="仿宋_GB2312"/>
          <w:color w:val="2B2B2B"/>
          <w:kern w:val="0"/>
          <w:sz w:val="32"/>
          <w:szCs w:val="32"/>
          <w:shd w:val="clear" w:color="auto" w:fill="FFFFFF"/>
        </w:rPr>
      </w:pPr>
    </w:p>
    <w:p w:rsidR="00AD2B8A" w:rsidRDefault="00AD2B8A" w:rsidP="00AD2B8A">
      <w:pPr>
        <w:widowControl/>
        <w:shd w:val="clear" w:color="auto" w:fill="FFFFFF"/>
        <w:spacing w:before="376" w:line="360" w:lineRule="auto"/>
        <w:rPr>
          <w:rFonts w:ascii="仿宋_GB2312" w:eastAsia="仿宋_GB2312" w:hAnsi="仿宋_GB2312" w:cs="仿宋_GB2312"/>
          <w:color w:val="2B2B2B"/>
          <w:kern w:val="0"/>
          <w:sz w:val="32"/>
          <w:szCs w:val="32"/>
          <w:shd w:val="clear" w:color="auto" w:fill="FFFFFF"/>
        </w:rPr>
      </w:pPr>
    </w:p>
    <w:p w:rsidR="00AD2B8A" w:rsidRDefault="00AD2B8A" w:rsidP="00AD2B8A">
      <w:pPr>
        <w:widowControl/>
        <w:shd w:val="clear" w:color="auto" w:fill="FFFFFF"/>
        <w:spacing w:before="376" w:line="360" w:lineRule="auto"/>
        <w:rPr>
          <w:rFonts w:ascii="仿宋_GB2312" w:eastAsia="仿宋_GB2312" w:hAnsi="仿宋_GB2312" w:cs="仿宋_GB2312"/>
          <w:color w:val="2B2B2B"/>
          <w:kern w:val="0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AD2B8A" w:rsidRDefault="00AD2B8A" w:rsidP="00AD2B8A">
      <w:pPr>
        <w:pStyle w:val="a6"/>
        <w:widowControl/>
        <w:spacing w:line="456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附件3：</w:t>
      </w:r>
    </w:p>
    <w:p w:rsidR="00AD2B8A" w:rsidRDefault="00AD2B8A" w:rsidP="00AD2B8A">
      <w:pPr>
        <w:pStyle w:val="a6"/>
        <w:widowControl/>
        <w:spacing w:line="45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杨陵区农家乐旅游星级评定申请表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10"/>
        <w:gridCol w:w="1676"/>
        <w:gridCol w:w="1260"/>
        <w:gridCol w:w="1440"/>
        <w:gridCol w:w="6"/>
        <w:gridCol w:w="279"/>
        <w:gridCol w:w="975"/>
        <w:gridCol w:w="225"/>
        <w:gridCol w:w="1351"/>
      </w:tblGrid>
      <w:tr w:rsidR="00AD2B8A" w:rsidTr="00AD2B8A">
        <w:trPr>
          <w:cantSplit/>
          <w:trHeight w:val="75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户号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户主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B8A" w:rsidTr="00AD2B8A">
        <w:trPr>
          <w:cantSplit/>
          <w:trHeight w:val="127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主要服务项目</w:t>
            </w:r>
          </w:p>
        </w:tc>
        <w:tc>
          <w:tcPr>
            <w:tcW w:w="7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住宿   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餐饮  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会议 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康体   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娱乐   </w:t>
            </w:r>
          </w:p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农家体验   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其它：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  <w:u w:val="single"/>
              </w:rPr>
              <w:t>               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 </w:t>
            </w:r>
            <w:r>
              <w:rPr>
                <w:rFonts w:ascii="Tahoma" w:eastAsia="Tahoma" w:hAnsi="Tahoma" w:cs="Tahoma" w:hint="eastAsia"/>
                <w:color w:val="333333"/>
                <w:kern w:val="0"/>
                <w:sz w:val="24"/>
              </w:rPr>
              <w:t>可多选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      </w:t>
            </w:r>
          </w:p>
        </w:tc>
      </w:tr>
      <w:tr w:rsidR="00AD2B8A" w:rsidTr="00AD2B8A">
        <w:trPr>
          <w:cantSplit/>
          <w:trHeight w:val="63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开业时间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建筑面积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年接待</w:t>
            </w:r>
          </w:p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游客量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B8A" w:rsidTr="00AD2B8A">
        <w:trPr>
          <w:cantSplit/>
          <w:trHeight w:val="63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客房数量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床位数量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餐位总数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B8A" w:rsidTr="00AD2B8A">
        <w:trPr>
          <w:cantSplit/>
          <w:trHeight w:val="63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从业人员总数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年均收入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宗教信仰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AD2B8A" w:rsidTr="00AD2B8A">
        <w:trPr>
          <w:cantSplit/>
          <w:trHeight w:val="63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  <w:p w:rsidR="00AD2B8A" w:rsidRDefault="00AD2B8A" w:rsidP="00AD2B8A">
            <w:pPr>
              <w:widowControl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证照情况</w:t>
            </w:r>
          </w:p>
        </w:tc>
        <w:tc>
          <w:tcPr>
            <w:tcW w:w="72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□餐饮许可证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□工商营业执照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□健康证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□其它</w:t>
            </w:r>
          </w:p>
        </w:tc>
      </w:tr>
      <w:tr w:rsidR="00AD2B8A" w:rsidTr="00AD2B8A">
        <w:trPr>
          <w:cantSplit/>
          <w:trHeight w:val="63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申请评定等级</w:t>
            </w:r>
          </w:p>
        </w:tc>
        <w:tc>
          <w:tcPr>
            <w:tcW w:w="46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44"/>
                <w:szCs w:val="4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一星级</w:t>
            </w:r>
            <w:r>
              <w:rPr>
                <w:rFonts w:ascii="Tahoma" w:eastAsia="Tahoma" w:hAnsi="Tahoma" w:cs="Tahoma"/>
                <w:color w:val="333333"/>
                <w:kern w:val="0"/>
                <w:sz w:val="44"/>
                <w:szCs w:val="4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二星级</w:t>
            </w:r>
            <w:r>
              <w:rPr>
                <w:rFonts w:ascii="Tahoma" w:eastAsia="Tahoma" w:hAnsi="Tahoma" w:cs="Tahoma"/>
                <w:color w:val="333333"/>
                <w:kern w:val="0"/>
                <w:sz w:val="44"/>
                <w:szCs w:val="44"/>
              </w:rPr>
              <w:t>□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三星级</w:t>
            </w:r>
            <w:r>
              <w:rPr>
                <w:rFonts w:ascii="Tahoma" w:eastAsia="Tahoma" w:hAnsi="Tahoma" w:cs="Tahoma"/>
                <w:color w:val="333333"/>
                <w:kern w:val="0"/>
                <w:sz w:val="44"/>
                <w:szCs w:val="44"/>
              </w:rPr>
              <w:t>□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四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星级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以上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rPr>
                <w:rFonts w:ascii="Tahoma" w:eastAsia="Tahoma" w:hAnsi="Tahoma" w:cs="Tahoma"/>
                <w:color w:val="333333"/>
                <w:kern w:val="0"/>
                <w:sz w:val="44"/>
                <w:szCs w:val="44"/>
              </w:rPr>
            </w:pPr>
            <w:r>
              <w:rPr>
                <w:rFonts w:ascii="Tahoma" w:eastAsia="Tahoma" w:hAnsi="Tahoma" w:cs="Tahoma" w:hint="eastAsia"/>
                <w:color w:val="333333"/>
                <w:kern w:val="0"/>
                <w:sz w:val="24"/>
              </w:rPr>
              <w:t>申请时间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rPr>
                <w:rFonts w:ascii="Tahoma" w:eastAsia="Tahoma" w:hAnsi="Tahoma" w:cs="Tahoma"/>
                <w:color w:val="333333"/>
                <w:kern w:val="0"/>
                <w:sz w:val="44"/>
                <w:szCs w:val="44"/>
              </w:rPr>
            </w:pPr>
          </w:p>
        </w:tc>
      </w:tr>
      <w:tr w:rsidR="00AD2B8A" w:rsidTr="00AD2B8A">
        <w:trPr>
          <w:cantSplit/>
          <w:trHeight w:val="600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镇</w:t>
            </w:r>
            <w:r>
              <w:rPr>
                <w:rFonts w:ascii="Tahoma" w:eastAsia="Tahoma" w:hAnsi="Tahoma" w:cs="Tahoma" w:hint="eastAsia"/>
                <w:color w:val="333333"/>
                <w:kern w:val="0"/>
                <w:sz w:val="24"/>
              </w:rPr>
              <w:t>办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初审意见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推荐星级</w:t>
            </w:r>
          </w:p>
        </w:tc>
        <w:tc>
          <w:tcPr>
            <w:tcW w:w="4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D2B8A" w:rsidTr="00AD2B8A">
        <w:trPr>
          <w:cantSplit/>
          <w:trHeight w:val="630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  <w:p w:rsidR="00AD2B8A" w:rsidRDefault="00AD2B8A" w:rsidP="00AD2B8A">
            <w:pPr>
              <w:widowControl/>
              <w:spacing w:line="500" w:lineRule="atLeast"/>
              <w:ind w:firstLine="4320"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(盖章)</w:t>
            </w:r>
          </w:p>
          <w:p w:rsidR="00AD2B8A" w:rsidRDefault="00AD2B8A" w:rsidP="00AD2B8A">
            <w:pPr>
              <w:widowControl/>
              <w:spacing w:line="400" w:lineRule="atLeast"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8"/>
                <w:szCs w:val="28"/>
              </w:rPr>
              <w:t>                                 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年    月    日</w:t>
            </w:r>
            <w:r>
              <w:rPr>
                <w:rFonts w:ascii="Tahoma" w:eastAsia="Tahoma" w:hAnsi="Tahoma" w:cs="Tahoma"/>
                <w:color w:val="333333"/>
                <w:kern w:val="0"/>
                <w:sz w:val="28"/>
                <w:szCs w:val="28"/>
              </w:rPr>
              <w:t>       </w:t>
            </w:r>
          </w:p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                                  </w:t>
            </w:r>
          </w:p>
        </w:tc>
      </w:tr>
      <w:tr w:rsidR="00AD2B8A" w:rsidTr="00AD2B8A">
        <w:trPr>
          <w:cantSplit/>
          <w:trHeight w:val="63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 w:hint="eastAsia"/>
                <w:color w:val="333333"/>
                <w:kern w:val="0"/>
                <w:sz w:val="24"/>
              </w:rPr>
              <w:t>区</w:t>
            </w: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评定小组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考核验收评定意见</w:t>
            </w:r>
          </w:p>
        </w:tc>
        <w:tc>
          <w:tcPr>
            <w:tcW w:w="7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18"/>
                <w:szCs w:val="18"/>
              </w:rPr>
              <w:t> </w:t>
            </w:r>
          </w:p>
          <w:p w:rsidR="00AD2B8A" w:rsidRDefault="00AD2B8A" w:rsidP="00AD2B8A">
            <w:pPr>
              <w:widowControl/>
              <w:spacing w:line="500" w:lineRule="atLeast"/>
              <w:ind w:firstLine="4320"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(盖章)</w:t>
            </w:r>
          </w:p>
          <w:p w:rsidR="00AD2B8A" w:rsidRDefault="00AD2B8A" w:rsidP="00AD2B8A">
            <w:pPr>
              <w:widowControl/>
              <w:spacing w:line="400" w:lineRule="atLeast"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8"/>
                <w:szCs w:val="28"/>
              </w:rPr>
              <w:t>                                 </w:t>
            </w: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年    月    日</w:t>
            </w:r>
            <w:r>
              <w:rPr>
                <w:rFonts w:ascii="Tahoma" w:eastAsia="Tahoma" w:hAnsi="Tahoma" w:cs="Tahoma"/>
                <w:color w:val="333333"/>
                <w:kern w:val="0"/>
                <w:sz w:val="28"/>
                <w:szCs w:val="28"/>
              </w:rPr>
              <w:t>       </w:t>
            </w:r>
          </w:p>
          <w:p w:rsidR="00AD2B8A" w:rsidRDefault="00AD2B8A" w:rsidP="00AD2B8A">
            <w:pPr>
              <w:widowControl/>
              <w:jc w:val="center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4"/>
              </w:rPr>
              <w:t>                                  </w:t>
            </w:r>
          </w:p>
        </w:tc>
      </w:tr>
    </w:tbl>
    <w:p w:rsidR="00AD2B8A" w:rsidRDefault="00AD2B8A"/>
    <w:sectPr w:rsidR="00AD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6C" w:rsidRDefault="00987A6C" w:rsidP="00450485">
      <w:r>
        <w:separator/>
      </w:r>
    </w:p>
  </w:endnote>
  <w:endnote w:type="continuationSeparator" w:id="1">
    <w:p w:rsidR="00987A6C" w:rsidRDefault="00987A6C" w:rsidP="0045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6C" w:rsidRDefault="00987A6C" w:rsidP="00450485">
      <w:r>
        <w:separator/>
      </w:r>
    </w:p>
  </w:footnote>
  <w:footnote w:type="continuationSeparator" w:id="1">
    <w:p w:rsidR="00987A6C" w:rsidRDefault="00987A6C" w:rsidP="00450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50D4"/>
    <w:multiLevelType w:val="singleLevel"/>
    <w:tmpl w:val="589550D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B8A"/>
    <w:rsid w:val="00450485"/>
    <w:rsid w:val="00987A6C"/>
    <w:rsid w:val="00AD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B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AD2B8A"/>
    <w:rPr>
      <w:b/>
    </w:rPr>
  </w:style>
  <w:style w:type="character" w:customStyle="1" w:styleId="Char">
    <w:name w:val="页眉 Char"/>
    <w:basedOn w:val="a0"/>
    <w:link w:val="a4"/>
    <w:qFormat/>
    <w:rsid w:val="00AD2B8A"/>
    <w:rPr>
      <w:rFonts w:ascii="Calibri" w:eastAsia="宋体" w:hAnsi="Calibri"/>
      <w:kern w:val="2"/>
      <w:sz w:val="18"/>
      <w:szCs w:val="18"/>
      <w:lang w:bidi="ar-SA"/>
    </w:rPr>
  </w:style>
  <w:style w:type="paragraph" w:styleId="a4">
    <w:name w:val="header"/>
    <w:basedOn w:val="a"/>
    <w:link w:val="Char"/>
    <w:qFormat/>
    <w:rsid w:val="00AD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 w:eastAsia="zh-CN"/>
    </w:rPr>
  </w:style>
  <w:style w:type="character" w:customStyle="1" w:styleId="Char0">
    <w:name w:val="页脚 Char"/>
    <w:basedOn w:val="a0"/>
    <w:link w:val="a5"/>
    <w:qFormat/>
    <w:rsid w:val="00AD2B8A"/>
    <w:rPr>
      <w:rFonts w:ascii="Calibri" w:eastAsia="宋体" w:hAnsi="Calibri"/>
      <w:kern w:val="2"/>
      <w:sz w:val="18"/>
      <w:szCs w:val="18"/>
      <w:lang w:bidi="ar-SA"/>
    </w:rPr>
  </w:style>
  <w:style w:type="paragraph" w:styleId="a5">
    <w:name w:val="footer"/>
    <w:basedOn w:val="a"/>
    <w:link w:val="Char0"/>
    <w:qFormat/>
    <w:rsid w:val="00AD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a6">
    <w:name w:val="Normal (Web)"/>
    <w:basedOn w:val="a"/>
    <w:qFormat/>
    <w:rsid w:val="00AD2B8A"/>
    <w:pPr>
      <w:jc w:val="left"/>
    </w:pPr>
    <w:rPr>
      <w:color w:val="2B2B2B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1222</Words>
  <Characters>6966</Characters>
  <Application>Microsoft Office Word</Application>
  <DocSecurity>0</DocSecurity>
  <Lines>58</Lines>
  <Paragraphs>16</Paragraphs>
  <ScaleCrop>false</ScaleCrop>
  <Company>WWW.YlmF.CoM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lenovo</cp:lastModifiedBy>
  <cp:revision>2</cp:revision>
  <dcterms:created xsi:type="dcterms:W3CDTF">2017-04-13T09:49:00Z</dcterms:created>
  <dcterms:modified xsi:type="dcterms:W3CDTF">2017-04-13T09:49:00Z</dcterms:modified>
</cp:coreProperties>
</file>