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 w:eastAsia="仿宋_GB2312"/>
          <w:sz w:val="32"/>
          <w:szCs w:val="32"/>
        </w:rPr>
      </w:pPr>
    </w:p>
    <w:p>
      <w:pPr>
        <w:spacing w:line="500" w:lineRule="exact"/>
        <w:jc w:val="center"/>
        <w:rPr>
          <w:rFonts w:ascii="仿宋_GB2312" w:hAnsi="仿宋" w:eastAsia="仿宋_GB2312"/>
          <w:sz w:val="32"/>
          <w:szCs w:val="32"/>
        </w:rPr>
      </w:pPr>
    </w:p>
    <w:p>
      <w:pPr>
        <w:spacing w:line="500" w:lineRule="exact"/>
        <w:jc w:val="center"/>
        <w:rPr>
          <w:rFonts w:ascii="仿宋_GB2312" w:hAnsi="仿宋" w:eastAsia="仿宋_GB2312"/>
          <w:sz w:val="32"/>
          <w:szCs w:val="32"/>
        </w:rPr>
      </w:pPr>
    </w:p>
    <w:p>
      <w:pPr>
        <w:spacing w:line="500" w:lineRule="exact"/>
        <w:jc w:val="center"/>
        <w:rPr>
          <w:rFonts w:ascii="仿宋_GB2312" w:hAnsi="仿宋" w:eastAsia="仿宋_GB2312"/>
          <w:sz w:val="32"/>
          <w:szCs w:val="32"/>
        </w:rPr>
      </w:pPr>
    </w:p>
    <w:p>
      <w:pPr>
        <w:spacing w:line="500" w:lineRule="exact"/>
        <w:jc w:val="center"/>
        <w:rPr>
          <w:rFonts w:ascii="仿宋_GB2312" w:hAnsi="仿宋" w:eastAsia="仿宋_GB2312"/>
          <w:sz w:val="32"/>
          <w:szCs w:val="32"/>
        </w:rPr>
      </w:pPr>
      <w:r>
        <w:rPr>
          <w:rFonts w:hint="eastAsia" w:ascii="仿宋_GB2312" w:hAnsi="仿宋" w:eastAsia="仿宋_GB2312"/>
          <w:sz w:val="32"/>
          <w:szCs w:val="32"/>
        </w:rPr>
        <w:t xml:space="preserve"> </w:t>
      </w:r>
    </w:p>
    <w:p>
      <w:pPr>
        <w:spacing w:line="550" w:lineRule="exact"/>
        <w:jc w:val="center"/>
        <w:rPr>
          <w:rFonts w:ascii="仿宋_GB2312" w:hAnsi="仿宋" w:eastAsia="仿宋_GB2312"/>
          <w:sz w:val="32"/>
          <w:szCs w:val="32"/>
        </w:rPr>
      </w:pPr>
    </w:p>
    <w:p>
      <w:pPr>
        <w:spacing w:line="550" w:lineRule="exact"/>
        <w:jc w:val="center"/>
        <w:rPr>
          <w:rFonts w:ascii="仿宋_GB2312" w:hAnsi="仿宋" w:eastAsia="仿宋_GB2312"/>
          <w:sz w:val="32"/>
          <w:szCs w:val="32"/>
        </w:rPr>
      </w:pPr>
    </w:p>
    <w:p>
      <w:pPr>
        <w:spacing w:line="550" w:lineRule="exact"/>
        <w:jc w:val="center"/>
        <w:rPr>
          <w:rFonts w:ascii="仿宋_GB2312" w:hAnsi="仿宋" w:eastAsia="仿宋_GB2312"/>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杨陵区人民</w:t>
      </w:r>
      <w:r>
        <w:rPr>
          <w:rFonts w:ascii="宋体" w:hAnsi="宋体" w:cs="宋体"/>
          <w:b/>
          <w:bCs/>
          <w:sz w:val="48"/>
          <w:szCs w:val="48"/>
        </w:rPr>
        <w:t>政府办公室</w:t>
      </w:r>
      <w:r>
        <w:rPr>
          <w:rFonts w:hint="eastAsia" w:ascii="宋体" w:hAnsi="宋体" w:cs="宋体"/>
          <w:b/>
          <w:bCs/>
          <w:sz w:val="48"/>
          <w:szCs w:val="48"/>
        </w:rPr>
        <w:t>2020年部门决算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numPr>
          <w:ilvl w:val="0"/>
          <w:numId w:val="1"/>
        </w:numPr>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（一）财政拨款支出决算总体情况说明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（一）“三公”经费财政拨款支出决算总体情况说明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（二）“三公”经费财政拨款支出决算具体情况说明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（三）培训费支出情况说明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十、机关运行经费支出情况说明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十一、政府采购支出情况说明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十二、国有资产占用及购置情况说明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十三、预算绩效情况说明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（一）预算绩效管理工作开展情况说明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560" w:firstLineChars="200"/>
        <w:jc w:val="left"/>
        <w:rPr>
          <w:sz w:val="28"/>
          <w:szCs w:val="28"/>
        </w:rPr>
      </w:pPr>
      <w:r>
        <w:rPr>
          <w:sz w:val="28"/>
          <w:szCs w:val="28"/>
        </w:rPr>
        <w:t>杨陵区委区政府办公室是杨陵区人民政府党政机关，是区委区政府的参谋部门和综合办事机构 ，在区委区政府直接领导下，参与政务，开展调查研究，提供决策服务，搞好综合协调，加强督促 检查，处理日常事务。杨陵区机关后勤管理服务中心和杨陵区委区政府接待中心为下属事业单位 ，财务未独立，与办公室统一核算。</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560" w:firstLineChars="200"/>
        <w:jc w:val="left"/>
        <w:rPr>
          <w:rFonts w:ascii="楷体" w:hAnsi="楷体" w:eastAsia="楷体" w:cs="楷体"/>
          <w:b/>
          <w:bCs/>
          <w:color w:val="000000"/>
          <w:kern w:val="0"/>
          <w:sz w:val="28"/>
          <w:szCs w:val="28"/>
        </w:rPr>
      </w:pPr>
      <w:r>
        <w:rPr>
          <w:sz w:val="28"/>
          <w:szCs w:val="28"/>
        </w:rPr>
        <w:t>1.文秘工作。做好区委区政府日常文书处理，区级领导同志公务活动的组织安排，区委政府各类 会议的会务工作和重大活动的组织协调，加强会议室管理服务保障。2.综合文字工作。完成区委区 政府2020年相关会议纪要材料等起草、审核、签发工作，严格审核上报下发的各类公文。指导各部 门的文书处理工作和文秘人员的业务指导和培训工作。3.电子政务工作。做好全区党政机关信息化 建设，做好办公网络保障工作和规范全区党政机关网络媒体信息内容建设工作。4.公务接待工作。 严格执行《杨陵区党政机关国内公务接待管理办法》，做好区内各类公务接待工作。5.档案工作。 贯彻执行相关法律法规和方针政策，拟订全区档案事业发展规划，监督指导全区档案工作，依法查 处档案违规行为。6.机要保密工作。依法履行保密行政管理职能，贯彻落实相关保密工作方针、政 策、法律、法规，做好各项保密措施工作。7.政务公开（信息综合）工作。做好全区政务服务的相 关工作，指导监督管理全区各单位政务公开工作；做好区委区政府重要决策部署、重要情况和重要 动态等信息的收集、调研、整理、报送工作，加强对信息系统的业务指导和培训等工作。8．后勤服 务保障工作。做好全区办公用房、公务用车、职工餐厅、机关节能等后勤保障工作。9.完成区委、 区政府和上级部门交办的其它工作。</w:t>
      </w:r>
    </w:p>
    <w:p>
      <w:pPr>
        <w:widowControl/>
        <w:ind w:firstLine="643" w:firstLineChars="200"/>
        <w:jc w:val="left"/>
        <w:rPr>
          <w:rFonts w:ascii="楷体" w:hAnsi="楷体" w:eastAsia="楷体" w:cs="楷体"/>
          <w:b/>
          <w:bCs/>
          <w:color w:val="000000"/>
          <w:kern w:val="0"/>
          <w:sz w:val="32"/>
          <w:szCs w:val="32"/>
        </w:rPr>
      </w:pP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示例：纳入2020年本部门决算编制范围的单位共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杨陵区人民政府办公室（本级）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杨陵区机关后勤管理服务中心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杨凌区委区政府接待中心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w:t>
            </w:r>
            <w:r>
              <w:rPr>
                <w:rFonts w:ascii="仿宋_GB2312" w:hAnsi="仿宋_GB2312" w:eastAsia="仿宋_GB2312" w:cs="仿宋_GB2312"/>
                <w:sz w:val="32"/>
                <w:szCs w:val="32"/>
              </w:rPr>
              <w:t>电子</w:t>
            </w:r>
            <w:r>
              <w:rPr>
                <w:rFonts w:hint="eastAsia" w:ascii="仿宋_GB2312" w:hAnsi="仿宋_GB2312" w:eastAsia="仿宋_GB2312" w:cs="仿宋_GB2312"/>
                <w:sz w:val="32"/>
                <w:szCs w:val="32"/>
              </w:rPr>
              <w:t>政务</w:t>
            </w:r>
            <w:r>
              <w:rPr>
                <w:rFonts w:ascii="仿宋_GB2312" w:hAnsi="仿宋_GB2312" w:eastAsia="仿宋_GB2312" w:cs="仿宋_GB2312"/>
                <w:sz w:val="32"/>
                <w:szCs w:val="32"/>
              </w:rPr>
              <w:t>办公室</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截止2020年底，本部门人员编制42人，其中行政编制21人、事业编制</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人，工勤</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人。单位管理的离退休人员14人。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486400" cy="32004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年度部门决算表</w:t>
      </w:r>
    </w:p>
    <w:tbl>
      <w:tblPr>
        <w:tblStyle w:val="5"/>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w:t>
            </w:r>
            <w:r>
              <w:rPr>
                <w:rFonts w:ascii="宋体" w:hAnsi="宋体" w:cs="宋体"/>
                <w:color w:val="000000"/>
                <w:sz w:val="24"/>
              </w:rPr>
              <w:t>无政府性基金</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国有资本经营预算财政拨款支出决算表</w:t>
            </w:r>
          </w:p>
          <w:p>
            <w:pPr>
              <w:widowControl/>
              <w:jc w:val="left"/>
              <w:rPr>
                <w:rFonts w:ascii="宋体" w:hAnsi="宋体" w:cs="宋体"/>
                <w:color w:val="000000"/>
                <w:kern w:val="0"/>
                <w:sz w:val="24"/>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w:t>
            </w:r>
            <w:r>
              <w:rPr>
                <w:rFonts w:ascii="宋体" w:hAnsi="宋体" w:cs="宋体"/>
                <w:color w:val="000000"/>
                <w:sz w:val="24"/>
              </w:rPr>
              <w:t>无国有资本经营预算</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jc w:val="center"/>
        <w:textAlignment w:val="center"/>
        <w:rPr>
          <w:rFonts w:ascii="宋体" w:hAnsi="宋体" w:cs="宋体"/>
          <w:b/>
          <w:color w:val="000000"/>
          <w:kern w:val="0"/>
          <w:sz w:val="40"/>
          <w:szCs w:val="40"/>
        </w:rPr>
      </w:pPr>
    </w:p>
    <w:p>
      <w:pPr>
        <w:widowControl/>
        <w:textAlignment w:val="center"/>
        <w:rPr>
          <w:rFonts w:ascii="宋体" w:hAnsi="宋体" w:cs="宋体"/>
          <w:b/>
          <w:bCs/>
          <w:sz w:val="32"/>
          <w:szCs w:val="32"/>
        </w:rPr>
      </w:pPr>
    </w:p>
    <w:p>
      <w:pPr>
        <w:widowControl/>
        <w:textAlignment w:val="center"/>
        <w:rPr>
          <w:rFonts w:ascii="宋体" w:hAnsi="宋体" w:cs="宋体"/>
          <w:b/>
          <w:bCs/>
          <w:sz w:val="32"/>
          <w:szCs w:val="32"/>
        </w:rPr>
      </w:pPr>
    </w:p>
    <w:p>
      <w:pPr>
        <w:widowControl/>
        <w:textAlignment w:val="center"/>
        <w:rPr>
          <w:rFonts w:ascii="宋体" w:hAnsi="宋体" w:cs="宋体"/>
          <w:b/>
          <w:bCs/>
          <w:sz w:val="32"/>
          <w:szCs w:val="32"/>
        </w:rPr>
      </w:pPr>
    </w:p>
    <w:p>
      <w:pPr>
        <w:widowControl/>
        <w:ind w:firstLine="2891" w:firstLineChars="900"/>
        <w:textAlignment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编制部门：杨陵区</w:t>
      </w:r>
      <w:r>
        <w:rPr>
          <w:rFonts w:ascii="宋体" w:hAnsi="宋体" w:cs="宋体"/>
          <w:b/>
          <w:bCs/>
          <w:szCs w:val="21"/>
        </w:rPr>
        <w:t>人民政府办公室</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金额单位：万元                               </w:t>
      </w:r>
    </w:p>
    <w:tbl>
      <w:tblPr>
        <w:tblStyle w:val="5"/>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912.02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1331.01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ascii="宋体" w:hAnsi="宋体" w:cs="宋体"/>
                <w:color w:val="000000"/>
                <w:szCs w:val="21"/>
              </w:rPr>
            </w:pPr>
            <w:r>
              <w:rPr>
                <w:rFonts w:hint="eastAsia"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ascii="宋体" w:hAnsi="宋体" w:cs="宋体"/>
                <w:color w:val="000000"/>
                <w:szCs w:val="21"/>
              </w:rPr>
            </w:pPr>
            <w:r>
              <w:rPr>
                <w:rFonts w:hint="eastAsia"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jc w:val="right"/>
              <w:textAlignment w:val="center"/>
              <w:rPr>
                <w:rFonts w:ascii="宋体" w:hAnsi="宋体" w:cs="宋体"/>
                <w:color w:val="000000"/>
                <w:szCs w:val="21"/>
              </w:rPr>
            </w:pPr>
            <w:r>
              <w:rPr>
                <w:rFonts w:hint="eastAsia" w:ascii="宋体" w:hAns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jc w:val="right"/>
              <w:textAlignment w:val="center"/>
              <w:rPr>
                <w:rFonts w:ascii="宋体" w:hAnsi="宋体" w:cs="宋体"/>
                <w:color w:val="000000"/>
                <w:szCs w:val="21"/>
              </w:rPr>
            </w:pPr>
            <w:r>
              <w:rPr>
                <w:rFonts w:hint="eastAsia" w:ascii="宋体" w:hAnsi="宋体" w:cs="宋体"/>
                <w:color w:val="000000"/>
                <w:szCs w:val="21"/>
              </w:rPr>
              <w:t>434.19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6"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94"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54"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jc w:val="right"/>
              <w:textAlignment w:val="center"/>
              <w:rPr>
                <w:rFonts w:ascii="宋体" w:hAnsi="宋体" w:cs="宋体"/>
                <w:color w:val="000000"/>
                <w:szCs w:val="21"/>
              </w:rPr>
            </w:pPr>
            <w:r>
              <w:rPr>
                <w:rFonts w:ascii="宋体" w:hAnsi="宋体" w:cs="宋体"/>
                <w:color w:val="000000"/>
                <w:kern w:val="0"/>
                <w:szCs w:val="21"/>
              </w:rPr>
              <w:t>1346.21</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527" w:firstLineChars="250"/>
              <w:rPr>
                <w:rFonts w:ascii="宋体" w:hAnsi="宋体" w:cs="宋体"/>
                <w:b/>
                <w:color w:val="000000"/>
                <w:szCs w:val="21"/>
              </w:rPr>
            </w:pPr>
            <w:r>
              <w:rPr>
                <w:rFonts w:hint="eastAsia" w:ascii="宋体" w:hAnsi="宋体" w:cs="宋体"/>
                <w:b/>
                <w:color w:val="000000"/>
                <w:szCs w:val="21"/>
              </w:rPr>
              <w:t>1351.11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ind w:firstLine="843" w:firstLineChars="400"/>
              <w:rPr>
                <w:rFonts w:ascii="宋体" w:hAnsi="宋体" w:cs="宋体"/>
                <w:b/>
                <w:color w:val="000000"/>
                <w:szCs w:val="21"/>
              </w:rPr>
            </w:pPr>
            <w:r>
              <w:rPr>
                <w:rFonts w:hint="eastAsia" w:ascii="宋体" w:hAnsi="宋体" w:cs="宋体"/>
                <w:b/>
                <w:color w:val="000000"/>
                <w:szCs w:val="21"/>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5</w:t>
            </w:r>
            <w:r>
              <w:rPr>
                <w:rFonts w:ascii="宋体" w:hAnsi="宋体" w:cs="宋体"/>
                <w:bCs/>
                <w:color w:val="000000"/>
                <w:szCs w:val="21"/>
              </w:rPr>
              <w:t>.50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843" w:firstLineChars="400"/>
              <w:rPr>
                <w:rFonts w:ascii="宋体" w:hAnsi="宋体" w:cs="宋体"/>
                <w:b/>
                <w:color w:val="000000"/>
                <w:szCs w:val="21"/>
              </w:rPr>
            </w:pPr>
            <w:r>
              <w:rPr>
                <w:rFonts w:hint="eastAsia" w:ascii="宋体" w:hAnsi="宋体" w:cs="宋体"/>
                <w:b/>
                <w:color w:val="000000"/>
                <w:szCs w:val="21"/>
              </w:rPr>
              <w:t>0.60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1351.71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527" w:firstLineChars="250"/>
              <w:rPr>
                <w:rFonts w:ascii="宋体" w:hAnsi="宋体" w:cs="宋体"/>
                <w:b/>
                <w:color w:val="000000"/>
                <w:szCs w:val="21"/>
              </w:rPr>
            </w:pPr>
            <w:r>
              <w:rPr>
                <w:rFonts w:hint="eastAsia" w:ascii="宋体" w:hAnsi="宋体" w:cs="宋体"/>
                <w:b/>
                <w:color w:val="000000"/>
                <w:szCs w:val="21"/>
              </w:rPr>
              <w:t>1351.71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公开02表3</w:t>
      </w:r>
      <w:r>
        <w:rPr>
          <w:rFonts w:ascii="宋体" w:hAnsi="宋体" w:cs="宋体"/>
          <w:b/>
          <w:bCs/>
          <w:szCs w:val="21"/>
        </w:rPr>
        <w:t>6</w:t>
      </w:r>
    </w:p>
    <w:p>
      <w:pPr>
        <w:jc w:val="left"/>
        <w:rPr>
          <w:rFonts w:ascii="宋体" w:hAnsi="宋体" w:cs="宋体"/>
          <w:b/>
          <w:bCs/>
          <w:sz w:val="48"/>
          <w:szCs w:val="48"/>
        </w:rPr>
      </w:pPr>
      <w:r>
        <w:rPr>
          <w:rFonts w:hint="eastAsia" w:ascii="宋体" w:hAnsi="宋体" w:cs="宋体"/>
          <w:b/>
          <w:bCs/>
          <w:szCs w:val="21"/>
        </w:rPr>
        <w:t xml:space="preserve">编制部门：杨陵区人民政府办公室                                       金额单位：万元                    </w:t>
      </w:r>
    </w:p>
    <w:tbl>
      <w:tblPr>
        <w:tblStyle w:val="5"/>
        <w:tblW w:w="9298" w:type="dxa"/>
        <w:tblInd w:w="-431" w:type="dxa"/>
        <w:tblLayout w:type="fixed"/>
        <w:tblCellMar>
          <w:top w:w="15" w:type="dxa"/>
          <w:left w:w="15" w:type="dxa"/>
          <w:bottom w:w="15" w:type="dxa"/>
          <w:right w:w="15" w:type="dxa"/>
        </w:tblCellMar>
      </w:tblPr>
      <w:tblGrid>
        <w:gridCol w:w="1135"/>
        <w:gridCol w:w="1276"/>
        <w:gridCol w:w="992"/>
        <w:gridCol w:w="851"/>
        <w:gridCol w:w="708"/>
        <w:gridCol w:w="851"/>
        <w:gridCol w:w="935"/>
        <w:gridCol w:w="750"/>
        <w:gridCol w:w="866"/>
        <w:gridCol w:w="934"/>
      </w:tblGrid>
      <w:tr>
        <w:tblPrEx>
          <w:tblCellMar>
            <w:top w:w="15" w:type="dxa"/>
            <w:left w:w="15" w:type="dxa"/>
            <w:bottom w:w="15" w:type="dxa"/>
            <w:right w:w="15" w:type="dxa"/>
          </w:tblCellMar>
        </w:tblPrEx>
        <w:trPr>
          <w:trHeight w:val="439" w:hRule="atLeast"/>
        </w:trPr>
        <w:tc>
          <w:tcPr>
            <w:tcW w:w="24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113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4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1346.21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912.02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434.19</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w:t>
            </w:r>
            <w:r>
              <w:rPr>
                <w:rFonts w:ascii="宋体" w:hAnsi="宋体" w:cs="宋体"/>
                <w:color w:val="000000"/>
                <w:szCs w:val="21"/>
              </w:rPr>
              <w:t>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1331.22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898.72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432.50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政府</w:t>
            </w:r>
            <w:r>
              <w:rPr>
                <w:rFonts w:ascii="宋体" w:hAnsi="宋体" w:cs="宋体"/>
                <w:color w:val="000000"/>
                <w:szCs w:val="21"/>
              </w:rPr>
              <w:t>办公厅（</w:t>
            </w:r>
            <w:r>
              <w:rPr>
                <w:rFonts w:hint="eastAsia" w:ascii="宋体" w:hAnsi="宋体" w:cs="宋体"/>
                <w:color w:val="000000"/>
                <w:szCs w:val="21"/>
              </w:rPr>
              <w:t>室</w:t>
            </w:r>
            <w:r>
              <w:rPr>
                <w:rFonts w:ascii="宋体" w:hAnsi="宋体" w:cs="宋体"/>
                <w:color w:val="000000"/>
                <w:szCs w:val="21"/>
              </w:rPr>
              <w:t>）及相关事务机构）</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1331.22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898.72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432.50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412.37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398.97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13.4</w:t>
            </w:r>
            <w:r>
              <w:rPr>
                <w:rFonts w:ascii="宋体" w:hAnsi="宋体" w:cs="宋体"/>
                <w:color w:val="000000"/>
                <w:szCs w:val="21"/>
              </w:rPr>
              <w:t>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2010303</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机关服务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104.61</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104.61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专项</w:t>
            </w:r>
            <w:r>
              <w:rPr>
                <w:rFonts w:ascii="宋体" w:hAnsi="宋体" w:cs="宋体"/>
                <w:color w:val="000000"/>
                <w:szCs w:val="21"/>
              </w:rPr>
              <w:t>业务活动</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29.36</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2010350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w:t>
            </w:r>
            <w:r>
              <w:rPr>
                <w:rFonts w:ascii="宋体" w:hAnsi="宋体" w:cs="宋体"/>
                <w:color w:val="000000"/>
                <w:szCs w:val="21"/>
              </w:rPr>
              <w:t>运行</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222.88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222.88</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2010399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其他政府</w:t>
            </w:r>
            <w:r>
              <w:rPr>
                <w:rFonts w:ascii="宋体" w:hAnsi="宋体" w:cs="宋体"/>
                <w:color w:val="000000"/>
                <w:szCs w:val="21"/>
              </w:rPr>
              <w:t>办公厅（</w:t>
            </w:r>
            <w:r>
              <w:rPr>
                <w:rFonts w:hint="eastAsia" w:ascii="宋体" w:hAnsi="宋体" w:cs="宋体"/>
                <w:color w:val="000000"/>
                <w:szCs w:val="21"/>
              </w:rPr>
              <w:t>室</w:t>
            </w:r>
            <w:r>
              <w:rPr>
                <w:rFonts w:ascii="宋体" w:hAnsi="宋体" w:cs="宋体"/>
                <w:color w:val="000000"/>
                <w:szCs w:val="21"/>
              </w:rPr>
              <w:t>）及相关事务机构）</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562.00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142.9</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w:t>
            </w:r>
            <w:r>
              <w:rPr>
                <w:rFonts w:ascii="宋体" w:hAnsi="宋体" w:cs="宋体"/>
                <w:color w:val="000000"/>
                <w:szCs w:val="21"/>
              </w:rPr>
              <w:t>保障和就业支出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w:t>
            </w:r>
            <w:r>
              <w:rPr>
                <w:rFonts w:ascii="宋体" w:hAnsi="宋体" w:cs="宋体"/>
                <w:color w:val="000000"/>
                <w:szCs w:val="21"/>
              </w:rPr>
              <w:t>补助</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w:t>
            </w:r>
            <w:r>
              <w:rPr>
                <w:rFonts w:ascii="宋体" w:hAnsi="宋体" w:cs="宋体"/>
                <w:color w:val="000000"/>
                <w:szCs w:val="21"/>
              </w:rPr>
              <w:t>就业补助</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1.70</w:t>
            </w: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 w:val="48"/>
          <w:szCs w:val="48"/>
        </w:rPr>
      </w:pPr>
      <w:r>
        <w:rPr>
          <w:rFonts w:hint="eastAsia" w:ascii="宋体" w:hAnsi="宋体" w:cs="宋体"/>
          <w:b/>
          <w:bCs/>
          <w:szCs w:val="21"/>
        </w:rPr>
        <w:t xml:space="preserve">编制部门：杨陵区人民政府办公室                                       金额单位：万元                     </w:t>
      </w:r>
    </w:p>
    <w:tbl>
      <w:tblPr>
        <w:tblStyle w:val="5"/>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1351.11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635.24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715.87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w:t>
            </w:r>
            <w:r>
              <w:rPr>
                <w:rFonts w:ascii="宋体" w:hAnsi="宋体" w:cs="宋体"/>
                <w:color w:val="000000"/>
                <w:szCs w:val="21"/>
              </w:rPr>
              <w:t>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1331.02</w:t>
            </w:r>
          </w:p>
        </w:tc>
        <w:tc>
          <w:tcPr>
            <w:tcW w:w="986" w:type="dxa"/>
            <w:tcBorders>
              <w:top w:val="single" w:color="000000" w:sz="4" w:space="0"/>
              <w:left w:val="single" w:color="000000" w:sz="4" w:space="0"/>
              <w:bottom w:val="single" w:color="000000" w:sz="4" w:space="0"/>
              <w:right w:val="single" w:color="000000" w:sz="4" w:space="0"/>
            </w:tcBorders>
            <w:vAlign w:val="center"/>
          </w:tcPr>
          <w:p>
            <w:pPr>
              <w:ind w:right="105"/>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35.25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695.77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政府</w:t>
            </w:r>
            <w:r>
              <w:rPr>
                <w:rFonts w:ascii="宋体" w:hAnsi="宋体" w:cs="宋体"/>
                <w:color w:val="000000"/>
                <w:szCs w:val="21"/>
              </w:rPr>
              <w:t>办公厅（</w:t>
            </w:r>
            <w:r>
              <w:rPr>
                <w:rFonts w:hint="eastAsia" w:ascii="宋体" w:hAnsi="宋体" w:cs="宋体"/>
                <w:color w:val="000000"/>
                <w:szCs w:val="21"/>
              </w:rPr>
              <w:t>室</w:t>
            </w:r>
            <w:r>
              <w:rPr>
                <w:rFonts w:ascii="宋体" w:hAnsi="宋体" w:cs="宋体"/>
                <w:color w:val="000000"/>
                <w:szCs w:val="21"/>
              </w:rPr>
              <w:t>）及相关事务机构）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1331.02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635.25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695.77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412.37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412.37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104.61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104.61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专项</w:t>
            </w:r>
            <w:r>
              <w:rPr>
                <w:rFonts w:ascii="宋体" w:hAnsi="宋体" w:cs="宋体"/>
                <w:color w:val="000000"/>
                <w:szCs w:val="21"/>
              </w:rPr>
              <w:t>业务活动</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w:t>
            </w:r>
            <w:r>
              <w:rPr>
                <w:rFonts w:ascii="宋体" w:hAnsi="宋体" w:cs="宋体"/>
                <w:color w:val="000000"/>
                <w:szCs w:val="21"/>
              </w:rPr>
              <w:t>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w:t>
            </w:r>
            <w:r>
              <w:rPr>
                <w:rFonts w:ascii="宋体" w:hAnsi="宋体" w:cs="宋体"/>
                <w:color w:val="000000"/>
                <w:szCs w:val="21"/>
              </w:rPr>
              <w:t>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222.88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222.88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w:t>
            </w:r>
            <w:r>
              <w:rPr>
                <w:rFonts w:ascii="宋体" w:hAnsi="宋体" w:cs="宋体"/>
                <w:color w:val="000000"/>
                <w:szCs w:val="21"/>
              </w:rPr>
              <w:t>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其他政府</w:t>
            </w:r>
            <w:r>
              <w:rPr>
                <w:rFonts w:ascii="宋体" w:hAnsi="宋体" w:cs="宋体"/>
                <w:color w:val="000000"/>
                <w:szCs w:val="21"/>
              </w:rPr>
              <w:t>办公厅（</w:t>
            </w:r>
            <w:r>
              <w:rPr>
                <w:rFonts w:hint="eastAsia" w:ascii="宋体" w:hAnsi="宋体" w:cs="宋体"/>
                <w:color w:val="000000"/>
                <w:szCs w:val="21"/>
              </w:rPr>
              <w:t>室</w:t>
            </w:r>
            <w:r>
              <w:rPr>
                <w:rFonts w:ascii="宋体" w:hAnsi="宋体" w:cs="宋体"/>
                <w:color w:val="000000"/>
                <w:szCs w:val="21"/>
              </w:rPr>
              <w:t>）及相关事务机构）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561.80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561.80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w:t>
            </w:r>
            <w:r>
              <w:rPr>
                <w:rFonts w:ascii="宋体" w:hAnsi="宋体" w:cs="宋体"/>
                <w:color w:val="000000"/>
                <w:szCs w:val="21"/>
              </w:rPr>
              <w:t>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w:t>
            </w:r>
            <w:r>
              <w:rPr>
                <w:rFonts w:ascii="宋体" w:hAnsi="宋体" w:cs="宋体"/>
                <w:color w:val="000000"/>
                <w:szCs w:val="21"/>
              </w:rPr>
              <w:t>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w:t>
            </w:r>
            <w:r>
              <w:rPr>
                <w:rFonts w:ascii="宋体" w:hAnsi="宋体" w:cs="宋体"/>
                <w:color w:val="000000"/>
                <w:szCs w:val="21"/>
              </w:rPr>
              <w:t>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w:t>
            </w:r>
            <w:r>
              <w:rPr>
                <w:rFonts w:ascii="宋体" w:hAnsi="宋体" w:cs="宋体"/>
                <w:color w:val="000000"/>
                <w:szCs w:val="21"/>
              </w:rPr>
              <w:t>就业补助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 xml:space="preserve">编制部门： 杨陵区人民政府办公室                               金额单位：万元                            </w:t>
      </w:r>
    </w:p>
    <w:tbl>
      <w:tblPr>
        <w:tblStyle w:val="5"/>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91</w:t>
            </w:r>
            <w:r>
              <w:rPr>
                <w:rFonts w:ascii="宋体" w:hAnsi="宋体" w:cs="宋体"/>
                <w:color w:val="000000"/>
                <w:szCs w:val="21"/>
              </w:rPr>
              <w:t>2.02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898.72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898.72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13.3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13.3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912.02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912.02</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912.02</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Cs w:val="21"/>
              </w:rPr>
            </w:pPr>
            <w:r>
              <w:rPr>
                <w:rFonts w:hint="eastAsia" w:ascii="宋体" w:hAnsi="宋体" w:cs="宋体"/>
                <w:b/>
                <w:color w:val="000000"/>
                <w:szCs w:val="21"/>
              </w:rPr>
              <w:t>年末财政拨款结转和结余</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912.02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912.02</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912.02</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 xml:space="preserve">编制部门：杨陵区人民政府办公室                                       金额单位：万元                    </w:t>
      </w:r>
    </w:p>
    <w:tbl>
      <w:tblPr>
        <w:tblStyle w:val="5"/>
        <w:tblW w:w="8782" w:type="dxa"/>
        <w:tblInd w:w="-5" w:type="dxa"/>
        <w:tblLayout w:type="fixed"/>
        <w:tblCellMar>
          <w:top w:w="15" w:type="dxa"/>
          <w:left w:w="15" w:type="dxa"/>
          <w:bottom w:w="15" w:type="dxa"/>
          <w:right w:w="15" w:type="dxa"/>
        </w:tblCellMar>
      </w:tblPr>
      <w:tblGrid>
        <w:gridCol w:w="1175"/>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912.02</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621.84</w:t>
            </w:r>
          </w:p>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548.31</w:t>
            </w:r>
          </w:p>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73.53</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290.17</w:t>
            </w:r>
          </w:p>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898.72</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621.85</w:t>
            </w:r>
          </w:p>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548.31</w:t>
            </w:r>
          </w:p>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73.53</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276.87</w:t>
            </w:r>
          </w:p>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rPr>
                <w:rFonts w:cs="Arial"/>
                <w:color w:val="000000"/>
                <w:kern w:val="0"/>
                <w:sz w:val="22"/>
              </w:rPr>
            </w:pPr>
            <w:r>
              <w:rPr>
                <w:rFonts w:hint="eastAsia" w:cs="Arial"/>
                <w:color w:val="000000"/>
                <w:sz w:val="22"/>
              </w:rPr>
              <w:t>政府办公厅（室）及相关机构事务</w:t>
            </w:r>
          </w:p>
          <w:p>
            <w:pPr>
              <w:widowControl/>
              <w:textAlignment w:val="center"/>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898.72</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621.85</w:t>
            </w:r>
          </w:p>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548.31</w:t>
            </w:r>
          </w:p>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73.53</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276.87</w:t>
            </w:r>
          </w:p>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rPr>
                <w:rFonts w:cs="Arial"/>
                <w:color w:val="000000"/>
                <w:kern w:val="0"/>
                <w:sz w:val="22"/>
              </w:rPr>
            </w:pPr>
            <w:r>
              <w:rPr>
                <w:rFonts w:hint="eastAsia" w:cs="Arial"/>
                <w:color w:val="000000"/>
                <w:sz w:val="22"/>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cs="Arial"/>
                <w:color w:val="000000"/>
                <w:sz w:val="22"/>
              </w:rPr>
              <w:t xml:space="preserve">     </w:t>
            </w:r>
            <w:r>
              <w:rPr>
                <w:rFonts w:hint="eastAsia" w:cs="Arial"/>
                <w:color w:val="000000"/>
                <w:sz w:val="22"/>
              </w:rPr>
              <w:t>398.97</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cs="Arial"/>
                <w:color w:val="000000"/>
                <w:sz w:val="22"/>
              </w:rPr>
              <w:t xml:space="preserve">    </w:t>
            </w:r>
            <w:r>
              <w:rPr>
                <w:rFonts w:hint="eastAsia" w:cs="Arial"/>
                <w:color w:val="000000"/>
                <w:sz w:val="22"/>
              </w:rPr>
              <w:t>398.97</w:t>
            </w:r>
          </w:p>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cs="Arial"/>
                <w:color w:val="000000"/>
                <w:sz w:val="22"/>
              </w:rPr>
              <w:t xml:space="preserve">   </w:t>
            </w:r>
            <w:r>
              <w:rPr>
                <w:rFonts w:hint="eastAsia" w:cs="Arial"/>
                <w:color w:val="000000"/>
                <w:sz w:val="22"/>
              </w:rPr>
              <w:t>325.43</w:t>
            </w:r>
          </w:p>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cs="Arial"/>
                <w:color w:val="000000"/>
                <w:sz w:val="22"/>
              </w:rPr>
              <w:t xml:space="preserve">      </w:t>
            </w:r>
            <w:r>
              <w:rPr>
                <w:rFonts w:hint="eastAsia" w:cs="Arial"/>
                <w:color w:val="000000"/>
                <w:sz w:val="22"/>
              </w:rPr>
              <w:t>73.53</w:t>
            </w:r>
          </w:p>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2010303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机关服务</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104.61</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104.61</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专项业务活动</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29.36</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29.36</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2010350</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事业运行</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222.88</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222.88</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222.88</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其他政府办公厅（室）及相关机构事务支出</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142.90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142.90</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社会保障和就业支出</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就业补助</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其他就业补助支出</w:t>
            </w:r>
          </w:p>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0.00</w:t>
            </w:r>
          </w:p>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13.30</w:t>
            </w:r>
          </w:p>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 xml:space="preserve">编制部门：杨陵区人民政府办公室                                      金额单位：万元                      </w:t>
      </w:r>
    </w:p>
    <w:tbl>
      <w:tblPr>
        <w:tblStyle w:val="5"/>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621.84</w:t>
            </w:r>
          </w:p>
          <w:p>
            <w:pPr>
              <w:jc w:val="center"/>
              <w:rPr>
                <w:rFonts w:ascii="宋体" w:hAnsi="宋体" w:cs="宋体"/>
                <w:b/>
                <w:color w:val="000000"/>
                <w:szCs w:val="21"/>
              </w:rPr>
            </w:pPr>
          </w:p>
        </w:tc>
        <w:tc>
          <w:tcPr>
            <w:tcW w:w="1437" w:type="dxa"/>
            <w:tcBorders>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548.31</w:t>
            </w:r>
          </w:p>
          <w:p>
            <w:pPr>
              <w:jc w:val="center"/>
              <w:rPr>
                <w:rFonts w:ascii="宋体" w:hAnsi="宋体" w:cs="宋体"/>
                <w:b/>
                <w:color w:val="000000"/>
                <w:szCs w:val="21"/>
              </w:rPr>
            </w:pPr>
          </w:p>
        </w:tc>
        <w:tc>
          <w:tcPr>
            <w:tcW w:w="1363" w:type="dxa"/>
            <w:tcBorders>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73.53</w:t>
            </w:r>
          </w:p>
          <w:p>
            <w:pPr>
              <w:jc w:val="center"/>
              <w:rPr>
                <w:rFonts w:ascii="宋体" w:hAnsi="宋体" w:cs="宋体"/>
                <w:b/>
                <w:color w:val="000000"/>
                <w:szCs w:val="21"/>
              </w:rPr>
            </w:pP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530.33</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146.94</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109.75</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p>
          <w:p>
            <w:pPr>
              <w:widowControl/>
              <w:jc w:val="left"/>
              <w:rPr>
                <w:rFonts w:cs="Arial"/>
                <w:color w:val="000000"/>
                <w:kern w:val="0"/>
                <w:sz w:val="22"/>
              </w:rPr>
            </w:pPr>
            <w:r>
              <w:rPr>
                <w:rFonts w:hint="eastAsia" w:cs="Arial"/>
                <w:color w:val="000000"/>
                <w:sz w:val="22"/>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82.61</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30106</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伙食补助费</w:t>
            </w:r>
          </w:p>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1.72</w:t>
            </w:r>
          </w:p>
          <w:p>
            <w:pPr>
              <w:ind w:right="210"/>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30107</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绩效工资</w:t>
            </w:r>
          </w:p>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80.11</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30108</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机关事业单位基本养老保险缴费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40.65</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p>
          <w:p>
            <w:pPr>
              <w:widowControl/>
              <w:jc w:val="left"/>
              <w:rPr>
                <w:rFonts w:cs="Arial"/>
                <w:color w:val="000000"/>
                <w:kern w:val="0"/>
                <w:sz w:val="22"/>
              </w:rPr>
            </w:pPr>
            <w:r>
              <w:rPr>
                <w:rFonts w:hint="eastAsia" w:cs="Arial"/>
                <w:color w:val="000000"/>
                <w:sz w:val="22"/>
              </w:rPr>
              <w:t>30110</w:t>
            </w:r>
          </w:p>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职工基本医疗保险缴费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16.54</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30112</w:t>
            </w:r>
          </w:p>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其他社会保障缴费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3.07</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30113</w:t>
            </w:r>
          </w:p>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48.92</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w:t>
            </w:r>
          </w:p>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72.57</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30201</w:t>
            </w:r>
          </w:p>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14.06</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30202</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2.92</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30204</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手续费</w:t>
            </w:r>
          </w:p>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0.23</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color w:val="000000"/>
                <w:kern w:val="0"/>
                <w:sz w:val="22"/>
              </w:rPr>
            </w:pP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电费</w:t>
            </w:r>
          </w:p>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3.27</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sz w:val="22"/>
              </w:rPr>
            </w:pPr>
            <w:r>
              <w:rPr>
                <w:rFonts w:hint="eastAsia" w:cs="Arial"/>
                <w:color w:val="000000"/>
                <w:sz w:val="22"/>
              </w:rPr>
              <w:t>3</w:t>
            </w:r>
            <w:r>
              <w:rPr>
                <w:rFonts w:cs="Arial"/>
                <w:color w:val="000000"/>
                <w:sz w:val="22"/>
              </w:rPr>
              <w:t>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邮电费</w:t>
            </w:r>
          </w:p>
          <w:p>
            <w:pPr>
              <w:widowControl/>
              <w:jc w:val="left"/>
              <w:rPr>
                <w:rFonts w:cs="Arial"/>
                <w:color w:val="000000"/>
                <w:sz w:val="22"/>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0.38</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30211</w:t>
            </w:r>
          </w:p>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差旅费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1.62</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30213</w:t>
            </w:r>
          </w:p>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维修(护)费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11.97</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30216</w:t>
            </w:r>
          </w:p>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培训费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0.69</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30217</w:t>
            </w:r>
          </w:p>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公务接待费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8.00</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30228</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工会经费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8.14</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30231</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公务用车运行维护费</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0.69</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30239</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其他交通费用</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8.46</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30299</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 xml:space="preserve">  其他商品和服务支出</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12.15</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303</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对个人和家庭的补助</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17.98</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30304</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抚恤金</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17.98</w:t>
            </w:r>
          </w:p>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30309</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奖励金</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80.11</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310</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资本性支出</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0.96</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31003</w:t>
            </w:r>
          </w:p>
          <w:p>
            <w:pPr>
              <w:widowControl/>
              <w:jc w:val="left"/>
              <w:rPr>
                <w:rFonts w:cs="Arial"/>
                <w:color w:val="000000"/>
                <w:sz w:val="22"/>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color w:val="000000"/>
                <w:kern w:val="0"/>
                <w:sz w:val="22"/>
              </w:rPr>
            </w:pPr>
            <w:r>
              <w:rPr>
                <w:rFonts w:hint="eastAsia" w:cs="Arial"/>
                <w:color w:val="000000"/>
                <w:sz w:val="22"/>
              </w:rPr>
              <w:t>专用设备购置</w:t>
            </w:r>
          </w:p>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cs="Arial"/>
                <w:color w:val="000000"/>
                <w:kern w:val="0"/>
                <w:sz w:val="22"/>
              </w:rPr>
            </w:pPr>
            <w:r>
              <w:rPr>
                <w:rFonts w:hint="eastAsia" w:cs="Arial"/>
                <w:color w:val="000000"/>
                <w:sz w:val="22"/>
              </w:rPr>
              <w:t>0.96</w:t>
            </w:r>
          </w:p>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 xml:space="preserve">编制部门：杨陵区人民政府办公室                                       金额单位：万元                     </w:t>
      </w:r>
    </w:p>
    <w:tbl>
      <w:tblPr>
        <w:tblStyle w:val="5"/>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45.17</w:t>
            </w:r>
          </w:p>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20.36</w:t>
            </w:r>
          </w:p>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24.81</w:t>
            </w:r>
          </w:p>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24.81</w:t>
            </w:r>
          </w:p>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27.73</w:t>
            </w:r>
          </w:p>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18.53</w:t>
            </w:r>
          </w:p>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9.21</w:t>
            </w:r>
          </w:p>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9.21</w:t>
            </w:r>
          </w:p>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0.00</w:t>
            </w:r>
          </w:p>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Arial"/>
                <w:color w:val="000000"/>
                <w:kern w:val="0"/>
                <w:sz w:val="22"/>
              </w:rPr>
            </w:pPr>
            <w:r>
              <w:rPr>
                <w:rFonts w:hint="eastAsia" w:cs="Arial"/>
                <w:color w:val="000000"/>
                <w:sz w:val="22"/>
              </w:rPr>
              <w:t>1.17</w:t>
            </w:r>
          </w:p>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 xml:space="preserve">编制部门：杨陵区人民政府办公室                                      金额单位：万元                  </w:t>
      </w:r>
    </w:p>
    <w:tbl>
      <w:tblPr>
        <w:tblStyle w:val="5"/>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公开09</w:t>
      </w:r>
      <w:r>
        <w:rPr>
          <w:rFonts w:hint="eastAsia" w:ascii="宋体" w:hAnsi="宋体" w:cs="宋体"/>
          <w:b/>
          <w:bCs/>
          <w:szCs w:val="21"/>
        </w:rPr>
        <w:tab/>
      </w:r>
      <w:r>
        <w:rPr>
          <w:rFonts w:hint="eastAsia" w:ascii="宋体" w:hAnsi="宋体" w:cs="宋体"/>
          <w:b/>
          <w:bCs/>
          <w:szCs w:val="21"/>
        </w:rPr>
        <w:t>表</w:t>
      </w:r>
    </w:p>
    <w:p>
      <w:pPr>
        <w:jc w:val="left"/>
        <w:rPr>
          <w:rFonts w:ascii="宋体" w:hAnsi="宋体" w:cs="宋体"/>
          <w:b/>
          <w:bCs/>
          <w:szCs w:val="21"/>
        </w:rPr>
      </w:pPr>
      <w:r>
        <w:rPr>
          <w:rFonts w:hint="eastAsia" w:ascii="宋体" w:hAnsi="宋体" w:cs="宋体"/>
          <w:b/>
          <w:bCs/>
          <w:szCs w:val="21"/>
        </w:rPr>
        <w:t xml:space="preserve">编制部门：杨陵区人民政府办公室                                       金额单位：万元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tcPr>
          <w:p>
            <w:pPr>
              <w:jc w:val="center"/>
              <w:rPr>
                <w:rFonts w:ascii="黑体" w:hAnsi="宋体" w:eastAsia="黑体"/>
                <w:color w:val="000000"/>
                <w:kern w:val="0"/>
                <w:sz w:val="44"/>
                <w:szCs w:val="44"/>
              </w:rPr>
            </w:pPr>
            <w:r>
              <w:rPr>
                <w:rFonts w:hint="eastAsia" w:ascii="宋体" w:hAnsi="宋体" w:cs="宋体"/>
                <w:b/>
                <w:color w:val="000000"/>
                <w:kern w:val="0"/>
                <w:szCs w:val="21"/>
              </w:rPr>
              <w:t>项    目</w:t>
            </w:r>
          </w:p>
        </w:tc>
        <w:tc>
          <w:tcPr>
            <w:tcW w:w="5436" w:type="dxa"/>
            <w:gridSpan w:val="3"/>
          </w:tcPr>
          <w:p>
            <w:pPr>
              <w:jc w:val="center"/>
              <w:rPr>
                <w:rFonts w:ascii="黑体" w:hAnsi="宋体" w:eastAsia="黑体"/>
                <w:color w:val="000000"/>
                <w:kern w:val="0"/>
                <w:sz w:val="44"/>
                <w:szCs w:val="44"/>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宋体" w:hAnsi="宋体" w:cs="宋体"/>
                <w:b/>
                <w:color w:val="000000"/>
                <w:kern w:val="0"/>
                <w:szCs w:val="21"/>
              </w:rPr>
            </w:pPr>
            <w:r>
              <w:rPr>
                <w:rFonts w:hint="eastAsia" w:ascii="宋体" w:hAnsi="宋体" w:cs="宋体"/>
                <w:b/>
                <w:color w:val="000000"/>
                <w:kern w:val="0"/>
                <w:szCs w:val="21"/>
              </w:rPr>
              <w:t>功能分类</w:t>
            </w:r>
          </w:p>
          <w:p>
            <w:pPr>
              <w:jc w:val="center"/>
              <w:rPr>
                <w:rFonts w:ascii="黑体" w:hAnsi="宋体" w:eastAsia="黑体"/>
                <w:color w:val="000000"/>
                <w:kern w:val="0"/>
                <w:sz w:val="44"/>
                <w:szCs w:val="44"/>
              </w:rPr>
            </w:pPr>
            <w:r>
              <w:rPr>
                <w:rFonts w:hint="eastAsia" w:ascii="宋体" w:hAnsi="宋体" w:cs="宋体"/>
                <w:b/>
                <w:color w:val="000000"/>
                <w:kern w:val="0"/>
                <w:szCs w:val="21"/>
              </w:rPr>
              <w:t>科目编码</w:t>
            </w:r>
          </w:p>
        </w:tc>
        <w:tc>
          <w:tcPr>
            <w:tcW w:w="1812" w:type="dxa"/>
          </w:tcPr>
          <w:p>
            <w:pPr>
              <w:jc w:val="center"/>
              <w:rPr>
                <w:rFonts w:ascii="黑体" w:hAnsi="宋体" w:eastAsia="黑体"/>
                <w:color w:val="000000"/>
                <w:kern w:val="0"/>
                <w:sz w:val="44"/>
                <w:szCs w:val="44"/>
              </w:rPr>
            </w:pPr>
            <w:r>
              <w:rPr>
                <w:rFonts w:hint="eastAsia" w:ascii="宋体" w:hAnsi="宋体" w:cs="宋体"/>
                <w:b/>
                <w:color w:val="000000"/>
                <w:kern w:val="0"/>
                <w:szCs w:val="21"/>
              </w:rPr>
              <w:t>科目名称</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tcPr>
          <w:p>
            <w:pPr>
              <w:jc w:val="center"/>
              <w:rPr>
                <w:rFonts w:ascii="宋体" w:hAnsi="宋体" w:cs="宋体"/>
                <w:b/>
                <w:color w:val="000000"/>
                <w:kern w:val="0"/>
                <w:szCs w:val="21"/>
              </w:rPr>
            </w:pPr>
          </w:p>
          <w:p>
            <w:pPr>
              <w:jc w:val="center"/>
              <w:rPr>
                <w:rFonts w:ascii="黑体" w:hAnsi="宋体" w:eastAsia="黑体"/>
                <w:color w:val="000000"/>
                <w:kern w:val="0"/>
                <w:sz w:val="44"/>
                <w:szCs w:val="44"/>
              </w:rPr>
            </w:pPr>
            <w:r>
              <w:rPr>
                <w:rFonts w:hint="eastAsia" w:ascii="宋体" w:hAnsi="宋体" w:cs="宋体"/>
                <w:b/>
                <w:color w:val="000000"/>
                <w:kern w:val="0"/>
                <w:szCs w:val="21"/>
              </w:rPr>
              <w:t>合计</w:t>
            </w: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jc w:val="left"/>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2020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1280" w:firstLineChars="400"/>
        <w:jc w:val="left"/>
        <w:rPr>
          <w:rFonts w:ascii="仿宋_GB2312" w:hAnsi="仿宋" w:eastAsia="仿宋_GB2312"/>
          <w:sz w:val="32"/>
          <w:szCs w:val="32"/>
        </w:rPr>
      </w:pPr>
      <w:r>
        <w:rPr>
          <w:rFonts w:hint="eastAsia" w:ascii="仿宋_GB2312" w:hAnsi="仿宋" w:eastAsia="仿宋_GB2312"/>
          <w:sz w:val="32"/>
          <w:szCs w:val="32"/>
        </w:rPr>
        <w:t>2020年收入13</w:t>
      </w:r>
      <w:r>
        <w:rPr>
          <w:rFonts w:ascii="仿宋_GB2312" w:hAnsi="仿宋" w:eastAsia="仿宋_GB2312"/>
          <w:sz w:val="32"/>
          <w:szCs w:val="32"/>
        </w:rPr>
        <w:t>46</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1万元，比上年1576.91万元，减少225.</w:t>
      </w:r>
      <w:r>
        <w:rPr>
          <w:rFonts w:ascii="仿宋_GB2312" w:hAnsi="仿宋" w:eastAsia="仿宋_GB2312"/>
          <w:sz w:val="32"/>
          <w:szCs w:val="32"/>
        </w:rPr>
        <w:t>8</w:t>
      </w:r>
      <w:r>
        <w:rPr>
          <w:rFonts w:hint="eastAsia" w:ascii="仿宋_GB2312" w:hAnsi="仿宋" w:eastAsia="仿宋_GB2312"/>
          <w:sz w:val="32"/>
          <w:szCs w:val="32"/>
        </w:rPr>
        <w:t>万元，减少</w:t>
      </w:r>
      <w:r>
        <w:rPr>
          <w:rFonts w:ascii="仿宋_GB2312" w:hAnsi="仿宋" w:eastAsia="仿宋_GB2312"/>
          <w:sz w:val="32"/>
          <w:szCs w:val="32"/>
        </w:rPr>
        <w:t>的主要原因是</w:t>
      </w:r>
      <w:r>
        <w:rPr>
          <w:rFonts w:hint="eastAsia" w:ascii="仿宋_GB2312" w:hAnsi="仿宋" w:eastAsia="仿宋_GB2312"/>
          <w:sz w:val="32"/>
          <w:szCs w:val="32"/>
        </w:rPr>
        <w:t>人员工资福利</w:t>
      </w:r>
      <w:r>
        <w:rPr>
          <w:rFonts w:ascii="仿宋_GB2312" w:hAnsi="仿宋" w:eastAsia="仿宋_GB2312"/>
          <w:sz w:val="32"/>
          <w:szCs w:val="32"/>
        </w:rPr>
        <w:t>支出与</w:t>
      </w:r>
      <w:r>
        <w:rPr>
          <w:rFonts w:hint="eastAsia" w:ascii="仿宋_GB2312" w:hAnsi="仿宋" w:eastAsia="仿宋_GB2312"/>
          <w:sz w:val="32"/>
          <w:szCs w:val="32"/>
        </w:rPr>
        <w:t>商品服务</w:t>
      </w:r>
      <w:r>
        <w:rPr>
          <w:rFonts w:ascii="仿宋_GB2312" w:hAnsi="仿宋" w:eastAsia="仿宋_GB2312"/>
          <w:sz w:val="32"/>
          <w:szCs w:val="32"/>
        </w:rPr>
        <w:t>支出</w:t>
      </w:r>
      <w:r>
        <w:rPr>
          <w:rFonts w:hint="eastAsia" w:ascii="仿宋_GB2312" w:hAnsi="仿宋" w:eastAsia="仿宋_GB2312"/>
          <w:sz w:val="32"/>
          <w:szCs w:val="32"/>
        </w:rPr>
        <w:t>减少</w:t>
      </w:r>
      <w:r>
        <w:rPr>
          <w:rFonts w:ascii="仿宋_GB2312" w:hAnsi="仿宋" w:eastAsia="仿宋_GB2312"/>
          <w:sz w:val="32"/>
          <w:szCs w:val="32"/>
        </w:rPr>
        <w:t>。</w:t>
      </w:r>
    </w:p>
    <w:p>
      <w:pPr>
        <w:widowControl/>
        <w:ind w:firstLine="1280" w:firstLineChars="4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86400" cy="32004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2020年支出1351.1</w:t>
      </w:r>
      <w:r>
        <w:rPr>
          <w:rFonts w:ascii="仿宋_GB2312" w:hAnsi="仿宋" w:eastAsia="仿宋_GB2312"/>
          <w:sz w:val="32"/>
          <w:szCs w:val="32"/>
        </w:rPr>
        <w:t>1</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比上年1</w:t>
      </w:r>
      <w:r>
        <w:rPr>
          <w:rFonts w:ascii="仿宋_GB2312" w:hAnsi="仿宋" w:eastAsia="仿宋_GB2312"/>
          <w:sz w:val="32"/>
          <w:szCs w:val="32"/>
        </w:rPr>
        <w:t>587.44</w:t>
      </w:r>
      <w:r>
        <w:rPr>
          <w:rFonts w:hint="eastAsia" w:ascii="仿宋_GB2312" w:hAnsi="仿宋" w:eastAsia="仿宋_GB2312"/>
          <w:sz w:val="32"/>
          <w:szCs w:val="32"/>
        </w:rPr>
        <w:t>万元，减少</w:t>
      </w:r>
      <w:r>
        <w:rPr>
          <w:rFonts w:ascii="仿宋_GB2312" w:hAnsi="仿宋" w:eastAsia="仿宋_GB2312"/>
          <w:sz w:val="32"/>
          <w:szCs w:val="32"/>
        </w:rPr>
        <w:t>236.33</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减少的</w:t>
      </w:r>
      <w:r>
        <w:rPr>
          <w:rFonts w:ascii="仿宋_GB2312" w:hAnsi="仿宋" w:eastAsia="仿宋_GB2312"/>
          <w:sz w:val="32"/>
          <w:szCs w:val="32"/>
        </w:rPr>
        <w:t>主要原因</w:t>
      </w:r>
      <w:r>
        <w:rPr>
          <w:rFonts w:hint="eastAsia" w:ascii="仿宋_GB2312" w:hAnsi="仿宋" w:eastAsia="仿宋_GB2312"/>
          <w:sz w:val="32"/>
          <w:szCs w:val="32"/>
        </w:rPr>
        <w:t>是人员</w:t>
      </w:r>
      <w:r>
        <w:rPr>
          <w:rFonts w:ascii="仿宋_GB2312" w:hAnsi="仿宋" w:eastAsia="仿宋_GB2312"/>
          <w:sz w:val="32"/>
          <w:szCs w:val="32"/>
        </w:rPr>
        <w:t>工资福利支出</w:t>
      </w:r>
      <w:r>
        <w:rPr>
          <w:rFonts w:hint="eastAsia" w:ascii="仿宋_GB2312" w:hAnsi="仿宋" w:eastAsia="仿宋_GB2312"/>
          <w:sz w:val="32"/>
          <w:szCs w:val="32"/>
        </w:rPr>
        <w:t>及</w:t>
      </w:r>
      <w:r>
        <w:rPr>
          <w:rFonts w:ascii="仿宋_GB2312" w:hAnsi="仿宋" w:eastAsia="仿宋_GB2312"/>
          <w:sz w:val="32"/>
          <w:szCs w:val="32"/>
        </w:rPr>
        <w:t>商品服务支出减少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86400" cy="32004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46.2元，其中：财政拨款收入912.02万元，占67.47%；事业收入0万元，</w:t>
      </w:r>
      <w:r>
        <w:rPr>
          <w:rFonts w:hint="eastAsia" w:ascii="仿宋_GB2312" w:hAnsi="宋体" w:eastAsia="仿宋_GB2312" w:cs="仿宋_GB2312"/>
          <w:color w:val="000000"/>
          <w:kern w:val="0"/>
          <w:sz w:val="32"/>
          <w:szCs w:val="32"/>
        </w:rPr>
        <w:t>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434.19</w:t>
      </w:r>
      <w:r>
        <w:rPr>
          <w:rFonts w:ascii="仿宋_GB2312" w:hAnsi="宋体" w:eastAsia="仿宋_GB2312" w:cs="仿宋_GB2312"/>
          <w:color w:val="000000"/>
          <w:kern w:val="0"/>
          <w:sz w:val="32"/>
          <w:szCs w:val="32"/>
        </w:rPr>
        <w:t>万元，占32.53%</w:t>
      </w:r>
      <w:r>
        <w:rPr>
          <w:rFonts w:hint="eastAsia"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75860" cy="2370455"/>
            <wp:effectExtent l="0" t="0" r="15240"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hAnsi="宋体" w:eastAsia="仿宋_GB2312" w:cs="仿宋_GB2312"/>
          <w:color w:val="000000"/>
          <w:kern w:val="0"/>
          <w:sz w:val="32"/>
          <w:szCs w:val="32"/>
        </w:rPr>
        <w:br w:type="textWrapping" w:clear="all"/>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年支出合计1351.11万元，其中：基本支出</w:t>
      </w: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35.24万元，占47%；项目支出715.87万元，占53%；经营支出0万元，占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0" distR="0">
            <wp:extent cx="4826000" cy="2378710"/>
            <wp:effectExtent l="19050" t="0" r="12489" b="2116"/>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收入9</w:t>
      </w:r>
      <w:r>
        <w:rPr>
          <w:rFonts w:ascii="仿宋_GB2312" w:hAnsi="仿宋" w:eastAsia="仿宋_GB2312"/>
          <w:sz w:val="32"/>
          <w:szCs w:val="32"/>
        </w:rPr>
        <w:t>12.02</w:t>
      </w:r>
      <w:r>
        <w:rPr>
          <w:rFonts w:hint="eastAsia" w:ascii="仿宋_GB2312" w:hAnsi="仿宋" w:eastAsia="仿宋_GB2312"/>
          <w:sz w:val="32"/>
          <w:szCs w:val="32"/>
        </w:rPr>
        <w:t>万元，比上年1</w:t>
      </w:r>
      <w:r>
        <w:rPr>
          <w:rFonts w:ascii="仿宋_GB2312" w:hAnsi="仿宋" w:eastAsia="仿宋_GB2312"/>
          <w:sz w:val="32"/>
          <w:szCs w:val="32"/>
        </w:rPr>
        <w:t>004.83</w:t>
      </w:r>
      <w:r>
        <w:rPr>
          <w:rFonts w:hint="eastAsia" w:ascii="仿宋_GB2312" w:hAnsi="仿宋" w:eastAsia="仿宋_GB2312"/>
          <w:sz w:val="32"/>
          <w:szCs w:val="32"/>
        </w:rPr>
        <w:t>万元，减少9</w:t>
      </w:r>
      <w:r>
        <w:rPr>
          <w:rFonts w:ascii="仿宋_GB2312" w:hAnsi="仿宋" w:eastAsia="仿宋_GB2312"/>
          <w:sz w:val="32"/>
          <w:szCs w:val="32"/>
        </w:rPr>
        <w:t>2.81</w:t>
      </w:r>
      <w:r>
        <w:rPr>
          <w:rFonts w:hint="eastAsia" w:ascii="仿宋_GB2312" w:hAnsi="仿宋" w:eastAsia="仿宋_GB2312"/>
          <w:sz w:val="32"/>
          <w:szCs w:val="32"/>
        </w:rPr>
        <w:t>万元，减少的主要原因是项目支出减少，其他收入增加。</w:t>
      </w:r>
      <w:r>
        <w:rPr>
          <w:rFonts w:ascii="仿宋_GB2312" w:hAnsi="仿宋" w:eastAsia="仿宋_GB2312"/>
          <w:sz w:val="32"/>
          <w:szCs w:val="32"/>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支出9</w:t>
      </w:r>
      <w:r>
        <w:rPr>
          <w:rFonts w:ascii="仿宋_GB2312" w:hAnsi="仿宋" w:eastAsia="仿宋_GB2312"/>
          <w:sz w:val="32"/>
          <w:szCs w:val="32"/>
        </w:rPr>
        <w:t>12.02</w:t>
      </w:r>
      <w:r>
        <w:rPr>
          <w:rFonts w:hint="eastAsia" w:ascii="仿宋_GB2312" w:hAnsi="仿宋" w:eastAsia="仿宋_GB2312"/>
          <w:sz w:val="32"/>
          <w:szCs w:val="32"/>
        </w:rPr>
        <w:t>万元，比上年1</w:t>
      </w:r>
      <w:r>
        <w:rPr>
          <w:rFonts w:ascii="仿宋_GB2312" w:hAnsi="仿宋" w:eastAsia="仿宋_GB2312"/>
          <w:sz w:val="32"/>
          <w:szCs w:val="32"/>
        </w:rPr>
        <w:t>004.83</w:t>
      </w:r>
      <w:r>
        <w:rPr>
          <w:rFonts w:hint="eastAsia" w:ascii="仿宋_GB2312" w:hAnsi="仿宋" w:eastAsia="仿宋_GB2312"/>
          <w:sz w:val="32"/>
          <w:szCs w:val="32"/>
        </w:rPr>
        <w:t>万元减少9</w:t>
      </w:r>
      <w:r>
        <w:rPr>
          <w:rFonts w:ascii="仿宋_GB2312" w:hAnsi="仿宋" w:eastAsia="仿宋_GB2312"/>
          <w:sz w:val="32"/>
          <w:szCs w:val="32"/>
        </w:rPr>
        <w:t>2.81</w:t>
      </w:r>
      <w:r>
        <w:rPr>
          <w:rFonts w:hint="eastAsia" w:ascii="仿宋_GB2312" w:hAnsi="仿宋" w:eastAsia="仿宋_GB2312"/>
          <w:sz w:val="32"/>
          <w:szCs w:val="32"/>
        </w:rPr>
        <w:t>万元，减少的主要原因是项目支出减少。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年财政拨款支出912.02万元，占本年支出合计的67.5%。</w:t>
      </w:r>
      <w:r>
        <w:rPr>
          <w:rFonts w:hint="eastAsia" w:ascii="仿宋_GB2312" w:hAnsi="宋体" w:eastAsia="仿宋_GB2312" w:cs="仿宋_GB2312"/>
          <w:color w:val="000000"/>
          <w:kern w:val="0"/>
          <w:sz w:val="32"/>
          <w:szCs w:val="32"/>
        </w:rPr>
        <w:t>与上年支出1</w:t>
      </w:r>
      <w:r>
        <w:rPr>
          <w:rFonts w:ascii="仿宋_GB2312" w:hAnsi="宋体" w:eastAsia="仿宋_GB2312" w:cs="仿宋_GB2312"/>
          <w:color w:val="000000"/>
          <w:kern w:val="0"/>
          <w:sz w:val="32"/>
          <w:szCs w:val="32"/>
        </w:rPr>
        <w:t>004.83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减少9</w:t>
      </w:r>
      <w:r>
        <w:rPr>
          <w:rFonts w:ascii="仿宋_GB2312" w:hAnsi="宋体" w:eastAsia="仿宋_GB2312" w:cs="仿宋_GB2312"/>
          <w:color w:val="000000"/>
          <w:kern w:val="0"/>
          <w:sz w:val="32"/>
          <w:szCs w:val="32"/>
        </w:rPr>
        <w:t>2.81万元，</w:t>
      </w:r>
      <w:r>
        <w:rPr>
          <w:rFonts w:hint="eastAsia" w:ascii="仿宋_GB2312" w:hAnsi="宋体" w:eastAsia="仿宋_GB2312" w:cs="仿宋_GB2312"/>
          <w:color w:val="000000"/>
          <w:kern w:val="0"/>
          <w:sz w:val="32"/>
          <w:szCs w:val="32"/>
        </w:rPr>
        <w:t>减少1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减少的</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项目支出减少。</w:t>
      </w:r>
    </w:p>
    <w:p>
      <w:pPr>
        <w:widowControl/>
        <w:ind w:firstLine="420" w:firstLineChars="200"/>
        <w:jc w:val="left"/>
        <w:rPr>
          <w:rFonts w:ascii="仿宋_GB2312" w:hAnsi="仿宋" w:eastAsia="仿宋_GB2312"/>
          <w:sz w:val="32"/>
          <w:szCs w:val="32"/>
        </w:rPr>
      </w:pPr>
      <w:r>
        <w:drawing>
          <wp:inline distT="0" distB="0" distL="0" distR="0">
            <wp:extent cx="5340350" cy="1854200"/>
            <wp:effectExtent l="0" t="0" r="12700"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 xml:space="preserve"> 年财政拨款支出年初预算为828.8万元，支出决算为912.02万元，完成年初预算的110%。</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年初预算为363.3万元，支出决算为398.97万元，完成年初预算的109.82%。决算数大</w:t>
      </w:r>
      <w:r>
        <w:rPr>
          <w:rFonts w:hint="eastAsia" w:ascii="仿宋_GB2312" w:hAnsi="宋体" w:eastAsia="仿宋_GB2312" w:cs="仿宋_GB2312"/>
          <w:color w:val="000000"/>
          <w:kern w:val="0"/>
          <w:sz w:val="32"/>
          <w:szCs w:val="32"/>
        </w:rPr>
        <w:t>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人员调资工资支出增加。</w:t>
      </w:r>
    </w:p>
    <w:p>
      <w:pPr>
        <w:widowControl/>
        <w:ind w:firstLine="640" w:firstLineChars="200"/>
        <w:jc w:val="left"/>
      </w:pP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w:t>
      </w:r>
      <w:r>
        <w:rPr>
          <w:rFonts w:ascii="仿宋_GB2312" w:hAnsi="宋体" w:eastAsia="仿宋_GB2312" w:cs="仿宋_GB2312"/>
          <w:b/>
          <w:color w:val="000000"/>
          <w:kern w:val="0"/>
          <w:sz w:val="32"/>
          <w:szCs w:val="32"/>
        </w:rPr>
        <w:t xml:space="preserve"> 一般公共服务支出（类）财政事务（款）</w:t>
      </w:r>
      <w:r>
        <w:rPr>
          <w:rFonts w:hint="eastAsia" w:ascii="仿宋_GB2312" w:hAnsi="宋体" w:eastAsia="仿宋_GB2312" w:cs="仿宋_GB2312"/>
          <w:b/>
          <w:color w:val="000000"/>
          <w:kern w:val="0"/>
          <w:sz w:val="32"/>
          <w:szCs w:val="32"/>
        </w:rPr>
        <w:t>机关服务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年初预算为1</w:t>
      </w:r>
      <w:r>
        <w:rPr>
          <w:rFonts w:ascii="仿宋_GB2312" w:hAnsi="宋体" w:eastAsia="仿宋_GB2312" w:cs="仿宋_GB2312"/>
          <w:color w:val="000000"/>
          <w:kern w:val="0"/>
          <w:sz w:val="32"/>
          <w:szCs w:val="32"/>
        </w:rPr>
        <w:t>19</w:t>
      </w:r>
      <w:r>
        <w:rPr>
          <w:rFonts w:hint="eastAsia" w:ascii="仿宋_GB2312" w:hAnsi="宋体" w:eastAsia="仿宋_GB2312" w:cs="仿宋_GB2312"/>
          <w:color w:val="000000"/>
          <w:kern w:val="0"/>
          <w:sz w:val="32"/>
          <w:szCs w:val="32"/>
        </w:rPr>
        <w:t>万元，支出决算为1</w:t>
      </w:r>
      <w:r>
        <w:rPr>
          <w:rFonts w:ascii="仿宋_GB2312" w:hAnsi="宋体" w:eastAsia="仿宋_GB2312" w:cs="仿宋_GB2312"/>
          <w:color w:val="000000"/>
          <w:kern w:val="0"/>
          <w:sz w:val="32"/>
          <w:szCs w:val="32"/>
        </w:rPr>
        <w:t>04.61</w:t>
      </w:r>
      <w:r>
        <w:rPr>
          <w:rFonts w:hint="eastAsia" w:ascii="仿宋_GB2312" w:hAnsi="宋体" w:eastAsia="仿宋_GB2312" w:cs="仿宋_GB2312"/>
          <w:color w:val="000000"/>
          <w:kern w:val="0"/>
          <w:sz w:val="32"/>
          <w:szCs w:val="32"/>
        </w:rPr>
        <w:t>万元，完成年数预算的8</w:t>
      </w:r>
      <w:r>
        <w:rPr>
          <w:rFonts w:ascii="仿宋_GB2312" w:hAnsi="宋体" w:eastAsia="仿宋_GB2312" w:cs="仿宋_GB2312"/>
          <w:color w:val="000000"/>
          <w:kern w:val="0"/>
          <w:sz w:val="32"/>
          <w:szCs w:val="32"/>
        </w:rPr>
        <w:t>7.9</w:t>
      </w:r>
      <w:r>
        <w:rPr>
          <w:rFonts w:hint="eastAsia" w:ascii="仿宋_GB2312" w:hAnsi="宋体" w:eastAsia="仿宋_GB2312" w:cs="仿宋_GB2312"/>
          <w:color w:val="000000"/>
          <w:kern w:val="0"/>
          <w:sz w:val="32"/>
          <w:szCs w:val="32"/>
        </w:rPr>
        <w:t>%。决算数小于预算数的主要原因是项目支出减少。</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ascii="仿宋_GB2312" w:hAnsi="宋体" w:eastAsia="仿宋_GB2312" w:cs="仿宋_GB2312"/>
          <w:b/>
          <w:color w:val="000000"/>
          <w:kern w:val="0"/>
          <w:sz w:val="32"/>
          <w:szCs w:val="32"/>
        </w:rPr>
        <w:t xml:space="preserve"> 一般公共服务支出（类）财政事务（款）</w:t>
      </w:r>
      <w:r>
        <w:rPr>
          <w:rFonts w:hint="eastAsia" w:ascii="仿宋_GB2312" w:hAnsi="宋体" w:eastAsia="仿宋_GB2312" w:cs="仿宋_GB2312"/>
          <w:b/>
          <w:color w:val="000000"/>
          <w:kern w:val="0"/>
          <w:sz w:val="32"/>
          <w:szCs w:val="32"/>
        </w:rPr>
        <w:t>专项业务活动</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Cs/>
          <w:color w:val="000000"/>
          <w:kern w:val="0"/>
          <w:sz w:val="32"/>
          <w:szCs w:val="32"/>
        </w:rPr>
        <w:t>年初预算数为3</w:t>
      </w:r>
      <w:r>
        <w:rPr>
          <w:rFonts w:ascii="仿宋_GB2312" w:hAnsi="宋体" w:eastAsia="仿宋_GB2312" w:cs="仿宋_GB2312"/>
          <w:bCs/>
          <w:color w:val="000000"/>
          <w:kern w:val="0"/>
          <w:sz w:val="32"/>
          <w:szCs w:val="32"/>
        </w:rPr>
        <w:t>0</w:t>
      </w:r>
      <w:r>
        <w:rPr>
          <w:rFonts w:hint="eastAsia" w:ascii="仿宋_GB2312" w:hAnsi="宋体" w:eastAsia="仿宋_GB2312" w:cs="仿宋_GB2312"/>
          <w:bCs/>
          <w:color w:val="000000"/>
          <w:kern w:val="0"/>
          <w:sz w:val="32"/>
          <w:szCs w:val="32"/>
        </w:rPr>
        <w:t>万元，支出决算为2</w:t>
      </w:r>
      <w:r>
        <w:rPr>
          <w:rFonts w:ascii="仿宋_GB2312" w:hAnsi="宋体" w:eastAsia="仿宋_GB2312" w:cs="仿宋_GB2312"/>
          <w:bCs/>
          <w:color w:val="000000"/>
          <w:kern w:val="0"/>
          <w:sz w:val="32"/>
          <w:szCs w:val="32"/>
        </w:rPr>
        <w:t>9.36</w:t>
      </w:r>
      <w:r>
        <w:rPr>
          <w:rFonts w:hint="eastAsia" w:ascii="仿宋_GB2312" w:hAnsi="宋体" w:eastAsia="仿宋_GB2312" w:cs="仿宋_GB2312"/>
          <w:bCs/>
          <w:color w:val="000000"/>
          <w:kern w:val="0"/>
          <w:sz w:val="32"/>
          <w:szCs w:val="32"/>
        </w:rPr>
        <w:t>万元，完成预算数的9</w:t>
      </w:r>
      <w:r>
        <w:rPr>
          <w:rFonts w:ascii="仿宋_GB2312" w:hAnsi="宋体" w:eastAsia="仿宋_GB2312" w:cs="仿宋_GB2312"/>
          <w:bCs/>
          <w:color w:val="000000"/>
          <w:kern w:val="0"/>
          <w:sz w:val="32"/>
          <w:szCs w:val="32"/>
        </w:rPr>
        <w:t>7.86</w:t>
      </w:r>
      <w:r>
        <w:rPr>
          <w:rFonts w:hint="eastAsia" w:ascii="仿宋_GB2312" w:hAnsi="宋体" w:eastAsia="仿宋_GB2312" w:cs="仿宋_GB2312"/>
          <w:bCs/>
          <w:color w:val="000000"/>
          <w:kern w:val="0"/>
          <w:sz w:val="32"/>
          <w:szCs w:val="32"/>
        </w:rPr>
        <w:t>%，决算数小于预算数的主要原因是项目支出减少。</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Cs/>
          <w:color w:val="000000"/>
          <w:kern w:val="0"/>
          <w:sz w:val="32"/>
          <w:szCs w:val="32"/>
        </w:rPr>
        <w:t>4</w:t>
      </w:r>
      <w:r>
        <w:rPr>
          <w:rFonts w:ascii="仿宋_GB2312" w:hAnsi="宋体" w:eastAsia="仿宋_GB2312" w:cs="仿宋_GB2312"/>
          <w:bCs/>
          <w:color w:val="000000"/>
          <w:kern w:val="0"/>
          <w:sz w:val="32"/>
          <w:szCs w:val="32"/>
        </w:rPr>
        <w:t xml:space="preserve">. </w:t>
      </w:r>
      <w:r>
        <w:rPr>
          <w:rFonts w:ascii="仿宋_GB2312" w:hAnsi="宋体" w:eastAsia="仿宋_GB2312" w:cs="仿宋_GB2312"/>
          <w:b/>
          <w:color w:val="000000"/>
          <w:kern w:val="0"/>
          <w:sz w:val="32"/>
          <w:szCs w:val="32"/>
        </w:rPr>
        <w:t>一般公共服务支出（类）财政事务（款）</w:t>
      </w:r>
      <w:r>
        <w:rPr>
          <w:rFonts w:hint="eastAsia" w:ascii="仿宋_GB2312" w:hAnsi="宋体" w:eastAsia="仿宋_GB2312" w:cs="仿宋_GB2312"/>
          <w:b/>
          <w:color w:val="000000"/>
          <w:kern w:val="0"/>
          <w:sz w:val="32"/>
          <w:szCs w:val="32"/>
        </w:rPr>
        <w:t>事业运行</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年初预算数为2</w:t>
      </w:r>
      <w:r>
        <w:rPr>
          <w:rFonts w:ascii="仿宋_GB2312" w:hAnsi="宋体" w:eastAsia="仿宋_GB2312" w:cs="仿宋_GB2312"/>
          <w:bCs/>
          <w:color w:val="000000"/>
          <w:kern w:val="0"/>
          <w:sz w:val="32"/>
          <w:szCs w:val="32"/>
        </w:rPr>
        <w:t>64.5</w:t>
      </w:r>
      <w:r>
        <w:rPr>
          <w:rFonts w:hint="eastAsia" w:ascii="仿宋_GB2312" w:hAnsi="宋体" w:eastAsia="仿宋_GB2312" w:cs="仿宋_GB2312"/>
          <w:bCs/>
          <w:color w:val="000000"/>
          <w:kern w:val="0"/>
          <w:sz w:val="32"/>
          <w:szCs w:val="32"/>
        </w:rPr>
        <w:t>万元，支出决算为2</w:t>
      </w:r>
      <w:r>
        <w:rPr>
          <w:rFonts w:ascii="仿宋_GB2312" w:hAnsi="宋体" w:eastAsia="仿宋_GB2312" w:cs="仿宋_GB2312"/>
          <w:bCs/>
          <w:color w:val="000000"/>
          <w:kern w:val="0"/>
          <w:sz w:val="32"/>
          <w:szCs w:val="32"/>
        </w:rPr>
        <w:t>22.88</w:t>
      </w:r>
      <w:r>
        <w:rPr>
          <w:rFonts w:hint="eastAsia" w:ascii="仿宋_GB2312" w:hAnsi="宋体" w:eastAsia="仿宋_GB2312" w:cs="仿宋_GB2312"/>
          <w:bCs/>
          <w:color w:val="000000"/>
          <w:kern w:val="0"/>
          <w:sz w:val="32"/>
          <w:szCs w:val="32"/>
        </w:rPr>
        <w:t>万元，完成预算数的8</w:t>
      </w:r>
      <w:r>
        <w:rPr>
          <w:rFonts w:ascii="仿宋_GB2312" w:hAnsi="宋体" w:eastAsia="仿宋_GB2312" w:cs="仿宋_GB2312"/>
          <w:bCs/>
          <w:color w:val="000000"/>
          <w:kern w:val="0"/>
          <w:sz w:val="32"/>
          <w:szCs w:val="32"/>
        </w:rPr>
        <w:t>4.26</w:t>
      </w:r>
      <w:r>
        <w:rPr>
          <w:rFonts w:hint="eastAsia" w:ascii="仿宋_GB2312" w:hAnsi="宋体" w:eastAsia="仿宋_GB2312" w:cs="仿宋_GB2312"/>
          <w:bCs/>
          <w:color w:val="000000"/>
          <w:kern w:val="0"/>
          <w:sz w:val="32"/>
          <w:szCs w:val="32"/>
        </w:rPr>
        <w:t>%，决算数小于预算数的原因是事业单位人员支出减少。</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Cs/>
          <w:color w:val="000000"/>
          <w:kern w:val="0"/>
          <w:sz w:val="32"/>
          <w:szCs w:val="32"/>
        </w:rPr>
        <w:t>5</w:t>
      </w:r>
      <w:r>
        <w:rPr>
          <w:rFonts w:ascii="仿宋_GB2312" w:hAnsi="宋体" w:eastAsia="仿宋_GB2312" w:cs="仿宋_GB2312"/>
          <w:bCs/>
          <w:color w:val="000000"/>
          <w:kern w:val="0"/>
          <w:sz w:val="32"/>
          <w:szCs w:val="32"/>
        </w:rPr>
        <w:t>.</w:t>
      </w:r>
      <w:r>
        <w:rPr>
          <w:rFonts w:ascii="仿宋_GB2312" w:hAnsi="宋体" w:eastAsia="仿宋_GB2312" w:cs="仿宋_GB2312"/>
          <w:b/>
          <w:color w:val="000000"/>
          <w:kern w:val="0"/>
          <w:sz w:val="32"/>
          <w:szCs w:val="32"/>
        </w:rPr>
        <w:t xml:space="preserve"> 一般公共服务支出（类）财政事务（款）</w:t>
      </w:r>
      <w:r>
        <w:rPr>
          <w:rFonts w:hint="eastAsia" w:ascii="仿宋_GB2312" w:hAnsi="宋体" w:eastAsia="仿宋_GB2312" w:cs="仿宋_GB2312"/>
          <w:b/>
          <w:color w:val="000000"/>
          <w:kern w:val="0"/>
          <w:sz w:val="32"/>
          <w:szCs w:val="32"/>
        </w:rPr>
        <w:t>其他财政事务</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年初预算数5</w:t>
      </w:r>
      <w:r>
        <w:rPr>
          <w:rFonts w:ascii="仿宋_GB2312" w:hAnsi="宋体" w:eastAsia="仿宋_GB2312" w:cs="仿宋_GB2312"/>
          <w:bCs/>
          <w:color w:val="000000"/>
          <w:kern w:val="0"/>
          <w:sz w:val="32"/>
          <w:szCs w:val="32"/>
        </w:rPr>
        <w:t>2</w:t>
      </w:r>
      <w:r>
        <w:rPr>
          <w:rFonts w:hint="eastAsia" w:ascii="仿宋_GB2312" w:hAnsi="宋体" w:eastAsia="仿宋_GB2312" w:cs="仿宋_GB2312"/>
          <w:bCs/>
          <w:color w:val="000000"/>
          <w:kern w:val="0"/>
          <w:sz w:val="32"/>
          <w:szCs w:val="32"/>
        </w:rPr>
        <w:t>万元，支出决算为1</w:t>
      </w:r>
      <w:r>
        <w:rPr>
          <w:rFonts w:ascii="仿宋_GB2312" w:hAnsi="宋体" w:eastAsia="仿宋_GB2312" w:cs="仿宋_GB2312"/>
          <w:bCs/>
          <w:color w:val="000000"/>
          <w:kern w:val="0"/>
          <w:sz w:val="32"/>
          <w:szCs w:val="32"/>
        </w:rPr>
        <w:t>42.9</w:t>
      </w:r>
      <w:r>
        <w:rPr>
          <w:rFonts w:hint="eastAsia" w:ascii="仿宋_GB2312" w:hAnsi="宋体" w:eastAsia="仿宋_GB2312" w:cs="仿宋_GB2312"/>
          <w:bCs/>
          <w:color w:val="000000"/>
          <w:kern w:val="0"/>
          <w:sz w:val="32"/>
          <w:szCs w:val="32"/>
        </w:rPr>
        <w:t>万元，完成预算数的2</w:t>
      </w:r>
      <w:r>
        <w:rPr>
          <w:rFonts w:ascii="仿宋_GB2312" w:hAnsi="宋体" w:eastAsia="仿宋_GB2312" w:cs="仿宋_GB2312"/>
          <w:bCs/>
          <w:color w:val="000000"/>
          <w:kern w:val="0"/>
          <w:sz w:val="32"/>
          <w:szCs w:val="32"/>
        </w:rPr>
        <w:t>74.8</w:t>
      </w:r>
      <w:r>
        <w:rPr>
          <w:rFonts w:hint="eastAsia" w:ascii="仿宋_GB2312" w:hAnsi="宋体" w:eastAsia="仿宋_GB2312" w:cs="仿宋_GB2312"/>
          <w:bCs/>
          <w:color w:val="000000"/>
          <w:kern w:val="0"/>
          <w:sz w:val="32"/>
          <w:szCs w:val="32"/>
        </w:rPr>
        <w:t>%，决算数大于预算数的主要原因是项目支出增加。</w:t>
      </w:r>
    </w:p>
    <w:p>
      <w:pPr>
        <w:widowControl/>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6</w:t>
      </w:r>
      <w:r>
        <w:rPr>
          <w:rFonts w:ascii="仿宋_GB2312" w:hAnsi="宋体" w:eastAsia="仿宋_GB2312" w:cs="仿宋_GB2312"/>
          <w:b/>
          <w:color w:val="000000"/>
          <w:kern w:val="0"/>
          <w:sz w:val="32"/>
          <w:szCs w:val="32"/>
        </w:rPr>
        <w:t>. 一般公共服务支出（类）财政事务（款）</w:t>
      </w:r>
      <w:r>
        <w:rPr>
          <w:rFonts w:hint="eastAsia" w:ascii="仿宋_GB2312" w:hAnsi="宋体" w:eastAsia="仿宋_GB2312" w:cs="仿宋_GB2312"/>
          <w:b/>
          <w:color w:val="000000"/>
          <w:kern w:val="0"/>
          <w:sz w:val="32"/>
          <w:szCs w:val="32"/>
        </w:rPr>
        <w:t>社会保障和就业支出</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年初预算数为0万元，支出决算数为1</w:t>
      </w:r>
      <w:r>
        <w:rPr>
          <w:rFonts w:ascii="仿宋_GB2312" w:hAnsi="宋体" w:eastAsia="仿宋_GB2312" w:cs="仿宋_GB2312"/>
          <w:bCs/>
          <w:color w:val="000000"/>
          <w:kern w:val="0"/>
          <w:sz w:val="32"/>
          <w:szCs w:val="32"/>
        </w:rPr>
        <w:t>3.3</w:t>
      </w:r>
      <w:r>
        <w:rPr>
          <w:rFonts w:hint="eastAsia" w:ascii="仿宋_GB2312" w:hAnsi="宋体" w:eastAsia="仿宋_GB2312" w:cs="仿宋_GB2312"/>
          <w:bCs/>
          <w:color w:val="000000"/>
          <w:kern w:val="0"/>
          <w:sz w:val="32"/>
          <w:szCs w:val="32"/>
        </w:rPr>
        <w:t>万元，完成预算数的决算数大于预算数的主要原因是其他就业补助项目支出增加</w:t>
      </w:r>
    </w:p>
    <w:p>
      <w:pPr>
        <w:widowControl/>
        <w:ind w:firstLine="640" w:firstLineChars="200"/>
        <w:jc w:val="left"/>
        <w:rPr>
          <w:rFonts w:ascii="仿宋_GB2312" w:hAnsi="宋体" w:eastAsia="仿宋_GB2312" w:cs="仿宋_GB2312"/>
          <w:bCs/>
          <w:color w:val="000000"/>
          <w:kern w:val="0"/>
          <w:sz w:val="32"/>
          <w:szCs w:val="32"/>
        </w:rPr>
      </w:pPr>
      <w:r>
        <w:rPr>
          <w:rFonts w:hint="eastAsia" w:ascii="黑体" w:hAnsi="黑体" w:eastAsia="黑体"/>
          <w:color w:val="000000"/>
          <w:kern w:val="0"/>
          <w:sz w:val="32"/>
          <w:szCs w:val="32"/>
        </w:rPr>
        <w:t xml:space="preserve">六、一般公共预算财政拨款基本支出决算情况说明 </w:t>
      </w:r>
    </w:p>
    <w:p>
      <w:pPr>
        <w:spacing w:line="360" w:lineRule="auto"/>
        <w:rPr>
          <w:rFonts w:ascii="仿宋_GB2312" w:hAnsi="仿宋" w:eastAsia="仿宋_GB2312"/>
          <w:sz w:val="32"/>
          <w:szCs w:val="32"/>
        </w:rPr>
      </w:pP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年一般公共预算财政拨款基本支</w:t>
      </w:r>
      <w:r>
        <w:rPr>
          <w:rFonts w:hint="eastAsia" w:ascii="仿宋_GB2312" w:hAnsi="仿宋_GB2312" w:eastAsia="仿宋_GB2312" w:cs="仿宋_GB2312"/>
          <w:color w:val="000000"/>
          <w:kern w:val="0"/>
          <w:sz w:val="31"/>
          <w:szCs w:val="31"/>
        </w:rPr>
        <w:t>6</w:t>
      </w:r>
      <w:r>
        <w:rPr>
          <w:rFonts w:ascii="仿宋_GB2312" w:hAnsi="仿宋_GB2312" w:eastAsia="仿宋_GB2312" w:cs="仿宋_GB2312"/>
          <w:color w:val="000000"/>
          <w:kern w:val="0"/>
          <w:sz w:val="31"/>
          <w:szCs w:val="31"/>
        </w:rPr>
        <w:t>21.84万元，包括：人员经费支出548.31万元和公用经费支</w:t>
      </w:r>
      <w:r>
        <w:rPr>
          <w:rFonts w:hint="eastAsia" w:ascii="仿宋_GB2312" w:hAnsi="仿宋_GB2312" w:eastAsia="仿宋_GB2312" w:cs="仿宋_GB2312"/>
          <w:color w:val="000000"/>
          <w:kern w:val="0"/>
          <w:sz w:val="31"/>
          <w:szCs w:val="31"/>
        </w:rPr>
        <w:t>出</w:t>
      </w:r>
      <w:r>
        <w:rPr>
          <w:rFonts w:ascii="仿宋_GB2312" w:hAnsi="仿宋_GB2312" w:eastAsia="仿宋_GB2312" w:cs="仿宋_GB2312"/>
          <w:color w:val="000000"/>
          <w:kern w:val="0"/>
          <w:sz w:val="31"/>
          <w:szCs w:val="31"/>
        </w:rPr>
        <w:t>73.53万元。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ascii="仿宋_GB2312" w:hAnsi="宋体" w:eastAsia="仿宋_GB2312" w:cs="仿宋_GB2312"/>
          <w:color w:val="000000"/>
          <w:kern w:val="0"/>
          <w:sz w:val="32"/>
          <w:szCs w:val="32"/>
        </w:rPr>
        <w:t>548.31万元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主要包括基本工资</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46.94</w:t>
      </w:r>
      <w:r>
        <w:rPr>
          <w:rFonts w:hint="eastAsia" w:ascii="仿宋_GB2312" w:hAnsi="宋体" w:eastAsia="仿宋_GB2312" w:cs="仿宋_GB2312"/>
          <w:color w:val="000000"/>
          <w:kern w:val="0"/>
          <w:sz w:val="32"/>
          <w:szCs w:val="32"/>
        </w:rPr>
        <w:t>万元，津补贴</w:t>
      </w:r>
      <w:r>
        <w:rPr>
          <w:rFonts w:ascii="仿宋_GB2312" w:hAnsi="宋体" w:eastAsia="仿宋_GB2312" w:cs="仿宋_GB2312"/>
          <w:color w:val="000000"/>
          <w:kern w:val="0"/>
          <w:sz w:val="32"/>
          <w:szCs w:val="32"/>
        </w:rPr>
        <w:t>109.75</w:t>
      </w:r>
      <w:r>
        <w:rPr>
          <w:rFonts w:hint="eastAsia" w:ascii="仿宋_GB2312" w:hAnsi="宋体" w:eastAsia="仿宋_GB2312" w:cs="仿宋_GB2312"/>
          <w:color w:val="000000"/>
          <w:kern w:val="0"/>
          <w:sz w:val="32"/>
          <w:szCs w:val="32"/>
        </w:rPr>
        <w:t>万元，奖金</w:t>
      </w:r>
      <w:r>
        <w:rPr>
          <w:rFonts w:ascii="仿宋_GB2312" w:hAnsi="宋体" w:eastAsia="仿宋_GB2312" w:cs="仿宋_GB2312"/>
          <w:color w:val="000000"/>
          <w:kern w:val="0"/>
          <w:sz w:val="32"/>
          <w:szCs w:val="32"/>
        </w:rPr>
        <w:t>82.61</w:t>
      </w:r>
      <w:r>
        <w:rPr>
          <w:rFonts w:hint="eastAsia" w:ascii="仿宋_GB2312" w:hAnsi="宋体" w:eastAsia="仿宋_GB2312" w:cs="仿宋_GB2312"/>
          <w:color w:val="000000"/>
          <w:kern w:val="0"/>
          <w:sz w:val="32"/>
          <w:szCs w:val="32"/>
        </w:rPr>
        <w:t>万元，伙食补助费1</w:t>
      </w:r>
      <w:r>
        <w:rPr>
          <w:rFonts w:ascii="仿宋_GB2312" w:hAnsi="宋体" w:eastAsia="仿宋_GB2312" w:cs="仿宋_GB2312"/>
          <w:color w:val="000000"/>
          <w:kern w:val="0"/>
          <w:sz w:val="32"/>
          <w:szCs w:val="32"/>
        </w:rPr>
        <w:t>.72</w:t>
      </w:r>
      <w:r>
        <w:rPr>
          <w:rFonts w:hint="eastAsia" w:ascii="仿宋_GB2312" w:hAnsi="宋体" w:eastAsia="仿宋_GB2312" w:cs="仿宋_GB2312"/>
          <w:color w:val="000000"/>
          <w:kern w:val="0"/>
          <w:sz w:val="32"/>
          <w:szCs w:val="32"/>
        </w:rPr>
        <w:t>万元，绩效工资</w:t>
      </w:r>
      <w:r>
        <w:rPr>
          <w:rFonts w:ascii="仿宋_GB2312" w:hAnsi="宋体" w:eastAsia="仿宋_GB2312" w:cs="仿宋_GB2312"/>
          <w:color w:val="000000"/>
          <w:kern w:val="0"/>
          <w:sz w:val="32"/>
          <w:szCs w:val="32"/>
        </w:rPr>
        <w:t>80.11</w:t>
      </w:r>
      <w:r>
        <w:rPr>
          <w:rFonts w:hint="eastAsia" w:ascii="仿宋_GB2312" w:hAnsi="宋体" w:eastAsia="仿宋_GB2312" w:cs="仿宋_GB2312"/>
          <w:color w:val="000000"/>
          <w:kern w:val="0"/>
          <w:sz w:val="32"/>
          <w:szCs w:val="32"/>
        </w:rPr>
        <w:t>万元，基本养老保险4</w:t>
      </w:r>
      <w:r>
        <w:rPr>
          <w:rFonts w:ascii="仿宋_GB2312" w:hAnsi="宋体" w:eastAsia="仿宋_GB2312" w:cs="仿宋_GB2312"/>
          <w:color w:val="000000"/>
          <w:kern w:val="0"/>
          <w:sz w:val="32"/>
          <w:szCs w:val="32"/>
        </w:rPr>
        <w:t>0.65</w:t>
      </w:r>
      <w:r>
        <w:rPr>
          <w:rFonts w:hint="eastAsia" w:ascii="仿宋_GB2312" w:hAnsi="宋体" w:eastAsia="仿宋_GB2312" w:cs="仿宋_GB2312"/>
          <w:color w:val="000000"/>
          <w:kern w:val="0"/>
          <w:sz w:val="32"/>
          <w:szCs w:val="32"/>
        </w:rPr>
        <w:t>万元，基本医疗保险1</w:t>
      </w:r>
      <w:r>
        <w:rPr>
          <w:rFonts w:ascii="仿宋_GB2312" w:hAnsi="宋体" w:eastAsia="仿宋_GB2312" w:cs="仿宋_GB2312"/>
          <w:color w:val="000000"/>
          <w:kern w:val="0"/>
          <w:sz w:val="32"/>
          <w:szCs w:val="32"/>
        </w:rPr>
        <w:t>6.54</w:t>
      </w:r>
      <w:r>
        <w:rPr>
          <w:rFonts w:hint="eastAsia" w:ascii="仿宋_GB2312" w:hAnsi="宋体" w:eastAsia="仿宋_GB2312" w:cs="仿宋_GB2312"/>
          <w:color w:val="000000"/>
          <w:kern w:val="0"/>
          <w:sz w:val="32"/>
          <w:szCs w:val="32"/>
        </w:rPr>
        <w:t>万元，其他社会保障费3</w:t>
      </w:r>
      <w:r>
        <w:rPr>
          <w:rFonts w:ascii="仿宋_GB2312" w:hAnsi="宋体" w:eastAsia="仿宋_GB2312" w:cs="仿宋_GB2312"/>
          <w:color w:val="000000"/>
          <w:kern w:val="0"/>
          <w:sz w:val="32"/>
          <w:szCs w:val="32"/>
        </w:rPr>
        <w:t>.07</w:t>
      </w:r>
      <w:r>
        <w:rPr>
          <w:rFonts w:hint="eastAsia" w:ascii="仿宋_GB2312" w:hAnsi="宋体" w:eastAsia="仿宋_GB2312" w:cs="仿宋_GB2312"/>
          <w:color w:val="000000"/>
          <w:kern w:val="0"/>
          <w:sz w:val="32"/>
          <w:szCs w:val="32"/>
        </w:rPr>
        <w:t>万元，住房公积金</w:t>
      </w:r>
      <w:r>
        <w:rPr>
          <w:rFonts w:ascii="仿宋_GB2312" w:hAnsi="宋体" w:eastAsia="仿宋_GB2312" w:cs="仿宋_GB2312"/>
          <w:color w:val="000000"/>
          <w:kern w:val="0"/>
          <w:sz w:val="32"/>
          <w:szCs w:val="32"/>
        </w:rPr>
        <w:t>48.92</w:t>
      </w:r>
      <w:r>
        <w:rPr>
          <w:rFonts w:hint="eastAsia" w:ascii="仿宋_GB2312" w:hAnsi="宋体" w:eastAsia="仿宋_GB2312" w:cs="仿宋_GB2312"/>
          <w:color w:val="000000"/>
          <w:kern w:val="0"/>
          <w:sz w:val="32"/>
          <w:szCs w:val="32"/>
        </w:rPr>
        <w:t>万元，对个人和家庭的补助</w:t>
      </w:r>
      <w:r>
        <w:rPr>
          <w:rFonts w:ascii="仿宋_GB2312" w:hAnsi="宋体" w:eastAsia="仿宋_GB2312" w:cs="仿宋_GB2312"/>
          <w:color w:val="000000"/>
          <w:kern w:val="0"/>
          <w:sz w:val="32"/>
          <w:szCs w:val="32"/>
        </w:rPr>
        <w:t>17.98</w:t>
      </w:r>
      <w:r>
        <w:rPr>
          <w:rFonts w:hint="eastAsia" w:ascii="仿宋_GB2312" w:hAnsi="宋体" w:eastAsia="仿宋_GB2312" w:cs="仿宋_GB2312"/>
          <w:color w:val="000000"/>
          <w:kern w:val="0"/>
          <w:sz w:val="32"/>
          <w:szCs w:val="32"/>
        </w:rPr>
        <w:t>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3.53万元，主要包括办公费14.06</w:t>
      </w:r>
      <w:r>
        <w:rPr>
          <w:rFonts w:hint="eastAsia" w:ascii="仿宋_GB2312" w:hAnsi="宋体" w:eastAsia="仿宋_GB2312" w:cs="仿宋_GB2312"/>
          <w:color w:val="000000"/>
          <w:kern w:val="0"/>
          <w:sz w:val="32"/>
          <w:szCs w:val="32"/>
        </w:rPr>
        <w:t>万元，印刷费</w:t>
      </w:r>
      <w:r>
        <w:rPr>
          <w:rFonts w:ascii="仿宋_GB2312" w:hAnsi="宋体" w:eastAsia="仿宋_GB2312" w:cs="仿宋_GB2312"/>
          <w:color w:val="000000"/>
          <w:kern w:val="0"/>
          <w:sz w:val="32"/>
          <w:szCs w:val="32"/>
        </w:rPr>
        <w:t>2.92</w:t>
      </w:r>
      <w:r>
        <w:rPr>
          <w:rFonts w:hint="eastAsia" w:ascii="仿宋_GB2312" w:hAnsi="宋体" w:eastAsia="仿宋_GB2312" w:cs="仿宋_GB2312"/>
          <w:color w:val="000000"/>
          <w:kern w:val="0"/>
          <w:sz w:val="32"/>
          <w:szCs w:val="32"/>
        </w:rPr>
        <w:t>万元，手续费0</w:t>
      </w:r>
      <w:r>
        <w:rPr>
          <w:rFonts w:ascii="仿宋_GB2312" w:hAnsi="宋体" w:eastAsia="仿宋_GB2312" w:cs="仿宋_GB2312"/>
          <w:color w:val="000000"/>
          <w:kern w:val="0"/>
          <w:sz w:val="32"/>
          <w:szCs w:val="32"/>
        </w:rPr>
        <w:t>.23</w:t>
      </w:r>
      <w:r>
        <w:rPr>
          <w:rFonts w:hint="eastAsia" w:ascii="仿宋_GB2312" w:hAnsi="宋体" w:eastAsia="仿宋_GB2312" w:cs="仿宋_GB2312"/>
          <w:color w:val="000000"/>
          <w:kern w:val="0"/>
          <w:sz w:val="32"/>
          <w:szCs w:val="32"/>
        </w:rPr>
        <w:t>万元，电费3</w:t>
      </w:r>
      <w:r>
        <w:rPr>
          <w:rFonts w:ascii="仿宋_GB2312" w:hAnsi="宋体" w:eastAsia="仿宋_GB2312" w:cs="仿宋_GB2312"/>
          <w:color w:val="000000"/>
          <w:kern w:val="0"/>
          <w:sz w:val="32"/>
          <w:szCs w:val="32"/>
        </w:rPr>
        <w:t>.27</w:t>
      </w:r>
      <w:r>
        <w:rPr>
          <w:rFonts w:hint="eastAsia" w:ascii="仿宋_GB2312" w:hAnsi="宋体" w:eastAsia="仿宋_GB2312" w:cs="仿宋_GB2312"/>
          <w:color w:val="000000"/>
          <w:kern w:val="0"/>
          <w:sz w:val="32"/>
          <w:szCs w:val="32"/>
        </w:rPr>
        <w:t>万元，邮电费0</w:t>
      </w:r>
      <w:r>
        <w:rPr>
          <w:rFonts w:ascii="仿宋_GB2312" w:hAnsi="宋体" w:eastAsia="仿宋_GB2312" w:cs="仿宋_GB2312"/>
          <w:color w:val="000000"/>
          <w:kern w:val="0"/>
          <w:sz w:val="32"/>
          <w:szCs w:val="32"/>
        </w:rPr>
        <w:t>.38</w:t>
      </w:r>
      <w:r>
        <w:rPr>
          <w:rFonts w:hint="eastAsia" w:ascii="仿宋_GB2312" w:hAnsi="宋体" w:eastAsia="仿宋_GB2312" w:cs="仿宋_GB2312"/>
          <w:color w:val="000000"/>
          <w:kern w:val="0"/>
          <w:sz w:val="32"/>
          <w:szCs w:val="32"/>
        </w:rPr>
        <w:t>万元，差旅费</w:t>
      </w:r>
      <w:r>
        <w:rPr>
          <w:rFonts w:ascii="仿宋_GB2312" w:hAnsi="宋体" w:eastAsia="仿宋_GB2312" w:cs="仿宋_GB2312"/>
          <w:color w:val="000000"/>
          <w:kern w:val="0"/>
          <w:sz w:val="32"/>
          <w:szCs w:val="32"/>
        </w:rPr>
        <w:t>1.62</w:t>
      </w:r>
      <w:r>
        <w:rPr>
          <w:rFonts w:hint="eastAsia" w:ascii="仿宋_GB2312" w:hAnsi="宋体" w:eastAsia="仿宋_GB2312" w:cs="仿宋_GB2312"/>
          <w:color w:val="000000"/>
          <w:kern w:val="0"/>
          <w:sz w:val="32"/>
          <w:szCs w:val="32"/>
        </w:rPr>
        <w:t>万元，维修（护）费1</w:t>
      </w:r>
      <w:r>
        <w:rPr>
          <w:rFonts w:ascii="仿宋_GB2312" w:hAnsi="宋体" w:eastAsia="仿宋_GB2312" w:cs="仿宋_GB2312"/>
          <w:color w:val="000000"/>
          <w:kern w:val="0"/>
          <w:sz w:val="32"/>
          <w:szCs w:val="32"/>
        </w:rPr>
        <w:t>1.97</w:t>
      </w:r>
      <w:r>
        <w:rPr>
          <w:rFonts w:hint="eastAsia" w:ascii="仿宋_GB2312" w:hAnsi="宋体" w:eastAsia="仿宋_GB2312" w:cs="仿宋_GB2312"/>
          <w:color w:val="000000"/>
          <w:kern w:val="0"/>
          <w:sz w:val="32"/>
          <w:szCs w:val="32"/>
        </w:rPr>
        <w:t>万元，培训费0</w:t>
      </w:r>
      <w:r>
        <w:rPr>
          <w:rFonts w:ascii="仿宋_GB2312" w:hAnsi="宋体" w:eastAsia="仿宋_GB2312" w:cs="仿宋_GB2312"/>
          <w:color w:val="000000"/>
          <w:kern w:val="0"/>
          <w:sz w:val="32"/>
          <w:szCs w:val="32"/>
        </w:rPr>
        <w:t>.69</w:t>
      </w:r>
      <w:r>
        <w:rPr>
          <w:rFonts w:hint="eastAsia" w:ascii="仿宋_GB2312" w:hAnsi="宋体" w:eastAsia="仿宋_GB2312" w:cs="仿宋_GB2312"/>
          <w:color w:val="000000"/>
          <w:kern w:val="0"/>
          <w:sz w:val="32"/>
          <w:szCs w:val="32"/>
        </w:rPr>
        <w:t>万元，公务接待费</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万元，工会经费8</w:t>
      </w:r>
      <w:r>
        <w:rPr>
          <w:rFonts w:ascii="仿宋_GB2312" w:hAnsi="宋体" w:eastAsia="仿宋_GB2312" w:cs="仿宋_GB2312"/>
          <w:color w:val="000000"/>
          <w:kern w:val="0"/>
          <w:sz w:val="32"/>
          <w:szCs w:val="32"/>
        </w:rPr>
        <w:t>.14</w:t>
      </w:r>
      <w:r>
        <w:rPr>
          <w:rFonts w:hint="eastAsia" w:ascii="仿宋_GB2312" w:hAnsi="宋体" w:eastAsia="仿宋_GB2312" w:cs="仿宋_GB2312"/>
          <w:color w:val="000000"/>
          <w:kern w:val="0"/>
          <w:sz w:val="32"/>
          <w:szCs w:val="32"/>
        </w:rPr>
        <w:t>万元，公务用车运行维护费</w:t>
      </w:r>
      <w:r>
        <w:rPr>
          <w:rFonts w:ascii="仿宋_GB2312" w:hAnsi="宋体" w:eastAsia="仿宋_GB2312" w:cs="仿宋_GB2312"/>
          <w:color w:val="000000"/>
          <w:kern w:val="0"/>
          <w:sz w:val="32"/>
          <w:szCs w:val="32"/>
        </w:rPr>
        <w:t>0.69</w:t>
      </w:r>
      <w:r>
        <w:rPr>
          <w:rFonts w:hint="eastAsia" w:ascii="仿宋_GB2312" w:hAnsi="宋体" w:eastAsia="仿宋_GB2312" w:cs="仿宋_GB2312"/>
          <w:color w:val="000000"/>
          <w:kern w:val="0"/>
          <w:sz w:val="32"/>
          <w:szCs w:val="32"/>
        </w:rPr>
        <w:t>万元，其他交通费8</w:t>
      </w:r>
      <w:r>
        <w:rPr>
          <w:rFonts w:ascii="仿宋_GB2312" w:hAnsi="宋体" w:eastAsia="仿宋_GB2312" w:cs="仿宋_GB2312"/>
          <w:color w:val="000000"/>
          <w:kern w:val="0"/>
          <w:sz w:val="32"/>
          <w:szCs w:val="32"/>
        </w:rPr>
        <w:t>.46</w:t>
      </w:r>
      <w:r>
        <w:rPr>
          <w:rFonts w:hint="eastAsia" w:ascii="仿宋_GB2312" w:hAnsi="宋体" w:eastAsia="仿宋_GB2312" w:cs="仿宋_GB2312"/>
          <w:color w:val="000000"/>
          <w:kern w:val="0"/>
          <w:sz w:val="32"/>
          <w:szCs w:val="32"/>
        </w:rPr>
        <w:t>万元，其他商品和服务支出</w:t>
      </w:r>
      <w:r>
        <w:rPr>
          <w:rFonts w:ascii="仿宋_GB2312" w:hAnsi="宋体" w:eastAsia="仿宋_GB2312" w:cs="仿宋_GB2312"/>
          <w:color w:val="000000"/>
          <w:kern w:val="0"/>
          <w:sz w:val="32"/>
          <w:szCs w:val="32"/>
        </w:rPr>
        <w:t>12.15</w:t>
      </w:r>
      <w:r>
        <w:rPr>
          <w:rFonts w:hint="eastAsia" w:ascii="仿宋_GB2312" w:hAnsi="宋体" w:eastAsia="仿宋_GB2312" w:cs="仿宋_GB2312"/>
          <w:color w:val="000000"/>
          <w:kern w:val="0"/>
          <w:sz w:val="32"/>
          <w:szCs w:val="32"/>
        </w:rPr>
        <w:t>万元，专用设备购置0</w:t>
      </w:r>
      <w:r>
        <w:rPr>
          <w:rFonts w:ascii="仿宋_GB2312" w:hAnsi="宋体" w:eastAsia="仿宋_GB2312" w:cs="仿宋_GB2312"/>
          <w:color w:val="000000"/>
          <w:kern w:val="0"/>
          <w:sz w:val="32"/>
          <w:szCs w:val="32"/>
        </w:rPr>
        <w:t>.96</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年“三公”经费财政拨款支出预算为45.17万元，支出决算为27.73万元，完成预算的61.3%。决算数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减少的主要原因是公务用车运行维修维护费与接待费减少。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万元，占0%；公务用车购置</w:t>
      </w:r>
      <w:r>
        <w:rPr>
          <w:rFonts w:hint="eastAsia" w:ascii="仿宋_GB2312" w:hAnsi="宋体" w:eastAsia="仿宋_GB2312" w:cs="仿宋_GB2312"/>
          <w:color w:val="000000"/>
          <w:kern w:val="0"/>
          <w:sz w:val="32"/>
          <w:szCs w:val="32"/>
        </w:rPr>
        <w:t>费支出0万元，占</w:t>
      </w:r>
      <w:r>
        <w:rPr>
          <w:rFonts w:ascii="仿宋_GB2312" w:hAnsi="宋体" w:eastAsia="仿宋_GB2312" w:cs="仿宋_GB2312"/>
          <w:color w:val="000000"/>
          <w:kern w:val="0"/>
          <w:sz w:val="32"/>
          <w:szCs w:val="32"/>
        </w:rPr>
        <w:t>0%；公务用车运行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费支出决算9.21万元，占33.2%；公务接待费支出决算万</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8.53元，占</w:t>
      </w: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6.8%</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具体况如下：</w:t>
      </w:r>
    </w:p>
    <w:p>
      <w:pPr>
        <w:pStyle w:val="8"/>
        <w:numPr>
          <w:ilvl w:val="0"/>
          <w:numId w:val="2"/>
        </w:numPr>
        <w:ind w:firstLineChars="0"/>
        <w:rPr>
          <w:rFonts w:ascii="仿宋_GB2312" w:hAnsi="仿宋" w:eastAsia="仿宋_GB2312"/>
          <w:b/>
          <w:bCs/>
          <w:sz w:val="32"/>
          <w:szCs w:val="32"/>
        </w:rPr>
      </w:pP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预数</w:t>
      </w:r>
      <w:r>
        <w:rPr>
          <w:rFonts w:hint="eastAsia" w:ascii="仿宋_GB2312" w:hAnsi="宋体" w:eastAsia="仿宋_GB2312" w:cs="仿宋_GB2312"/>
          <w:color w:val="000000"/>
          <w:kern w:val="0"/>
          <w:sz w:val="32"/>
          <w:szCs w:val="32"/>
        </w:rPr>
        <w:t>减少（增加）0万元。</w:t>
      </w:r>
    </w:p>
    <w:p>
      <w:pPr>
        <w:widowControl/>
        <w:ind w:firstLine="420" w:firstLineChars="200"/>
        <w:jc w:val="left"/>
      </w:pPr>
      <w:r>
        <w:rPr>
          <w:rFonts w:hint="eastAsia"/>
        </w:rPr>
        <w:drawing>
          <wp:inline distT="0" distB="0" distL="0" distR="0">
            <wp:extent cx="5486400" cy="32004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台（如没有支出填0），</w:t>
      </w:r>
      <w:r>
        <w:rPr>
          <w:rFonts w:ascii="仿宋_GB2312" w:hAnsi="宋体" w:eastAsia="仿宋_GB2312" w:cs="仿宋_GB2312"/>
          <w:color w:val="000000"/>
          <w:kern w:val="0"/>
          <w:sz w:val="32"/>
          <w:szCs w:val="32"/>
        </w:rPr>
        <w:t>预算为0万元，支出决算为0万元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r>
        <w:rPr>
          <w:rFonts w:hint="eastAsia"/>
        </w:rPr>
        <w:drawing>
          <wp:inline distT="0" distB="0" distL="0" distR="0">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ind w:firstLine="420" w:firstLineChars="200"/>
        <w:jc w:val="left"/>
      </w:pP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4.81万元，支出决算为9.21万元，完成预算的37.1</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w:t>
      </w:r>
      <w:r>
        <w:rPr>
          <w:rFonts w:ascii="仿宋_GB2312" w:hAnsi="宋体" w:eastAsia="仿宋_GB2312" w:cs="仿宋_GB2312"/>
          <w:color w:val="000000"/>
          <w:kern w:val="0"/>
          <w:sz w:val="32"/>
          <w:szCs w:val="32"/>
        </w:rPr>
        <w:t>5.6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rPr>
        <w:t>是公务用车运行维修维护费减少。</w:t>
      </w:r>
      <w:r>
        <w:rPr>
          <w:rFonts w:ascii="仿宋_GB2312" w:hAnsi="宋体" w:eastAsia="仿宋_GB2312" w:cs="仿宋_GB2312"/>
          <w:color w:val="000000"/>
          <w:kern w:val="0"/>
          <w:sz w:val="32"/>
          <w:szCs w:val="32"/>
        </w:rPr>
        <w:drawing>
          <wp:inline distT="0" distB="0" distL="0" distR="0">
            <wp:extent cx="4823460" cy="1862455"/>
            <wp:effectExtent l="0" t="0" r="15240" b="44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2020年公务接待1</w:t>
      </w:r>
      <w:r>
        <w:rPr>
          <w:rFonts w:ascii="仿宋_GB2312" w:hAnsi="仿宋" w:eastAsia="仿宋_GB2312"/>
          <w:sz w:val="32"/>
          <w:szCs w:val="32"/>
        </w:rPr>
        <w:t>82</w:t>
      </w:r>
      <w:r>
        <w:rPr>
          <w:rFonts w:hint="eastAsia" w:ascii="仿宋_GB2312" w:hAnsi="仿宋_GB2312" w:eastAsia="仿宋_GB2312" w:cs="仿宋_GB2312"/>
          <w:sz w:val="32"/>
          <w:szCs w:val="32"/>
        </w:rPr>
        <w:t>批次，3</w:t>
      </w:r>
      <w:r>
        <w:rPr>
          <w:rFonts w:ascii="仿宋_GB2312" w:hAnsi="仿宋_GB2312" w:eastAsia="仿宋_GB2312" w:cs="仿宋_GB2312"/>
          <w:sz w:val="32"/>
          <w:szCs w:val="32"/>
        </w:rPr>
        <w:t>002</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0.36万元，支出决算为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8.53万元，完成预算的</w:t>
      </w: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w:t>
      </w:r>
      <w:r>
        <w:rPr>
          <w:rFonts w:ascii="仿宋_GB2312" w:hAnsi="宋体" w:eastAsia="仿宋_GB2312" w:cs="仿宋_GB2312"/>
          <w:color w:val="000000"/>
          <w:kern w:val="0"/>
          <w:sz w:val="32"/>
          <w:szCs w:val="32"/>
        </w:rPr>
        <w:t>.83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rPr>
        <w:t>是公务接待量减少。</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5486400" cy="32004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.17</w:t>
      </w:r>
      <w:r>
        <w:rPr>
          <w:rFonts w:hint="eastAsia" w:ascii="仿宋_GB2312" w:hAnsi="宋体" w:eastAsia="仿宋_GB2312" w:cs="仿宋_GB2312"/>
          <w:color w:val="000000"/>
          <w:kern w:val="0"/>
          <w:sz w:val="32"/>
          <w:szCs w:val="32"/>
        </w:rPr>
        <w:t>万</w:t>
      </w:r>
      <w:r>
        <w:rPr>
          <w:rFonts w:ascii="仿宋_GB2312" w:hAnsi="宋体" w:eastAsia="仿宋_GB2312" w:cs="仿宋_GB2312"/>
          <w:color w:val="000000"/>
          <w:kern w:val="0"/>
          <w:sz w:val="32"/>
          <w:szCs w:val="32"/>
        </w:rPr>
        <w:t>元，完成预算的117%</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增加1</w:t>
      </w:r>
      <w:r>
        <w:rPr>
          <w:rFonts w:ascii="仿宋_GB2312" w:hAnsi="宋体" w:eastAsia="仿宋_GB2312" w:cs="仿宋_GB2312"/>
          <w:color w:val="000000"/>
          <w:kern w:val="0"/>
          <w:sz w:val="32"/>
          <w:szCs w:val="32"/>
        </w:rPr>
        <w:t>.17</w:t>
      </w:r>
      <w:r>
        <w:rPr>
          <w:rFonts w:hint="eastAsia" w:ascii="仿宋_GB2312" w:hAnsi="宋体" w:eastAsia="仿宋_GB2312" w:cs="仿宋_GB2312"/>
          <w:color w:val="000000"/>
          <w:kern w:val="0"/>
          <w:sz w:val="32"/>
          <w:szCs w:val="32"/>
        </w:rPr>
        <w:t>元，</w:t>
      </w:r>
      <w:r>
        <w:rPr>
          <w:rFonts w:ascii="仿宋_GB2312" w:hAnsi="宋体" w:eastAsia="仿宋_GB2312" w:cs="仿宋_GB2312"/>
          <w:color w:val="000000"/>
          <w:kern w:val="0"/>
          <w:sz w:val="32"/>
          <w:szCs w:val="32"/>
        </w:rPr>
        <w:t>主要原</w:t>
      </w:r>
      <w:r>
        <w:rPr>
          <w:rFonts w:hint="eastAsia" w:ascii="仿宋_GB2312" w:hAnsi="宋体" w:eastAsia="仿宋_GB2312" w:cs="仿宋_GB2312"/>
          <w:color w:val="000000"/>
          <w:kern w:val="0"/>
          <w:sz w:val="32"/>
          <w:szCs w:val="32"/>
        </w:rPr>
        <w:t>因</w:t>
      </w:r>
      <w:r>
        <w:rPr>
          <w:rFonts w:ascii="仿宋_GB2312" w:hAnsi="宋体" w:eastAsia="仿宋_GB2312" w:cs="仿宋_GB2312"/>
          <w:color w:val="000000"/>
          <w:kern w:val="0"/>
          <w:sz w:val="32"/>
          <w:szCs w:val="32"/>
        </w:rPr>
        <w:t>是</w:t>
      </w:r>
      <w:r>
        <w:rPr>
          <w:rFonts w:hint="eastAsia" w:ascii="仿宋_GB2312" w:hAnsi="宋体" w:eastAsia="仿宋_GB2312" w:cs="仿宋_GB2312"/>
          <w:color w:val="000000"/>
          <w:kern w:val="0"/>
          <w:sz w:val="32"/>
          <w:szCs w:val="32"/>
        </w:rPr>
        <w:t>培训业务增加。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十、机关运行经费支出情况说明 </w:t>
      </w:r>
    </w:p>
    <w:p>
      <w:pPr>
        <w:widowControl/>
        <w:jc w:val="left"/>
        <w:rPr>
          <w:rFonts w:ascii="仿宋" w:hAnsi="仿宋" w:eastAsia="仿宋" w:cs="楷体"/>
          <w:color w:val="0000FF"/>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机关运行经费</w:t>
      </w:r>
      <w:r>
        <w:rPr>
          <w:rFonts w:ascii="仿宋_GB2312" w:hAnsi="宋体" w:eastAsia="仿宋_GB2312" w:cs="仿宋_GB2312"/>
          <w:color w:val="000000"/>
          <w:kern w:val="0"/>
          <w:sz w:val="32"/>
          <w:szCs w:val="32"/>
        </w:rPr>
        <w:t>预算为53.4万元，支出决算为</w:t>
      </w: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3.53万元，完成预算的137%</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增加</w:t>
      </w:r>
      <w:r>
        <w:rPr>
          <w:rFonts w:ascii="仿宋_GB2312" w:hAnsi="宋体" w:eastAsia="仿宋_GB2312" w:cs="仿宋_GB2312"/>
          <w:color w:val="000000"/>
          <w:kern w:val="0"/>
          <w:sz w:val="32"/>
          <w:szCs w:val="32"/>
        </w:rPr>
        <w:t>20.13</w:t>
      </w:r>
      <w:r>
        <w:rPr>
          <w:rFonts w:hint="eastAsia" w:ascii="仿宋_GB2312" w:hAnsi="宋体" w:eastAsia="仿宋_GB2312" w:cs="仿宋_GB2312"/>
          <w:color w:val="000000"/>
          <w:kern w:val="0"/>
          <w:sz w:val="32"/>
          <w:szCs w:val="32"/>
        </w:rPr>
        <w:t>万元。增加的主要原因是人员公用经费增加。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十一、政府采购支出情况说明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本部门2020年无政府采购支出。</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十二、国有资产占用及购置情况说明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20年末，本部门所属单位共有车辆7辆；单价50万元以上的通用设备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台（套）；单价100万元以上的通用设备0台（套）。2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年当年购置车辆0辆；购置单价50万元以上的设备0台（套）；购置单价100万元以上的通用设备0台（套）。</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2020</w:t>
      </w:r>
      <w:r>
        <w:rPr>
          <w:rFonts w:ascii="仿宋_GB2312" w:hAnsi="仿宋_GB2312" w:eastAsia="仿宋_GB2312" w:cs="仿宋_GB2312"/>
          <w:sz w:val="32"/>
          <w:szCs w:val="32"/>
        </w:rPr>
        <w:t>年一般公共预</w:t>
      </w:r>
      <w:r>
        <w:rPr>
          <w:rFonts w:ascii="仿宋_GB2312" w:hAnsi="仿宋_GB2312" w:eastAsia="仿宋_GB2312" w:cs="仿宋_GB2312"/>
          <w:sz w:val="32"/>
          <w:szCs w:val="32"/>
          <w:highlight w:val="none"/>
        </w:rPr>
        <w:t>算项目支出全面开展绩效自评，其中，一级项目</w:t>
      </w:r>
      <w:r>
        <w:rPr>
          <w:rFonts w:hint="eastAsia" w:ascii="仿宋_GB2312" w:hAnsi="仿宋_GB2312" w:eastAsia="仿宋_GB2312" w:cs="仿宋_GB2312"/>
          <w:sz w:val="32"/>
          <w:szCs w:val="32"/>
          <w:highlight w:val="none"/>
        </w:rPr>
        <w:t>0</w:t>
      </w:r>
      <w:r>
        <w:rPr>
          <w:rFonts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lang w:val="en-US" w:eastAsia="zh-CN"/>
        </w:rPr>
        <w:t>6</w:t>
      </w:r>
      <w:r>
        <w:rPr>
          <w:rFonts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lang w:val="en-US" w:eastAsia="zh-CN"/>
        </w:rPr>
        <w:t>105</w:t>
      </w:r>
      <w:r>
        <w:rPr>
          <w:rFonts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36.19</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highlight w:val="none"/>
        </w:rPr>
        <w:t>组织对 20</w:t>
      </w:r>
      <w:r>
        <w:rPr>
          <w:rFonts w:hint="eastAsia" w:ascii="仿宋_GB2312" w:hAnsi="仿宋_GB2312" w:eastAsia="仿宋_GB2312" w:cs="仿宋_GB2312"/>
          <w:color w:val="000000"/>
          <w:kern w:val="0"/>
          <w:sz w:val="31"/>
          <w:szCs w:val="31"/>
          <w:highlight w:val="none"/>
        </w:rPr>
        <w:t>20</w:t>
      </w:r>
      <w:r>
        <w:rPr>
          <w:rFonts w:ascii="仿宋_GB2312" w:hAnsi="仿宋_GB2312" w:eastAsia="仿宋_GB2312" w:cs="仿宋_GB2312"/>
          <w:color w:val="000000"/>
          <w:kern w:val="0"/>
          <w:sz w:val="31"/>
          <w:szCs w:val="31"/>
          <w:highlight w:val="none"/>
        </w:rPr>
        <w:t>年0个政府性基金预算项目支出开展绩效自</w:t>
      </w:r>
      <w:r>
        <w:rPr>
          <w:rFonts w:ascii="仿宋_GB2312" w:hAnsi="仿宋_GB2312" w:eastAsia="仿宋_GB2312" w:cs="仿宋_GB2312"/>
          <w:color w:val="000000"/>
          <w:kern w:val="0"/>
          <w:sz w:val="31"/>
          <w:szCs w:val="31"/>
        </w:rPr>
        <w:t>评，共涉及资金0万元，占政府性基金预算项目支出总额的0%</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pPr>
      <w:r>
        <w:rPr>
          <w:rFonts w:ascii="仿宋_GB2312" w:hAnsi="仿宋_GB2312" w:eastAsia="仿宋_GB2312" w:cs="仿宋_GB2312"/>
          <w:color w:val="000000"/>
          <w:kern w:val="0"/>
          <w:sz w:val="31"/>
          <w:szCs w:val="31"/>
        </w:rPr>
        <w:t>根据年初设定的绩效目标，项目自评得分94分。项目全年预算数</w:t>
      </w: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01万元，执行数 290.17万元，完成预算的144%。主要产出和效果：通过项目</w:t>
      </w:r>
      <w:r>
        <w:rPr>
          <w:rFonts w:hint="eastAsia" w:ascii="仿宋_GB2312" w:hAnsi="仿宋_GB2312" w:eastAsia="仿宋_GB2312" w:cs="仿宋_GB2312"/>
          <w:color w:val="000000"/>
          <w:kern w:val="0"/>
          <w:sz w:val="31"/>
          <w:szCs w:val="31"/>
        </w:rPr>
        <w:t>实施全区机关单位网络运行得到明显提升，办公效率得到提高，网络安全运行正常，实现无纸化办公的推进。发现的问题及原因：网络升级改版存在网络技术维护上的跟进，原因是网络安全需要维护具有不可控性。下一步改善措施：在电子政务系统平台中会加大网络系统漏洞的完善，保障所有网络系统安全。</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5" o:spt="75" type="#_x0000_t75" style="height:612pt;width:462.75pt;" o:ole="t" filled="f" o:preferrelative="t" stroked="f" coordsize="21600,21600">
            <v:path/>
            <v:fill on="f" focussize="0,0"/>
            <v:stroke on="f" joinstyle="miter"/>
            <v:imagedata r:id="rId22" o:title=""/>
            <o:lock v:ext="edit" aspectratio="t"/>
            <w10:wrap type="none"/>
            <w10:anchorlock/>
          </v:shape>
          <o:OLEObject Type="Embed" ProgID="Excel.Sheet.8" ShapeID="_x0000_i1025" DrawAspect="Content" ObjectID="_1468075725" r:id="rId21">
            <o:LockedField>false</o:LockedField>
          </o:OLEObject>
        </w:object>
      </w:r>
    </w:p>
    <w:p>
      <w:pPr>
        <w:rPr>
          <w:rFonts w:ascii="楷体" w:hAnsi="楷体" w:eastAsia="楷体" w:cs="楷体"/>
          <w:sz w:val="32"/>
          <w:szCs w:val="32"/>
        </w:rPr>
      </w:pPr>
      <w:bookmarkStart w:id="0" w:name="_MON_1695738096"/>
      <w:bookmarkEnd w:id="0"/>
      <w:r>
        <w:rPr>
          <w:rFonts w:hint="eastAsia" w:ascii="楷体" w:hAnsi="楷体" w:eastAsia="楷体" w:cs="楷体"/>
          <w:sz w:val="32"/>
          <w:szCs w:val="32"/>
        </w:rPr>
        <w:object>
          <v:shape id="_x0000_i1033" o:spt="75" type="#_x0000_t75" style="height:612pt;width:462.75pt;" o:ole="t" filled="f" o:preferrelative="t" stroked="f" coordsize="21600,21600">
            <v:path/>
            <v:fill on="f" focussize="0,0"/>
            <v:stroke on="f" joinstyle="miter"/>
            <v:imagedata r:id="rId24" o:title=""/>
            <o:lock v:ext="edit" aspectratio="t"/>
            <w10:wrap type="none"/>
            <w10:anchorlock/>
          </v:shape>
          <o:OLEObject Type="Embed" ProgID="Excel.Sheet.8" ShapeID="_x0000_i1033" DrawAspect="Content" ObjectID="_1468075726" r:id="rId23">
            <o:LockedField>false</o:LockedField>
          </o:OLEObject>
        </w:object>
      </w:r>
    </w:p>
    <w:p>
      <w:pPr>
        <w:rPr>
          <w:rFonts w:ascii="楷体" w:hAnsi="楷体" w:eastAsia="楷体" w:cs="楷体"/>
          <w:sz w:val="32"/>
          <w:szCs w:val="32"/>
        </w:rPr>
      </w:pPr>
      <w:bookmarkStart w:id="1" w:name="_MON_1695738515"/>
      <w:bookmarkEnd w:id="1"/>
      <w:r>
        <w:rPr>
          <w:rFonts w:hint="eastAsia" w:ascii="楷体" w:hAnsi="楷体" w:eastAsia="楷体" w:cs="楷体"/>
          <w:sz w:val="32"/>
          <w:szCs w:val="32"/>
        </w:rPr>
        <w:object>
          <v:shape id="_x0000_i1027" o:spt="75" type="#_x0000_t75" style="height:612pt;width:462.75pt;" o:ole="t" filled="f" o:preferrelative="t" stroked="f" coordsize="21600,21600">
            <v:path/>
            <v:fill on="f" focussize="0,0"/>
            <v:stroke on="f" joinstyle="miter"/>
            <v:imagedata r:id="rId26" o:title=""/>
            <o:lock v:ext="edit" aspectratio="t"/>
            <w10:wrap type="none"/>
            <w10:anchorlock/>
          </v:shape>
          <o:OLEObject Type="Embed" ProgID="Excel.Sheet.8" ShapeID="_x0000_i1027" DrawAspect="Content" ObjectID="_1468075727" r:id="rId25">
            <o:LockedField>false</o:LockedField>
          </o:OLEObject>
        </w:object>
      </w:r>
    </w:p>
    <w:p>
      <w:pPr>
        <w:rPr>
          <w:rFonts w:ascii="楷体" w:hAnsi="楷体" w:eastAsia="楷体" w:cs="楷体"/>
          <w:sz w:val="32"/>
          <w:szCs w:val="32"/>
        </w:rPr>
      </w:pPr>
      <w:bookmarkStart w:id="2" w:name="_MON_1695738811"/>
      <w:bookmarkEnd w:id="2"/>
      <w:r>
        <w:rPr>
          <w:rFonts w:hint="eastAsia" w:ascii="楷体" w:hAnsi="楷体" w:eastAsia="楷体" w:cs="楷体"/>
          <w:sz w:val="32"/>
          <w:szCs w:val="32"/>
        </w:rPr>
        <w:object>
          <v:shape id="_x0000_i1028" o:spt="75" type="#_x0000_t75" style="height:593.25pt;width:461.25pt;" o:ole="t" filled="f" o:preferrelative="t" stroked="f" coordsize="21600,21600">
            <v:path/>
            <v:fill on="f" focussize="0,0"/>
            <v:stroke on="f" joinstyle="miter"/>
            <v:imagedata r:id="rId28" o:title=""/>
            <o:lock v:ext="edit" aspectratio="t"/>
            <w10:wrap type="none"/>
            <w10:anchorlock/>
          </v:shape>
          <o:OLEObject Type="Embed" ProgID="Excel.Sheet.8" ShapeID="_x0000_i1028" DrawAspect="Content" ObjectID="_1468075728" r:id="rId27">
            <o:LockedField>false</o:LockedField>
          </o:OLEObject>
        </w:object>
      </w:r>
    </w:p>
    <w:p>
      <w:pPr>
        <w:rPr>
          <w:rFonts w:ascii="楷体" w:hAnsi="楷体" w:eastAsia="楷体" w:cs="楷体"/>
          <w:sz w:val="32"/>
          <w:szCs w:val="32"/>
        </w:rPr>
      </w:pPr>
      <w:bookmarkStart w:id="3" w:name="_MON_1695739261"/>
      <w:bookmarkEnd w:id="3"/>
      <w:r>
        <w:rPr>
          <w:rFonts w:hint="eastAsia" w:ascii="楷体" w:hAnsi="楷体" w:eastAsia="楷体" w:cs="楷体"/>
          <w:sz w:val="32"/>
          <w:szCs w:val="32"/>
        </w:rPr>
        <w:object>
          <v:shape id="_x0000_i1029" o:spt="75" type="#_x0000_t75" style="height:593.25pt;width:461.25pt;" o:ole="t" filled="f" o:preferrelative="t" stroked="f" coordsize="21600,21600">
            <v:path/>
            <v:fill on="f" focussize="0,0"/>
            <v:stroke on="f" joinstyle="miter"/>
            <v:imagedata r:id="rId30" o:title=""/>
            <o:lock v:ext="edit" aspectratio="t"/>
            <w10:wrap type="none"/>
            <w10:anchorlock/>
          </v:shape>
          <o:OLEObject Type="Embed" ProgID="Excel.Sheet.8" ShapeID="_x0000_i1029" DrawAspect="Content" ObjectID="_1468075729" r:id="rId29">
            <o:LockedField>false</o:LockedField>
          </o:OLEObject>
        </w:object>
      </w:r>
    </w:p>
    <w:p>
      <w:pPr>
        <w:rPr>
          <w:rFonts w:ascii="楷体" w:hAnsi="楷体" w:eastAsia="楷体" w:cs="楷体"/>
          <w:sz w:val="32"/>
          <w:szCs w:val="32"/>
        </w:rPr>
      </w:pPr>
      <w:bookmarkStart w:id="4" w:name="_MON_1695739746"/>
      <w:bookmarkEnd w:id="4"/>
      <w:r>
        <w:rPr>
          <w:rFonts w:hint="eastAsia" w:ascii="楷体" w:hAnsi="楷体" w:eastAsia="楷体" w:cs="楷体"/>
          <w:sz w:val="32"/>
          <w:szCs w:val="32"/>
        </w:rPr>
        <w:object>
          <v:shape id="_x0000_i1030" o:spt="75" type="#_x0000_t75" style="height:612pt;width:462.75pt;" o:ole="t" filled="f" o:preferrelative="t" stroked="f" coordsize="21600,21600">
            <v:path/>
            <v:fill on="f" focussize="0,0"/>
            <v:stroke on="f" joinstyle="miter"/>
            <v:imagedata r:id="rId32" o:title=""/>
            <o:lock v:ext="edit" aspectratio="t"/>
            <w10:wrap type="none"/>
            <w10:anchorlock/>
          </v:shape>
          <o:OLEObject Type="Embed" ProgID="Excel.Sheet.8" ShapeID="_x0000_i1030" DrawAspect="Content" ObjectID="_1468075730" r:id="rId31">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pgNumType w:fmt="numberInDash"/>
          <w:cols w:space="720" w:num="1"/>
          <w:docGrid w:type="lines" w:linePitch="315" w:charSpace="0"/>
        </w:sectPr>
      </w:pPr>
    </w:p>
    <w:p>
      <w:pPr>
        <w:widowControl/>
        <w:jc w:val="left"/>
        <w:rPr>
          <w:rFonts w:ascii="楷体" w:hAnsi="楷体" w:eastAsia="楷体" w:cs="楷体"/>
          <w:sz w:val="32"/>
          <w:szCs w:val="32"/>
        </w:rPr>
      </w:pPr>
      <w:bookmarkStart w:id="7" w:name="_GoBack"/>
      <w:bookmarkStart w:id="5" w:name="_MON_1695731196"/>
      <w:bookmarkEnd w:id="5"/>
      <w:r>
        <w:rPr>
          <w:rFonts w:hint="eastAsia" w:ascii="楷体" w:hAnsi="楷体" w:eastAsia="楷体" w:cs="楷体"/>
          <w:sz w:val="32"/>
          <w:szCs w:val="32"/>
        </w:rPr>
        <w:object>
          <v:shape id="_x0000_i1031" o:spt="75" alt="" type="#_x0000_t75" style="height:1915.25pt;width:930.1pt;" o:ole="t" filled="f" o:preferrelative="t" stroked="f" coordsize="21600,21600">
            <v:path/>
            <v:fill on="f" focussize="0,0"/>
            <v:stroke on="f"/>
            <v:imagedata r:id="rId34" o:title=""/>
            <o:lock v:ext="edit" aspectratio="t"/>
            <w10:wrap type="none"/>
            <w10:anchorlock/>
          </v:shape>
          <o:OLEObject Type="Embed" ProgID="Excel.Sheet.8" ShapeID="_x0000_i1031" DrawAspect="Content" ObjectID="_1468075731" r:id="rId33">
            <o:LockedField>false</o:LockedField>
          </o:OLEObject>
        </w:object>
      </w:r>
      <w:bookmarkEnd w:id="7"/>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bookmarkStart w:id="6" w:name="_MON_1695732069"/>
      <w:bookmarkEnd w:id="6"/>
      <w:r>
        <w:rPr>
          <w:rFonts w:hint="eastAsia" w:ascii="楷体" w:hAnsi="楷体" w:eastAsia="楷体" w:cs="楷体"/>
          <w:sz w:val="32"/>
          <w:szCs w:val="32"/>
        </w:rPr>
        <w:object>
          <v:shape id="_x0000_i1032" o:spt="75" type="#_x0000_t75" style="height:339pt;width:594.75pt;" o:ole="t" filled="f" o:preferrelative="t" stroked="f" coordsize="21600,21600">
            <v:path/>
            <v:fill on="f" focussize="0,0"/>
            <v:stroke on="f" joinstyle="miter"/>
            <v:imagedata r:id="rId36" o:title=""/>
            <o:lock v:ext="edit" aspectratio="t"/>
            <w10:wrap type="none"/>
            <w10:anchorlock/>
          </v:shape>
          <o:OLEObject Type="Embed" ProgID="Excel.Sheet.8" ShapeID="_x0000_i1032" DrawAspect="Content" ObjectID="_1468075732" r:id="rId35">
            <o:LockedField>false</o:LockedField>
          </o:OLEObject>
        </w:objec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p>
      <w:pPr>
        <w:spacing w:before="156" w:beforeLines="50" w:after="156" w:afterLines="50" w:line="560" w:lineRule="exact"/>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90500" cy="13144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15pt;mso-position-horizontal:outside;mso-position-horizontal-relative:margin;mso-wrap-style:none;z-index:251657216;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J1N0NEAAAADAQAADwAAAAAAAAABACAAAAAiAAAAZHJzL2Rvd25yZXYueG1sUEsBAhQAFAAA&#10;AAgAh07iQF/LdeEvAgAAVAQAAA4AAAAAAAAAAQAgAAAAIA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7650" cy="131445"/>
              <wp:effectExtent l="0" t="0" r="0" b="0"/>
              <wp:wrapNone/>
              <wp:docPr id="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9.5pt;mso-position-horizontal:outside;mso-position-horizontal-relative:margin;mso-wrap-style:none;z-index:251658240;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7FI4NAAAAADAQAADwAAAAAAAAABACAAAAAiAAAAZHJzL2Rv&#10;d25yZXYueG1sUEsBAhQAFAAAAAgAh07iQLwdHkEJAgAAAgQAAA4AAAAAAAAAAQAgAAAAHwEAAGRy&#10;cy9lMm9Eb2MueG1sUEsFBgAAAAAGAAYAWQEAAJo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1083"/>
    <w:multiLevelType w:val="multilevel"/>
    <w:tmpl w:val="1F0B108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B55473"/>
    <w:multiLevelType w:val="multilevel"/>
    <w:tmpl w:val="79B55473"/>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7B"/>
    <w:rsid w:val="00001981"/>
    <w:rsid w:val="00023BEE"/>
    <w:rsid w:val="00041DCA"/>
    <w:rsid w:val="00073DEC"/>
    <w:rsid w:val="00087250"/>
    <w:rsid w:val="000C4872"/>
    <w:rsid w:val="000C7BA9"/>
    <w:rsid w:val="000F37AC"/>
    <w:rsid w:val="000F3BDC"/>
    <w:rsid w:val="00100F48"/>
    <w:rsid w:val="00114C0B"/>
    <w:rsid w:val="00115916"/>
    <w:rsid w:val="001457FD"/>
    <w:rsid w:val="0015146A"/>
    <w:rsid w:val="001900CB"/>
    <w:rsid w:val="001B1E9E"/>
    <w:rsid w:val="001B5A25"/>
    <w:rsid w:val="001D57E3"/>
    <w:rsid w:val="001E58F4"/>
    <w:rsid w:val="00213B73"/>
    <w:rsid w:val="002257C2"/>
    <w:rsid w:val="00227C24"/>
    <w:rsid w:val="00236504"/>
    <w:rsid w:val="00285214"/>
    <w:rsid w:val="0031545B"/>
    <w:rsid w:val="00334813"/>
    <w:rsid w:val="00336F64"/>
    <w:rsid w:val="00374F54"/>
    <w:rsid w:val="00375C1E"/>
    <w:rsid w:val="0038147B"/>
    <w:rsid w:val="00394F5B"/>
    <w:rsid w:val="003A57C2"/>
    <w:rsid w:val="003C30A9"/>
    <w:rsid w:val="00406DFA"/>
    <w:rsid w:val="00422F4D"/>
    <w:rsid w:val="00440149"/>
    <w:rsid w:val="004A2E55"/>
    <w:rsid w:val="00510051"/>
    <w:rsid w:val="005137CD"/>
    <w:rsid w:val="00513A36"/>
    <w:rsid w:val="00517EAB"/>
    <w:rsid w:val="0058441A"/>
    <w:rsid w:val="005965C4"/>
    <w:rsid w:val="005E48DC"/>
    <w:rsid w:val="005F7FB7"/>
    <w:rsid w:val="006621E6"/>
    <w:rsid w:val="00671B6D"/>
    <w:rsid w:val="006A7CBB"/>
    <w:rsid w:val="006B10C2"/>
    <w:rsid w:val="006B58D2"/>
    <w:rsid w:val="006D7ECA"/>
    <w:rsid w:val="006F378C"/>
    <w:rsid w:val="006F5D2F"/>
    <w:rsid w:val="006F7B3D"/>
    <w:rsid w:val="006F7C7B"/>
    <w:rsid w:val="00703B2F"/>
    <w:rsid w:val="00727076"/>
    <w:rsid w:val="00745E5E"/>
    <w:rsid w:val="007615CD"/>
    <w:rsid w:val="00775E0E"/>
    <w:rsid w:val="00777BE4"/>
    <w:rsid w:val="007863E7"/>
    <w:rsid w:val="007F189B"/>
    <w:rsid w:val="00827182"/>
    <w:rsid w:val="008357E1"/>
    <w:rsid w:val="00877486"/>
    <w:rsid w:val="00880106"/>
    <w:rsid w:val="00884E48"/>
    <w:rsid w:val="008866D6"/>
    <w:rsid w:val="008B7CE3"/>
    <w:rsid w:val="008B7F49"/>
    <w:rsid w:val="008C573D"/>
    <w:rsid w:val="0091070C"/>
    <w:rsid w:val="00960FDA"/>
    <w:rsid w:val="009852A2"/>
    <w:rsid w:val="009909E6"/>
    <w:rsid w:val="00A1410E"/>
    <w:rsid w:val="00A14241"/>
    <w:rsid w:val="00A163EA"/>
    <w:rsid w:val="00A25AA5"/>
    <w:rsid w:val="00A64EC9"/>
    <w:rsid w:val="00A9715E"/>
    <w:rsid w:val="00B066DC"/>
    <w:rsid w:val="00B06851"/>
    <w:rsid w:val="00B34B96"/>
    <w:rsid w:val="00B57B8B"/>
    <w:rsid w:val="00B635A4"/>
    <w:rsid w:val="00B93F72"/>
    <w:rsid w:val="00BA3569"/>
    <w:rsid w:val="00BB0F09"/>
    <w:rsid w:val="00C35B02"/>
    <w:rsid w:val="00C611B4"/>
    <w:rsid w:val="00C67A39"/>
    <w:rsid w:val="00C813C9"/>
    <w:rsid w:val="00C87398"/>
    <w:rsid w:val="00CD5B0E"/>
    <w:rsid w:val="00D062D4"/>
    <w:rsid w:val="00D22D5A"/>
    <w:rsid w:val="00D70BC2"/>
    <w:rsid w:val="00D77943"/>
    <w:rsid w:val="00DA50F8"/>
    <w:rsid w:val="00DA52CE"/>
    <w:rsid w:val="00DA6972"/>
    <w:rsid w:val="00DF7AF1"/>
    <w:rsid w:val="00E36E2F"/>
    <w:rsid w:val="00E52D29"/>
    <w:rsid w:val="00E702DD"/>
    <w:rsid w:val="00E75E4E"/>
    <w:rsid w:val="00E96C70"/>
    <w:rsid w:val="00EA2AE3"/>
    <w:rsid w:val="00ED28B5"/>
    <w:rsid w:val="00ED2B6C"/>
    <w:rsid w:val="00EF5355"/>
    <w:rsid w:val="00F01DDE"/>
    <w:rsid w:val="00F170DB"/>
    <w:rsid w:val="00F47D31"/>
    <w:rsid w:val="00F63A43"/>
    <w:rsid w:val="00F7175F"/>
    <w:rsid w:val="00FA5195"/>
    <w:rsid w:val="00FD0B30"/>
    <w:rsid w:val="01EB657A"/>
    <w:rsid w:val="023F6D5E"/>
    <w:rsid w:val="029E06D8"/>
    <w:rsid w:val="0354494F"/>
    <w:rsid w:val="03D45C4B"/>
    <w:rsid w:val="05EE7D6F"/>
    <w:rsid w:val="06E76A15"/>
    <w:rsid w:val="09700FFA"/>
    <w:rsid w:val="097E7978"/>
    <w:rsid w:val="0D76067E"/>
    <w:rsid w:val="0F2C03CF"/>
    <w:rsid w:val="0F515B2B"/>
    <w:rsid w:val="0F9674D8"/>
    <w:rsid w:val="13EA05EF"/>
    <w:rsid w:val="15567A51"/>
    <w:rsid w:val="157F641B"/>
    <w:rsid w:val="18990935"/>
    <w:rsid w:val="19F46943"/>
    <w:rsid w:val="1AC14C1A"/>
    <w:rsid w:val="1ADC74E7"/>
    <w:rsid w:val="1CE46BCE"/>
    <w:rsid w:val="1D01397E"/>
    <w:rsid w:val="1D9705AD"/>
    <w:rsid w:val="209F0758"/>
    <w:rsid w:val="210C0353"/>
    <w:rsid w:val="228D446D"/>
    <w:rsid w:val="25345DFB"/>
    <w:rsid w:val="254C720C"/>
    <w:rsid w:val="25890D8B"/>
    <w:rsid w:val="271E74BE"/>
    <w:rsid w:val="284E0329"/>
    <w:rsid w:val="2C1A0E7D"/>
    <w:rsid w:val="2C415943"/>
    <w:rsid w:val="2C6B1098"/>
    <w:rsid w:val="2D04227B"/>
    <w:rsid w:val="2D8F0E23"/>
    <w:rsid w:val="2F870B13"/>
    <w:rsid w:val="30E96B9E"/>
    <w:rsid w:val="30EE548C"/>
    <w:rsid w:val="31F602D0"/>
    <w:rsid w:val="34596819"/>
    <w:rsid w:val="34834E06"/>
    <w:rsid w:val="39DB4390"/>
    <w:rsid w:val="3AB508FD"/>
    <w:rsid w:val="3C4A21DE"/>
    <w:rsid w:val="3D3E22E9"/>
    <w:rsid w:val="3E7A0D74"/>
    <w:rsid w:val="42E66F17"/>
    <w:rsid w:val="431C2CB3"/>
    <w:rsid w:val="43364F1F"/>
    <w:rsid w:val="44B5452F"/>
    <w:rsid w:val="45755E61"/>
    <w:rsid w:val="47E85BA3"/>
    <w:rsid w:val="49227C71"/>
    <w:rsid w:val="49F81F8C"/>
    <w:rsid w:val="4A121DD1"/>
    <w:rsid w:val="4AD02097"/>
    <w:rsid w:val="4ED62DDA"/>
    <w:rsid w:val="522508E1"/>
    <w:rsid w:val="54B211AD"/>
    <w:rsid w:val="56ED1518"/>
    <w:rsid w:val="57137879"/>
    <w:rsid w:val="573875E5"/>
    <w:rsid w:val="59164612"/>
    <w:rsid w:val="5A981153"/>
    <w:rsid w:val="5C310139"/>
    <w:rsid w:val="5D7F3C55"/>
    <w:rsid w:val="5E114473"/>
    <w:rsid w:val="5E4D71C7"/>
    <w:rsid w:val="61D36095"/>
    <w:rsid w:val="644674B4"/>
    <w:rsid w:val="654275B8"/>
    <w:rsid w:val="65B41B36"/>
    <w:rsid w:val="65FA3F87"/>
    <w:rsid w:val="6700755B"/>
    <w:rsid w:val="675F7FA7"/>
    <w:rsid w:val="6934794E"/>
    <w:rsid w:val="6B5A7A2B"/>
    <w:rsid w:val="700E1656"/>
    <w:rsid w:val="70CA11DE"/>
    <w:rsid w:val="728E121C"/>
    <w:rsid w:val="73EA2609"/>
    <w:rsid w:val="77263EC1"/>
    <w:rsid w:val="78545CEC"/>
    <w:rsid w:val="78CF2D36"/>
    <w:rsid w:val="797532FE"/>
    <w:rsid w:val="79851CEF"/>
    <w:rsid w:val="7AED1CC3"/>
    <w:rsid w:val="7BDC3246"/>
    <w:rsid w:val="7DA0080B"/>
    <w:rsid w:val="7DB6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8.emf"/><Relationship Id="rId35" Type="http://schemas.openxmlformats.org/officeDocument/2006/relationships/oleObject" Target="embeddings/oleObject8.bin"/><Relationship Id="rId34" Type="http://schemas.openxmlformats.org/officeDocument/2006/relationships/image" Target="media/image7.emf"/><Relationship Id="rId33" Type="http://schemas.openxmlformats.org/officeDocument/2006/relationships/oleObject" Target="embeddings/oleObject7.bin"/><Relationship Id="rId32" Type="http://schemas.openxmlformats.org/officeDocument/2006/relationships/image" Target="media/image6.emf"/><Relationship Id="rId31" Type="http://schemas.openxmlformats.org/officeDocument/2006/relationships/oleObject" Target="embeddings/oleObject6.bin"/><Relationship Id="rId30" Type="http://schemas.openxmlformats.org/officeDocument/2006/relationships/image" Target="media/image5.emf"/><Relationship Id="rId3" Type="http://schemas.openxmlformats.org/officeDocument/2006/relationships/footer" Target="footer1.xml"/><Relationship Id="rId29" Type="http://schemas.openxmlformats.org/officeDocument/2006/relationships/oleObject" Target="embeddings/oleObject5.bin"/><Relationship Id="rId28" Type="http://schemas.openxmlformats.org/officeDocument/2006/relationships/image" Target="media/image4.emf"/><Relationship Id="rId27" Type="http://schemas.openxmlformats.org/officeDocument/2006/relationships/oleObject" Target="embeddings/oleObject4.bin"/><Relationship Id="rId26" Type="http://schemas.openxmlformats.org/officeDocument/2006/relationships/image" Target="media/image3.emf"/><Relationship Id="rId25" Type="http://schemas.openxmlformats.org/officeDocument/2006/relationships/oleObject" Target="embeddings/oleObject3.bin"/><Relationship Id="rId24" Type="http://schemas.openxmlformats.org/officeDocument/2006/relationships/image" Target="media/image2.emf"/><Relationship Id="rId23" Type="http://schemas.openxmlformats.org/officeDocument/2006/relationships/oleObject" Target="embeddings/oleObject2.bin"/><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人员情况</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编制人员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2"/>
                <c:pt idx="0">
                  <c:v>行政人员</c:v>
                </c:pt>
                <c:pt idx="1">
                  <c:v>事业人员</c:v>
                </c:pt>
              </c:strCache>
            </c:strRef>
          </c:cat>
          <c:val>
            <c:numRef>
              <c:f>Sheet1!$B$2:$B$5</c:f>
              <c:numCache>
                <c:formatCode>General</c:formatCode>
                <c:ptCount val="4"/>
                <c:pt idx="0">
                  <c:v>21</c:v>
                </c:pt>
                <c:pt idx="1">
                  <c:v>21</c:v>
                </c:pt>
              </c:numCache>
            </c:numRef>
          </c:val>
        </c:ser>
        <c:ser>
          <c:idx val="1"/>
          <c:order val="1"/>
          <c:tx>
            <c:strRef>
              <c:f>Sheet1!$C$1</c:f>
              <c:strCache>
                <c:ptCount val="1"/>
                <c:pt idx="0">
                  <c:v>实有人员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2"/>
                <c:pt idx="0">
                  <c:v>行政人员</c:v>
                </c:pt>
                <c:pt idx="1">
                  <c:v>事业人员</c:v>
                </c:pt>
              </c:strCache>
            </c:strRef>
          </c:cat>
          <c:val>
            <c:numRef>
              <c:f>Sheet1!$C$2:$C$5</c:f>
              <c:numCache>
                <c:formatCode>General</c:formatCode>
                <c:ptCount val="4"/>
                <c:pt idx="0">
                  <c:v>20</c:v>
                </c:pt>
                <c:pt idx="1">
                  <c:v>19</c:v>
                </c:pt>
              </c:numCache>
            </c:numRef>
          </c:val>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2"/>
                <c:pt idx="0">
                  <c:v>行政人员</c:v>
                </c:pt>
                <c:pt idx="1">
                  <c:v>事业人员</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155367680"/>
        <c:axId val="155410432"/>
      </c:barChart>
      <c:catAx>
        <c:axId val="1553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410432"/>
        <c:crosses val="autoZero"/>
        <c:auto val="1"/>
        <c:lblAlgn val="ctr"/>
        <c:lblOffset val="100"/>
        <c:noMultiLvlLbl val="0"/>
      </c:catAx>
      <c:valAx>
        <c:axId val="155410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36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公务接待费支出情况图</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delete val="1"/>
          </c:dLbls>
          <c:cat>
            <c:strRef>
              <c:f>Sheet1!$A$2:$A$4</c:f>
              <c:strCache>
                <c:ptCount val="2"/>
                <c:pt idx="0">
                  <c:v>预算数</c:v>
                </c:pt>
                <c:pt idx="1">
                  <c:v>决算数</c:v>
                </c:pt>
              </c:strCache>
            </c:strRef>
          </c:cat>
          <c:val>
            <c:numRef>
              <c:f>Sheet1!$B$2:$B$4</c:f>
              <c:numCache>
                <c:formatCode>General</c:formatCode>
                <c:ptCount val="3"/>
                <c:pt idx="0">
                  <c:v>20.36</c:v>
                </c:pt>
                <c:pt idx="1">
                  <c:v>18.53</c:v>
                </c:pt>
              </c:numCache>
            </c:numRef>
          </c:val>
        </c:ser>
        <c:ser>
          <c:idx val="1"/>
          <c:order val="1"/>
          <c:tx>
            <c:strRef>
              <c:f>Sheet1!$C$1</c:f>
              <c:strCache>
                <c:ptCount val="1"/>
                <c:pt idx="0">
                  <c:v>决算数</c:v>
                </c:pt>
              </c:strCache>
            </c:strRef>
          </c:tx>
          <c:spPr>
            <a:solidFill>
              <a:schemeClr val="accent2"/>
            </a:solidFill>
            <a:ln>
              <a:noFill/>
            </a:ln>
            <a:effectLst/>
          </c:spPr>
          <c:invertIfNegative val="0"/>
          <c:dLbls>
            <c:delete val="1"/>
          </c:dLbls>
          <c:cat>
            <c:strRef>
              <c:f>Sheet1!$A$2:$A$4</c:f>
              <c:strCache>
                <c:ptCount val="2"/>
                <c:pt idx="0">
                  <c:v>预算数</c:v>
                </c:pt>
                <c:pt idx="1">
                  <c:v>决算数</c:v>
                </c:pt>
              </c:strCache>
            </c:strRef>
          </c:cat>
          <c:val>
            <c:numRef>
              <c:f>Sheet1!$C$2:$C$4</c:f>
              <c:numCache>
                <c:formatCode>General</c:formatCode>
                <c:ptCount val="3"/>
              </c:numCache>
            </c:numRef>
          </c:val>
        </c:ser>
        <c:ser>
          <c:idx val="2"/>
          <c:order val="2"/>
          <c:tx>
            <c:strRef>
              <c:f>Sheet1!$D$1</c:f>
              <c:strCache>
                <c:ptCount val="1"/>
                <c:pt idx="0">
                  <c:v>减少</c:v>
                </c:pt>
              </c:strCache>
            </c:strRef>
          </c:tx>
          <c:spPr>
            <a:solidFill>
              <a:schemeClr val="accent3"/>
            </a:solidFill>
            <a:ln>
              <a:noFill/>
            </a:ln>
            <a:effectLst/>
          </c:spPr>
          <c:invertIfNegative val="0"/>
          <c:dLbls>
            <c:delete val="1"/>
          </c:dLbls>
          <c:cat>
            <c:strRef>
              <c:f>Sheet1!$A$2:$A$4</c:f>
              <c:strCache>
                <c:ptCount val="2"/>
                <c:pt idx="0">
                  <c:v>预算数</c:v>
                </c:pt>
                <c:pt idx="1">
                  <c:v>决算数</c:v>
                </c:pt>
              </c:strCache>
            </c:strRef>
          </c:cat>
          <c:val>
            <c:numRef>
              <c:f>Sheet1!$D$2:$D$4</c:f>
              <c:numCache>
                <c:formatCode>General</c:formatCode>
                <c:ptCount val="3"/>
              </c:numCache>
            </c:numRef>
          </c:val>
        </c:ser>
        <c:dLbls>
          <c:showLegendKey val="0"/>
          <c:showVal val="0"/>
          <c:showCatName val="0"/>
          <c:showSerName val="0"/>
          <c:showPercent val="0"/>
          <c:showBubbleSize val="0"/>
        </c:dLbls>
        <c:gapWidth val="182"/>
        <c:axId val="266525696"/>
        <c:axId val="266683136"/>
      </c:barChart>
      <c:catAx>
        <c:axId val="26652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683136"/>
        <c:crosses val="autoZero"/>
        <c:auto val="1"/>
        <c:lblAlgn val="ctr"/>
        <c:lblOffset val="100"/>
        <c:noMultiLvlLbl val="0"/>
      </c:catAx>
      <c:valAx>
        <c:axId val="266683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525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收入支出表</a:t>
            </a:r>
            <a:endParaRPr lang="zh-CN" altLang="en-US"/>
          </a:p>
        </c:rich>
      </c:tx>
      <c:layout/>
      <c:overlay val="0"/>
      <c:spPr>
        <a:noFill/>
        <a:ln>
          <a:noFill/>
        </a:ln>
        <a:effectLst/>
      </c:spPr>
    </c:title>
    <c:autoTitleDeleted val="0"/>
    <c:plotArea>
      <c:layout>
        <c:manualLayout>
          <c:layoutTarget val="inner"/>
          <c:xMode val="edge"/>
          <c:yMode val="edge"/>
          <c:x val="0.0777256488772237"/>
          <c:y val="0.166527934008249"/>
          <c:w val="0.899126202974628"/>
          <c:h val="0.751944131983503"/>
        </c:manualLayout>
      </c:layout>
      <c:barChart>
        <c:barDir val="col"/>
        <c:grouping val="clustered"/>
        <c:varyColors val="0"/>
        <c:ser>
          <c:idx val="0"/>
          <c:order val="0"/>
          <c:tx>
            <c:strRef>
              <c:f>Sheet1!$B$1</c:f>
              <c:strCache>
                <c:ptCount val="1"/>
                <c:pt idx="0">
                  <c:v>收入支出</c:v>
                </c:pt>
              </c:strCache>
            </c:strRef>
          </c:tx>
          <c:spPr>
            <a:solidFill>
              <a:schemeClr val="accent1"/>
            </a:solidFill>
            <a:ln>
              <a:noFill/>
            </a:ln>
            <a:effectLst/>
          </c:spPr>
          <c:invertIfNegative val="0"/>
          <c:dLbls>
            <c:delete val="1"/>
          </c:dLbls>
          <c:cat>
            <c:strRef>
              <c:f>Sheet1!$A$2:$A$5</c:f>
              <c:strCache>
                <c:ptCount val="2"/>
                <c:pt idx="0">
                  <c:v>2020年</c:v>
                </c:pt>
                <c:pt idx="1">
                  <c:v>2019年</c:v>
                </c:pt>
              </c:strCache>
            </c:strRef>
          </c:cat>
          <c:val>
            <c:numRef>
              <c:f>Sheet1!$B$2:$B$5</c:f>
              <c:numCache>
                <c:formatCode>General</c:formatCode>
                <c:ptCount val="4"/>
                <c:pt idx="0">
                  <c:v>1346.21</c:v>
                </c:pt>
                <c:pt idx="1">
                  <c:v>1576.91</c:v>
                </c:pt>
              </c:numCache>
            </c:numRef>
          </c:val>
        </c:ser>
        <c:ser>
          <c:idx val="1"/>
          <c:order val="1"/>
          <c:tx>
            <c:strRef>
              <c:f>Sheet1!$C$1</c:f>
              <c:strCache>
                <c:ptCount val="1"/>
                <c:pt idx="0">
                  <c:v>列1</c:v>
                </c:pt>
              </c:strCache>
            </c:strRef>
          </c:tx>
          <c:spPr>
            <a:solidFill>
              <a:schemeClr val="accent2"/>
            </a:solidFill>
            <a:ln>
              <a:noFill/>
            </a:ln>
            <a:effectLst/>
          </c:spPr>
          <c:invertIfNegative val="0"/>
          <c:dLbls>
            <c:delete val="1"/>
          </c:dLbls>
          <c:cat>
            <c:strRef>
              <c:f>Sheet1!$A$2:$A$5</c:f>
              <c:strCache>
                <c:ptCount val="2"/>
                <c:pt idx="0">
                  <c:v>2020年</c:v>
                </c:pt>
                <c:pt idx="1">
                  <c:v>2019年</c:v>
                </c:pt>
              </c:strCache>
            </c:strRef>
          </c:cat>
          <c:val>
            <c:numRef>
              <c:f>Sheet1!$C$2:$C$5</c:f>
              <c:numCache>
                <c:formatCode>General</c:formatCode>
                <c:ptCount val="4"/>
              </c:numCache>
            </c:numRef>
          </c:val>
        </c:ser>
        <c:ser>
          <c:idx val="2"/>
          <c:order val="2"/>
          <c:tx>
            <c:strRef>
              <c:f>Sheet1!$D$1</c:f>
              <c:strCache>
                <c:ptCount val="1"/>
                <c:pt idx="0">
                  <c:v>列2</c:v>
                </c:pt>
              </c:strCache>
            </c:strRef>
          </c:tx>
          <c:spPr>
            <a:solidFill>
              <a:schemeClr val="accent3"/>
            </a:solidFill>
            <a:ln>
              <a:noFill/>
            </a:ln>
            <a:effectLst/>
          </c:spPr>
          <c:invertIfNegative val="0"/>
          <c:dLbls>
            <c:delete val="1"/>
          </c:dLbls>
          <c:cat>
            <c:strRef>
              <c:f>Sheet1!$A$2:$A$5</c:f>
              <c:strCache>
                <c:ptCount val="2"/>
                <c:pt idx="0">
                  <c:v>2020年</c:v>
                </c:pt>
                <c:pt idx="1">
                  <c:v>2019年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41146752"/>
        <c:axId val="141877632"/>
      </c:barChart>
      <c:catAx>
        <c:axId val="14114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877632"/>
        <c:crosses val="autoZero"/>
        <c:auto val="1"/>
        <c:lblAlgn val="ctr"/>
        <c:lblOffset val="100"/>
        <c:noMultiLvlLbl val="0"/>
      </c:catAx>
      <c:valAx>
        <c:axId val="141877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14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dLbls>
            <c:delete val="1"/>
          </c:dLbls>
          <c:cat>
            <c:strRef>
              <c:f>Sheet1!$A$2:$A$5</c:f>
              <c:strCache>
                <c:ptCount val="2"/>
                <c:pt idx="0">
                  <c:v>2020年</c:v>
                </c:pt>
                <c:pt idx="1">
                  <c:v>2021年</c:v>
                </c:pt>
              </c:strCache>
            </c:strRef>
          </c:cat>
          <c:val>
            <c:numRef>
              <c:f>Sheet1!$B$2:$B$5</c:f>
              <c:numCache>
                <c:formatCode>General</c:formatCode>
                <c:ptCount val="4"/>
                <c:pt idx="0">
                  <c:v>1351.11</c:v>
                </c:pt>
                <c:pt idx="1">
                  <c:v>1587.44</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2"/>
                <c:pt idx="0">
                  <c:v>2020年</c:v>
                </c:pt>
                <c:pt idx="1">
                  <c:v>2021年</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2"/>
                <c:pt idx="0">
                  <c:v>2020年</c:v>
                </c:pt>
                <c:pt idx="1">
                  <c:v>2021年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55961984"/>
        <c:axId val="155963776"/>
      </c:barChart>
      <c:catAx>
        <c:axId val="1559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963776"/>
        <c:crosses val="autoZero"/>
        <c:auto val="1"/>
        <c:lblAlgn val="ctr"/>
        <c:lblOffset val="100"/>
        <c:noMultiLvlLbl val="0"/>
      </c:catAx>
      <c:valAx>
        <c:axId val="155963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96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年收入合计</a:t>
            </a:r>
            <a:endParaRPr lang="zh-CN" altLang="en-US"/>
          </a:p>
        </c:rich>
      </c:tx>
      <c:layout/>
      <c:overlay val="0"/>
    </c:title>
    <c:autoTitleDeleted val="0"/>
    <c:plotArea>
      <c:layout/>
      <c:pieChart>
        <c:varyColors val="1"/>
        <c:ser>
          <c:idx val="0"/>
          <c:order val="0"/>
          <c:tx>
            <c:strRef>
              <c:f>Sheet1!$B$1</c:f>
              <c:strCache>
                <c:ptCount val="1"/>
                <c:pt idx="0">
                  <c:v>2019年收入合计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912.02</c:v>
                </c:pt>
                <c:pt idx="1">
                  <c:v>0</c:v>
                </c:pt>
                <c:pt idx="2">
                  <c:v>0</c:v>
                </c:pt>
                <c:pt idx="3">
                  <c:v>434.19</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2020年支出合计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经营支出</c:v>
                </c:pt>
              </c:strCache>
            </c:strRef>
          </c:cat>
          <c:val>
            <c:numRef>
              <c:f>Sheet1!$B$2:$B$5</c:f>
              <c:numCache>
                <c:formatCode>General</c:formatCode>
                <c:ptCount val="4"/>
                <c:pt idx="0">
                  <c:v>635.24</c:v>
                </c:pt>
                <c:pt idx="1">
                  <c:v>715.87</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46511932738491"/>
          <c:y val="0.10958904109589"/>
          <c:w val="0.642852996526445"/>
          <c:h val="0.753070866141733"/>
        </c:manualLayout>
      </c:layout>
      <c:barChart>
        <c:barDir val="bar"/>
        <c:grouping val="clustered"/>
        <c:varyColors val="0"/>
        <c:ser>
          <c:idx val="0"/>
          <c:order val="0"/>
          <c:tx>
            <c:strRef>
              <c:f>Sheet1!$B$1</c:f>
              <c:strCache>
                <c:ptCount val="1"/>
                <c:pt idx="0">
                  <c:v>2019年财政拨款支出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1004.83</c:v>
                </c:pt>
              </c:numCache>
            </c:numRef>
          </c:val>
        </c:ser>
        <c:ser>
          <c:idx val="1"/>
          <c:order val="1"/>
          <c:tx>
            <c:strRef>
              <c:f>Sheet1!$C$1</c:f>
              <c:strCache>
                <c:ptCount val="1"/>
                <c:pt idx="0">
                  <c:v>2020年财政拨款支出2</c:v>
                </c:pt>
              </c:strCache>
            </c:strRef>
          </c:tx>
          <c:invertIfNegative val="0"/>
          <c:dLbls>
            <c:delete val="1"/>
          </c:dLbls>
          <c:cat>
            <c:numRef>
              <c:f>Sheet1!$A$2</c:f>
              <c:numCache>
                <c:formatCode>General</c:formatCode>
                <c:ptCount val="1"/>
              </c:numCache>
            </c:numRef>
          </c:cat>
          <c:val>
            <c:numRef>
              <c:f>Sheet1!$C$2</c:f>
              <c:numCache>
                <c:formatCode>General</c:formatCode>
                <c:ptCount val="1"/>
                <c:pt idx="0">
                  <c:v>912.02</c:v>
                </c:pt>
              </c:numCache>
            </c:numRef>
          </c:val>
        </c:ser>
        <c:ser>
          <c:idx val="2"/>
          <c:order val="2"/>
          <c:tx>
            <c:strRef>
              <c:f>Sheet1!$D$1</c:f>
              <c:strCache>
                <c:ptCount val="1"/>
                <c:pt idx="0">
                  <c:v>2020年总支出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1351.11</c:v>
                </c:pt>
              </c:numCache>
            </c:numRef>
          </c:val>
        </c:ser>
        <c:dLbls>
          <c:showLegendKey val="0"/>
          <c:showVal val="0"/>
          <c:showCatName val="0"/>
          <c:showSerName val="0"/>
          <c:showPercent val="0"/>
          <c:showBubbleSize val="0"/>
        </c:dLbls>
        <c:gapWidth val="150"/>
        <c:axId val="266418816"/>
        <c:axId val="266428800"/>
      </c:barChart>
      <c:catAx>
        <c:axId val="26641881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6428800"/>
        <c:crosses val="autoZero"/>
        <c:auto val="1"/>
        <c:lblAlgn val="ctr"/>
        <c:lblOffset val="100"/>
        <c:noMultiLvlLbl val="0"/>
      </c:catAx>
      <c:valAx>
        <c:axId val="26642880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64188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zh-CN"/>
              <a:t>因公出国出境支出</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cat>
            <c:strRef>
              <c:f>Sheet1!$A$2:$A$5</c:f>
              <c:strCache>
                <c:ptCount val="2"/>
                <c:pt idx="0">
                  <c:v>2020年预算</c:v>
                </c:pt>
                <c:pt idx="1">
                  <c:v>2020年决算</c:v>
                </c:pt>
              </c:strCache>
            </c:strRef>
          </c:cat>
          <c:val>
            <c:numRef>
              <c:f>Sheet1!$B$2:$B$5</c:f>
              <c:numCache>
                <c:formatCode>General</c:formatCode>
                <c:ptCount val="4"/>
                <c:pt idx="0">
                  <c:v>0</c:v>
                </c:pt>
                <c:pt idx="1">
                  <c:v>0</c:v>
                </c:pt>
              </c:numCache>
            </c:numRef>
          </c:val>
        </c:ser>
        <c:ser>
          <c:idx val="1"/>
          <c:order val="1"/>
          <c:tx>
            <c:strRef>
              <c:f>Sheet1!$C$1</c:f>
              <c:strCache>
                <c:ptCount val="1"/>
                <c:pt idx="0">
                  <c:v>决算数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cat>
            <c:strRef>
              <c:f>Sheet1!$A$2:$A$5</c:f>
              <c:strCache>
                <c:ptCount val="2"/>
                <c:pt idx="0">
                  <c:v>2020年预算</c:v>
                </c:pt>
                <c:pt idx="1">
                  <c:v>2020年决算</c:v>
                </c:pt>
              </c:strCache>
            </c:strRef>
          </c:cat>
          <c:val>
            <c:numRef>
              <c:f>Sheet1!$C$2:$C$5</c:f>
              <c:numCache>
                <c:formatCode>General</c:formatCode>
                <c:ptCount val="4"/>
                <c:pt idx="0">
                  <c:v>0</c:v>
                </c:pt>
                <c:pt idx="1">
                  <c:v>0</c:v>
                </c:pt>
              </c:numCache>
            </c:numRef>
          </c:val>
        </c:ser>
        <c:ser>
          <c:idx val="2"/>
          <c:order val="2"/>
          <c:tx>
            <c:strRef>
              <c:f>Sheet1!$D$1</c:f>
              <c:strCache>
                <c:ptCount val="1"/>
                <c:pt idx="0">
                  <c:v>列1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elete val="1"/>
          </c:dLbls>
          <c:cat>
            <c:strRef>
              <c:f>Sheet1!$A$2:$A$5</c:f>
              <c:strCache>
                <c:ptCount val="2"/>
                <c:pt idx="0">
                  <c:v>2020年预算</c:v>
                </c:pt>
                <c:pt idx="1">
                  <c:v>2020年决算</c:v>
                </c:pt>
              </c:strCache>
            </c:strRef>
          </c:cat>
          <c:val>
            <c:numRef>
              <c:f>Sheet1!$D$2:$D$5</c:f>
              <c:numCache>
                <c:formatCode>General</c:formatCode>
                <c:ptCount val="4"/>
              </c:numCache>
            </c:numRef>
          </c:val>
        </c:ser>
        <c:dLbls>
          <c:showLegendKey val="0"/>
          <c:showVal val="0"/>
          <c:showCatName val="0"/>
          <c:showSerName val="0"/>
          <c:showPercent val="0"/>
          <c:showBubbleSize val="0"/>
        </c:dLbls>
        <c:gapWidth val="100"/>
        <c:overlap val="-24"/>
        <c:axId val="709118840"/>
        <c:axId val="709121136"/>
      </c:barChart>
      <c:catAx>
        <c:axId val="709118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09121136"/>
        <c:crosses val="autoZero"/>
        <c:auto val="1"/>
        <c:lblAlgn val="ctr"/>
        <c:lblOffset val="100"/>
        <c:noMultiLvlLbl val="0"/>
      </c:catAx>
      <c:valAx>
        <c:axId val="7091211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09118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公务用车购置支出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delete val="1"/>
          </c:dLbls>
          <c:cat>
            <c:strRef>
              <c:f>Sheet1!$A$2:$A$5</c:f>
              <c:strCache>
                <c:ptCount val="2"/>
                <c:pt idx="0">
                  <c:v>2020年预算</c:v>
                </c:pt>
                <c:pt idx="1">
                  <c:v>2020年决算</c:v>
                </c:pt>
              </c:strCache>
            </c:strRef>
          </c:cat>
          <c:val>
            <c:numRef>
              <c:f>Sheet1!$B$2:$B$5</c:f>
              <c:numCache>
                <c:formatCode>General</c:formatCode>
                <c:ptCount val="4"/>
                <c:pt idx="0">
                  <c:v>0</c:v>
                </c:pt>
                <c:pt idx="1">
                  <c:v>0</c:v>
                </c:pt>
              </c:numCache>
            </c:numRef>
          </c:val>
        </c:ser>
        <c:ser>
          <c:idx val="1"/>
          <c:order val="1"/>
          <c:tx>
            <c:strRef>
              <c:f>Sheet1!$C$1</c:f>
              <c:strCache>
                <c:ptCount val="1"/>
                <c:pt idx="0">
                  <c:v>决算数</c:v>
                </c:pt>
              </c:strCache>
            </c:strRef>
          </c:tx>
          <c:spPr>
            <a:solidFill>
              <a:schemeClr val="accent2"/>
            </a:solidFill>
            <a:ln>
              <a:noFill/>
            </a:ln>
            <a:effectLst/>
          </c:spPr>
          <c:invertIfNegative val="0"/>
          <c:dLbls>
            <c:delete val="1"/>
          </c:dLbls>
          <c:cat>
            <c:strRef>
              <c:f>Sheet1!$A$2:$A$5</c:f>
              <c:strCache>
                <c:ptCount val="2"/>
                <c:pt idx="0">
                  <c:v>2020年预算</c:v>
                </c:pt>
                <c:pt idx="1">
                  <c:v>2020年决算</c:v>
                </c:pt>
              </c:strCache>
            </c:strRef>
          </c:cat>
          <c:val>
            <c:numRef>
              <c:f>Sheet1!$C$2:$C$5</c:f>
              <c:numCache>
                <c:formatCode>General</c:formatCode>
                <c:ptCount val="4"/>
                <c:pt idx="0">
                  <c:v>0</c:v>
                </c:pt>
                <c:pt idx="1">
                  <c:v>0</c:v>
                </c:pt>
              </c:numCache>
            </c:numRef>
          </c:val>
        </c:ser>
        <c:ser>
          <c:idx val="2"/>
          <c:order val="2"/>
          <c:tx>
            <c:strRef>
              <c:f>Sheet1!$D$1</c:f>
              <c:strCache>
                <c:ptCount val="1"/>
                <c:pt idx="0">
                  <c:v>列1</c:v>
                </c:pt>
              </c:strCache>
            </c:strRef>
          </c:tx>
          <c:spPr>
            <a:solidFill>
              <a:schemeClr val="accent3"/>
            </a:solidFill>
            <a:ln>
              <a:noFill/>
            </a:ln>
            <a:effectLst/>
          </c:spPr>
          <c:invertIfNegative val="0"/>
          <c:dLbls>
            <c:delete val="1"/>
          </c:dLbls>
          <c:cat>
            <c:strRef>
              <c:f>Sheet1!$A$2:$A$5</c:f>
              <c:strCache>
                <c:ptCount val="2"/>
                <c:pt idx="0">
                  <c:v>2020年预算</c:v>
                </c:pt>
                <c:pt idx="1">
                  <c:v>2020年决算</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axId val="709118840"/>
        <c:axId val="709121136"/>
      </c:barChart>
      <c:catAx>
        <c:axId val="70911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121136"/>
        <c:crosses val="autoZero"/>
        <c:auto val="1"/>
        <c:lblAlgn val="ctr"/>
        <c:lblOffset val="100"/>
        <c:noMultiLvlLbl val="0"/>
      </c:catAx>
      <c:valAx>
        <c:axId val="70912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118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公务用车运行维护费用支出情况</a:t>
            </a:r>
            <a:endParaRPr 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公务用车运行维护费用支出情况</c:v>
                </c:pt>
              </c:strCache>
            </c:strRef>
          </c:tx>
          <c:spPr>
            <a:solidFill>
              <a:schemeClr val="accent1"/>
            </a:solidFill>
            <a:ln w="19050">
              <a:solidFill>
                <a:schemeClr val="lt1"/>
              </a:solid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预算数</c:v>
                </c:pt>
                <c:pt idx="1">
                  <c:v>决算数</c:v>
                </c:pt>
              </c:strCache>
            </c:strRef>
          </c:cat>
          <c:val>
            <c:numRef>
              <c:f>Sheet1!$B$2:$B$3</c:f>
              <c:numCache>
                <c:formatCode>General</c:formatCode>
                <c:ptCount val="2"/>
                <c:pt idx="0">
                  <c:v>24.81</c:v>
                </c:pt>
                <c:pt idx="1">
                  <c:v>9.21</c:v>
                </c:pt>
              </c:numCache>
            </c:numRef>
          </c:val>
        </c:ser>
        <c:dLbls>
          <c:showLegendKey val="0"/>
          <c:showVal val="0"/>
          <c:showCatName val="0"/>
          <c:showSerName val="0"/>
          <c:showPercent val="0"/>
          <c:showBubbleSize val="0"/>
        </c:dLbls>
        <c:gapWidth val="100"/>
        <c:axId val="266785152"/>
        <c:axId val="266779264"/>
      </c:barChart>
      <c:catAx>
        <c:axId val="2667851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779264"/>
        <c:crosses val="autoZero"/>
        <c:auto val="1"/>
        <c:lblAlgn val="ctr"/>
        <c:lblOffset val="100"/>
        <c:noMultiLvlLbl val="0"/>
      </c:catAx>
      <c:valAx>
        <c:axId val="2667792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785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976D4-E8C1-4D51-B797-05AA930C81C4}">
  <ds:schemaRefs/>
</ds:datastoreItem>
</file>

<file path=docProps/app.xml><?xml version="1.0" encoding="utf-8"?>
<Properties xmlns="http://schemas.openxmlformats.org/officeDocument/2006/extended-properties" xmlns:vt="http://schemas.openxmlformats.org/officeDocument/2006/docPropsVTypes">
  <Template>Normal</Template>
  <Pages>40</Pages>
  <Words>1862</Words>
  <Characters>10620</Characters>
  <Lines>88</Lines>
  <Paragraphs>24</Paragraphs>
  <TotalTime>2</TotalTime>
  <ScaleCrop>false</ScaleCrop>
  <LinksUpToDate>false</LinksUpToDate>
  <CharactersWithSpaces>12458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2021-10-17T01:38:00Z</dcterms:created>
  <dc:creator>Administrator</dc:creator>
  <cp:lastModifiedBy>_DDD</cp:lastModifiedBy>
  <cp:lastPrinted>2021-10-08T08:56:00Z</cp:lastPrinted>
  <dcterms:modified xsi:type="dcterms:W3CDTF">2021-10-19T07:04:13Z</dcterms:modified>
  <dc:title>杨陵区财政局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