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杨陵区卫生健康局2019年部门决算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640" w:firstLineChars="200"/>
        <w:rPr>
          <w:rFonts w:ascii="仿宋_GB2312" w:hAnsi="仿宋_GB2312" w:eastAsia="仿宋_GB2312"/>
          <w:sz w:val="32"/>
        </w:rPr>
      </w:pPr>
      <w:r>
        <w:rPr>
          <w:rFonts w:hint="eastAsia" w:ascii="仿宋_GB2312" w:hAnsi="仿宋_GB2312" w:eastAsia="仿宋_GB2312"/>
          <w:sz w:val="32"/>
        </w:rPr>
        <w:t>1.贯彻国家卫生健康工作的法律法规和政策规定，组织拟订全区国民健康政策，协调推进健康杨陵建设</w:t>
      </w:r>
      <w:r>
        <w:rPr>
          <w:rFonts w:ascii="仿宋_GB2312" w:hAnsi="仿宋_GB2312" w:eastAsia="仿宋_GB2312"/>
          <w:sz w:val="32"/>
        </w:rPr>
        <w:t>;</w:t>
      </w:r>
      <w:r>
        <w:rPr>
          <w:rFonts w:hint="eastAsia" w:ascii="仿宋_GB2312" w:hAnsi="仿宋_GB2312" w:eastAsia="仿宋_GB2312"/>
          <w:sz w:val="32"/>
        </w:rPr>
        <w:t>拟订全区卫生健康规划和政策措施。统筹规划全区卫生健康资源配置</w:t>
      </w:r>
      <w:r>
        <w:rPr>
          <w:rFonts w:ascii="仿宋_GB2312" w:hAnsi="仿宋_GB2312" w:eastAsia="仿宋_GB2312"/>
          <w:sz w:val="32"/>
        </w:rPr>
        <w:t>;</w:t>
      </w:r>
      <w:r>
        <w:rPr>
          <w:rFonts w:hint="eastAsia" w:ascii="仿宋_GB2312" w:hAnsi="仿宋_GB2312" w:eastAsia="仿宋_GB2312"/>
          <w:sz w:val="32"/>
        </w:rPr>
        <w:t>指导区域卫生健康规划编制和实施。负责卫生健康信息化建设，依法组织实施统计调查。制定并组织实施推进卫生健康基本公共服务均等化、普惠化、便捷化和公共资源向基层延伸等政策措施。</w:t>
      </w:r>
    </w:p>
    <w:p>
      <w:pPr>
        <w:ind w:firstLine="640" w:firstLineChars="200"/>
        <w:rPr>
          <w:rFonts w:ascii="仿宋_GB2312" w:hAnsi="仿宋_GB2312" w:eastAsia="仿宋_GB2312"/>
          <w:sz w:val="32"/>
        </w:rPr>
      </w:pPr>
      <w:r>
        <w:rPr>
          <w:rFonts w:hint="eastAsia" w:ascii="仿宋_GB2312" w:hAnsi="仿宋_GB2312" w:eastAsia="仿宋_GB2312"/>
          <w:sz w:val="32"/>
        </w:rPr>
        <w:t>2.协调推进深化医药卫生体制改革，贯彻落实国家深化医药卫生体制改革重大方针政策</w:t>
      </w:r>
      <w:r>
        <w:rPr>
          <w:rFonts w:ascii="仿宋_GB2312" w:hAnsi="仿宋_GB2312" w:eastAsia="仿宋_GB2312"/>
          <w:sz w:val="32"/>
        </w:rPr>
        <w:t>;</w:t>
      </w:r>
      <w:r>
        <w:rPr>
          <w:rFonts w:hint="eastAsia" w:ascii="仿宋_GB2312" w:hAnsi="仿宋_GB2312" w:eastAsia="仿宋_GB2312"/>
          <w:sz w:val="32"/>
        </w:rPr>
        <w:t>研究提出全区深化医药卫生体制改革重大政策、措施的建议</w:t>
      </w:r>
      <w:r>
        <w:rPr>
          <w:rFonts w:ascii="仿宋_GB2312" w:hAnsi="仿宋_GB2312" w:eastAsia="仿宋_GB2312"/>
          <w:sz w:val="32"/>
        </w:rPr>
        <w:t>;</w:t>
      </w:r>
      <w:r>
        <w:rPr>
          <w:rFonts w:hint="eastAsia" w:ascii="仿宋_GB2312" w:hAnsi="仿宋_GB2312" w:eastAsia="仿宋_GB2312"/>
          <w:sz w:val="32"/>
        </w:rPr>
        <w:t>组织深化公立医院综合改革，健全现代医院管理制度</w:t>
      </w:r>
      <w:r>
        <w:rPr>
          <w:rFonts w:ascii="仿宋_GB2312" w:hAnsi="仿宋_GB2312" w:eastAsia="仿宋_GB2312"/>
          <w:sz w:val="32"/>
        </w:rPr>
        <w:t>;</w:t>
      </w:r>
      <w:r>
        <w:rPr>
          <w:rFonts w:hint="eastAsia" w:ascii="仿宋_GB2312" w:hAnsi="仿宋_GB2312" w:eastAsia="仿宋_GB2312"/>
          <w:sz w:val="32"/>
        </w:rPr>
        <w:t>制定并实施推动卫生健康公共服务提供主体多元化、方式多样化的政策措施，提出全区医疗服务和药品价格政策的建议。</w:t>
      </w:r>
    </w:p>
    <w:p>
      <w:pPr>
        <w:ind w:firstLine="640" w:firstLineChars="200"/>
        <w:rPr>
          <w:rFonts w:ascii="仿宋_GB2312" w:hAnsi="仿宋_GB2312" w:eastAsia="仿宋_GB2312"/>
          <w:sz w:val="32"/>
        </w:rPr>
      </w:pPr>
      <w:r>
        <w:rPr>
          <w:rFonts w:hint="eastAsia" w:ascii="仿宋_GB2312" w:hAnsi="仿宋_GB2312" w:eastAsia="仿宋_GB2312"/>
          <w:sz w:val="32"/>
        </w:rPr>
        <w:t>3.制定并组织落实全区疾病预防控制规划、国家免疫规划以及严重危害人民健康公共卫生问题的干预措施</w:t>
      </w:r>
      <w:r>
        <w:rPr>
          <w:rFonts w:ascii="仿宋_GB2312" w:hAnsi="仿宋_GB2312" w:eastAsia="仿宋_GB2312"/>
          <w:sz w:val="32"/>
        </w:rPr>
        <w:t>;</w:t>
      </w:r>
      <w:r>
        <w:rPr>
          <w:rFonts w:hint="eastAsia" w:ascii="仿宋_GB2312" w:hAnsi="仿宋_GB2312" w:eastAsia="仿宋_GB2312"/>
          <w:sz w:val="32"/>
        </w:rPr>
        <w:t>负责卫生应急工作，组织指导全区突发公共卫生事件的预防控制和各类突发公共事件的医疗卫生救援。</w:t>
      </w:r>
    </w:p>
    <w:p>
      <w:pPr>
        <w:ind w:firstLine="640" w:firstLineChars="200"/>
        <w:rPr>
          <w:rFonts w:ascii="仿宋_GB2312" w:hAnsi="仿宋_GB2312" w:eastAsia="仿宋_GB2312"/>
          <w:sz w:val="32"/>
        </w:rPr>
      </w:pPr>
      <w:r>
        <w:rPr>
          <w:rFonts w:hint="eastAsia" w:ascii="仿宋_GB2312" w:hAnsi="仿宋_GB2312" w:eastAsia="仿宋_GB2312"/>
          <w:sz w:val="32"/>
        </w:rPr>
        <w:t>4.组织拟订并协调落实应对人口老龄化政策措施</w:t>
      </w:r>
      <w:r>
        <w:rPr>
          <w:rFonts w:ascii="仿宋_GB2312" w:hAnsi="仿宋_GB2312" w:eastAsia="仿宋_GB2312"/>
          <w:sz w:val="32"/>
        </w:rPr>
        <w:t>;</w:t>
      </w:r>
      <w:r>
        <w:rPr>
          <w:rFonts w:hint="eastAsia" w:ascii="仿宋_GB2312" w:hAnsi="仿宋_GB2312" w:eastAsia="仿宋_GB2312"/>
          <w:sz w:val="32"/>
        </w:rPr>
        <w:t>负责推进全区老年健康服务体系建设和医养结合工作，推动老龄事业和产业发展，促进医疗与旅游、体育、食品和互联网等行业深度融合。</w:t>
      </w:r>
    </w:p>
    <w:p>
      <w:pPr>
        <w:ind w:firstLine="640" w:firstLineChars="200"/>
        <w:rPr>
          <w:rFonts w:ascii="仿宋_GB2312" w:hAnsi="仿宋_GB2312" w:eastAsia="仿宋_GB2312"/>
          <w:sz w:val="32"/>
        </w:rPr>
      </w:pPr>
      <w:r>
        <w:rPr>
          <w:rFonts w:hint="eastAsia" w:ascii="仿宋_GB2312" w:hAnsi="仿宋_GB2312" w:eastAsia="仿宋_GB2312"/>
          <w:sz w:val="32"/>
        </w:rPr>
        <w:t>5.组织实施国家药物政策和国家基本药物制度，拟订全区药物政策，执行国家药品法典和国家基本药物目录，开展药品使用监测、临床综合评价和短缺药品预警，提出基本药物生产鼓励扶持政策建议。</w:t>
      </w:r>
    </w:p>
    <w:p>
      <w:pPr>
        <w:ind w:firstLine="640" w:firstLineChars="200"/>
        <w:rPr>
          <w:rFonts w:ascii="仿宋_GB2312" w:hAnsi="仿宋_GB2312" w:eastAsia="仿宋_GB2312"/>
          <w:sz w:val="32"/>
        </w:rPr>
      </w:pPr>
      <w:r>
        <w:rPr>
          <w:rFonts w:hint="eastAsia" w:ascii="仿宋_GB2312" w:hAnsi="仿宋_GB2312" w:eastAsia="仿宋_GB2312"/>
          <w:sz w:val="32"/>
        </w:rPr>
        <w:t>6.负责职责范围内的职业卫生、放射卫生、学校卫生、公共场所卫生、饮用水卫生监督</w:t>
      </w:r>
      <w:r>
        <w:rPr>
          <w:rFonts w:ascii="仿宋_GB2312" w:hAnsi="仿宋_GB2312" w:eastAsia="仿宋_GB2312"/>
          <w:sz w:val="32"/>
        </w:rPr>
        <w:t>;</w:t>
      </w:r>
      <w:r>
        <w:rPr>
          <w:rFonts w:hint="eastAsia" w:ascii="仿宋_GB2312" w:hAnsi="仿宋_GB2312" w:eastAsia="仿宋_GB2312"/>
          <w:sz w:val="32"/>
        </w:rPr>
        <w:t>负责传染病防治监督，建立健全卫生健康综合监督体系</w:t>
      </w:r>
      <w:r>
        <w:rPr>
          <w:rFonts w:ascii="仿宋_GB2312" w:hAnsi="仿宋_GB2312" w:eastAsia="仿宋_GB2312"/>
          <w:sz w:val="32"/>
        </w:rPr>
        <w:t>;</w:t>
      </w:r>
      <w:r>
        <w:rPr>
          <w:rFonts w:hint="eastAsia" w:ascii="仿宋_GB2312" w:hAnsi="仿宋_GB2312" w:eastAsia="仿宋_GB2312"/>
          <w:sz w:val="32"/>
        </w:rPr>
        <w:t>组织实施食品安全风险监测</w:t>
      </w:r>
      <w:r>
        <w:rPr>
          <w:rFonts w:ascii="仿宋_GB2312" w:hAnsi="仿宋_GB2312" w:eastAsia="仿宋_GB2312"/>
          <w:sz w:val="32"/>
        </w:rPr>
        <w:t>;</w:t>
      </w:r>
      <w:r>
        <w:rPr>
          <w:rFonts w:hint="eastAsia" w:ascii="仿宋_GB2312" w:hAnsi="仿宋_GB2312" w:eastAsia="仿宋_GB2312"/>
          <w:sz w:val="32"/>
        </w:rPr>
        <w:t>牵头《烟草控制框架公约》履约工作。</w:t>
      </w:r>
    </w:p>
    <w:p>
      <w:pPr>
        <w:ind w:firstLine="640" w:firstLineChars="200"/>
        <w:rPr>
          <w:rFonts w:ascii="仿宋_GB2312" w:hAnsi="仿宋_GB2312" w:eastAsia="仿宋_GB2312"/>
          <w:sz w:val="32"/>
        </w:rPr>
      </w:pPr>
      <w:r>
        <w:rPr>
          <w:rFonts w:hint="eastAsia" w:ascii="仿宋_GB2312" w:hAnsi="仿宋_GB2312" w:eastAsia="仿宋_GB2312"/>
          <w:sz w:val="32"/>
        </w:rPr>
        <w:t>7.负责制定全区医疗机构、医疗服务行业管理办法并监督实施</w:t>
      </w:r>
      <w:r>
        <w:rPr>
          <w:rFonts w:ascii="仿宋_GB2312" w:hAnsi="仿宋_GB2312" w:eastAsia="仿宋_GB2312"/>
          <w:sz w:val="32"/>
        </w:rPr>
        <w:t>;</w:t>
      </w:r>
      <w:r>
        <w:rPr>
          <w:rFonts w:hint="eastAsia" w:ascii="仿宋_GB2312" w:hAnsi="仿宋_GB2312" w:eastAsia="仿宋_GB2312"/>
          <w:sz w:val="32"/>
        </w:rPr>
        <w:t>建立健全医疗服务评价和监督管理体系</w:t>
      </w:r>
      <w:r>
        <w:rPr>
          <w:rFonts w:ascii="仿宋_GB2312" w:hAnsi="仿宋_GB2312" w:eastAsia="仿宋_GB2312"/>
          <w:sz w:val="32"/>
        </w:rPr>
        <w:t>;</w:t>
      </w:r>
      <w:r>
        <w:rPr>
          <w:rFonts w:hint="eastAsia" w:ascii="仿宋_GB2312" w:hAnsi="仿宋_GB2312" w:eastAsia="仿宋_GB2312"/>
          <w:sz w:val="32"/>
        </w:rPr>
        <w:t>会同有关部门贯彻执行卫生健康专业技术人员资格准入标准</w:t>
      </w:r>
      <w:r>
        <w:rPr>
          <w:rFonts w:ascii="仿宋_GB2312" w:hAnsi="仿宋_GB2312" w:eastAsia="仿宋_GB2312"/>
          <w:sz w:val="32"/>
        </w:rPr>
        <w:t>;</w:t>
      </w:r>
      <w:r>
        <w:rPr>
          <w:rFonts w:hint="eastAsia" w:ascii="仿宋_GB2312" w:hAnsi="仿宋_GB2312" w:eastAsia="仿宋_GB2312"/>
          <w:sz w:val="32"/>
        </w:rPr>
        <w:t>制定全区医疗机构及其医疗服务、医疗技术、医疗质量、医疗安全以及采供血机构管理的规范、标准和卫生健康专业技术人员执业规则、服务规范，并组织实施。</w:t>
      </w:r>
    </w:p>
    <w:p>
      <w:pPr>
        <w:ind w:firstLine="640" w:firstLineChars="200"/>
        <w:rPr>
          <w:rFonts w:ascii="仿宋_GB2312" w:hAnsi="仿宋_GB2312" w:eastAsia="仿宋_GB2312"/>
          <w:sz w:val="32"/>
        </w:rPr>
      </w:pPr>
      <w:r>
        <w:rPr>
          <w:rFonts w:hint="eastAsia" w:ascii="仿宋_GB2312" w:hAnsi="仿宋_GB2312" w:eastAsia="仿宋_GB2312"/>
          <w:sz w:val="32"/>
        </w:rPr>
        <w:t>8.贯彻落实全区计划生育政策，负责计划生育管理和服务工作，开展人口监测预警，研究提出人口与家庭发展相关政策建议，制定优生优育和提高出生人口素质的政策措施并组织实施。</w:t>
      </w:r>
    </w:p>
    <w:p>
      <w:pPr>
        <w:ind w:firstLine="640" w:firstLineChars="200"/>
        <w:rPr>
          <w:rFonts w:ascii="仿宋_GB2312" w:hAnsi="仿宋_GB2312" w:eastAsia="仿宋_GB2312"/>
          <w:sz w:val="32"/>
        </w:rPr>
      </w:pPr>
      <w:r>
        <w:rPr>
          <w:rFonts w:hint="eastAsia" w:ascii="仿宋_GB2312" w:hAnsi="仿宋_GB2312" w:eastAsia="仿宋_GB2312"/>
          <w:sz w:val="32"/>
        </w:rPr>
        <w:t>9.拟订并组织实施全区基层卫生健康服务、妇幼健康发展规划和政策措施，指导基层医疗卫生、妇幼健康服务体系建设</w:t>
      </w:r>
      <w:r>
        <w:rPr>
          <w:rFonts w:ascii="仿宋_GB2312" w:hAnsi="仿宋_GB2312" w:eastAsia="仿宋_GB2312"/>
          <w:sz w:val="32"/>
        </w:rPr>
        <w:t>;</w:t>
      </w:r>
      <w:r>
        <w:rPr>
          <w:rFonts w:hint="eastAsia" w:ascii="仿宋_GB2312" w:hAnsi="仿宋_GB2312" w:eastAsia="仿宋_GB2312"/>
          <w:sz w:val="32"/>
        </w:rPr>
        <w:t>建立健全基层卫生健康机构运行新机制和乡村医生管理制度。</w:t>
      </w:r>
    </w:p>
    <w:p>
      <w:pPr>
        <w:ind w:firstLine="640" w:firstLineChars="200"/>
        <w:rPr>
          <w:rFonts w:ascii="仿宋_GB2312" w:hAnsi="仿宋_GB2312" w:eastAsia="仿宋_GB2312"/>
          <w:sz w:val="32"/>
        </w:rPr>
      </w:pPr>
      <w:r>
        <w:rPr>
          <w:rFonts w:hint="eastAsia" w:ascii="仿宋_GB2312" w:hAnsi="仿宋_GB2312" w:eastAsia="仿宋_GB2312"/>
          <w:sz w:val="32"/>
        </w:rPr>
        <w:t>10.组织拟订全区卫生键康人才发展和科技发展规划，指导卫生健康人才队伍建设，推进卫生健康科技创新发展。</w:t>
      </w:r>
    </w:p>
    <w:p>
      <w:pPr>
        <w:ind w:firstLine="640" w:firstLineChars="200"/>
        <w:rPr>
          <w:rFonts w:ascii="仿宋_GB2312" w:hAnsi="仿宋_GB2312" w:eastAsia="仿宋_GB2312"/>
          <w:sz w:val="32"/>
        </w:rPr>
      </w:pPr>
      <w:r>
        <w:rPr>
          <w:rFonts w:hint="eastAsia" w:ascii="仿宋_GB2312" w:hAnsi="仿宋_GB2312" w:eastAsia="仿宋_GB2312"/>
          <w:sz w:val="32"/>
        </w:rPr>
        <w:t>11.负责卫生健康宣传、健康教育、健康促进等工作。</w:t>
      </w:r>
    </w:p>
    <w:p>
      <w:pPr>
        <w:ind w:firstLine="640" w:firstLineChars="200"/>
        <w:rPr>
          <w:rFonts w:ascii="仿宋_GB2312" w:hAnsi="仿宋_GB2312" w:eastAsia="仿宋_GB2312"/>
          <w:sz w:val="32"/>
        </w:rPr>
      </w:pPr>
      <w:r>
        <w:rPr>
          <w:rFonts w:hint="eastAsia" w:ascii="仿宋_GB2312" w:hAnsi="仿宋_GB2312" w:eastAsia="仿宋_GB2312"/>
          <w:sz w:val="32"/>
        </w:rPr>
        <w:t>12.负责本行业领域的安全生产监督管理工作。</w:t>
      </w:r>
    </w:p>
    <w:p>
      <w:pPr>
        <w:ind w:firstLine="480" w:firstLineChars="150"/>
        <w:rPr>
          <w:rFonts w:ascii="仿宋_GB2312" w:hAnsi="仿宋_GB2312" w:eastAsia="仿宋_GB2312"/>
          <w:sz w:val="32"/>
        </w:rPr>
      </w:pPr>
      <w:r>
        <w:rPr>
          <w:rFonts w:hint="eastAsia" w:ascii="仿宋_GB2312" w:hAnsi="仿宋_GB2312" w:eastAsia="仿宋_GB2312"/>
          <w:sz w:val="32"/>
        </w:rPr>
        <w:t xml:space="preserve"> 13.承担区爱国卫生运动委员会日常工作，贯彻执行爱国卫生工作规划、标准、规范。</w:t>
      </w:r>
    </w:p>
    <w:p>
      <w:pPr>
        <w:ind w:firstLine="480" w:firstLineChars="150"/>
        <w:rPr>
          <w:rFonts w:ascii="仿宋_GB2312" w:hAnsi="仿宋_GB2312" w:eastAsia="仿宋_GB2312"/>
          <w:sz w:val="32"/>
        </w:rPr>
      </w:pPr>
      <w:r>
        <w:rPr>
          <w:rFonts w:hint="eastAsia" w:ascii="仿宋_GB2312" w:hAnsi="仿宋_GB2312" w:eastAsia="仿宋_GB2312"/>
          <w:sz w:val="32"/>
        </w:rPr>
        <w:t xml:space="preserve"> 14.完成区委、区政府和上级部门交办的其他工作。</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15.职能转变。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供服务质量和水平，推进卫生健康基本公共服务均等化、普惠化、便捷化。四是协调推进深化医药卫生体制改革，加大公立医院综合改革力度，推进管办分离，推动卫生健康公共服务提供主体多元化、提供方式多样化。</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_GB2312" w:hAnsi="仿宋_GB2312" w:eastAsia="仿宋_GB2312"/>
          <w:sz w:val="32"/>
        </w:rPr>
      </w:pPr>
      <w:r>
        <w:rPr>
          <w:rFonts w:hint="eastAsia" w:ascii="仿宋_GB2312" w:hAnsi="仿宋_GB2312" w:eastAsia="仿宋_GB2312"/>
          <w:sz w:val="32"/>
        </w:rPr>
        <w:t>本部门下设局机关1个行政单位，卫生监督所、疾控中心、爱卫办、流动办、妇计中心、五胡路社区卫生服务中心、凤岗路社区卫生服务中心、农科路社区卫生服务中心、揉谷卫生院和五泉卫生院10个事业单位。</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纳入2019年本部门决算编制范围的单位共11个，包括本级及所属10个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681" w:type="dxa"/>
          </w:tcPr>
          <w:p>
            <w:pPr>
              <w:jc w:val="center"/>
              <w:rPr>
                <w:rFonts w:ascii="黑体" w:hAnsi="黑体" w:eastAsia="黑体"/>
                <w:sz w:val="32"/>
                <w:szCs w:val="32"/>
              </w:rPr>
            </w:pPr>
            <w:r>
              <w:rPr>
                <w:rFonts w:hint="eastAsia" w:ascii="黑体" w:hAnsi="黑体" w:eastAsia="黑体"/>
                <w:sz w:val="32"/>
                <w:szCs w:val="32"/>
              </w:rPr>
              <w:t>序号</w:t>
            </w:r>
          </w:p>
        </w:tc>
        <w:tc>
          <w:tcPr>
            <w:tcW w:w="7278" w:type="dxa"/>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杨陵区卫生健康局（本级）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杨陵区爱国卫生运动委员会办公室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杨陵区流动人口计划生育办公室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杨陵区五胡路社区卫生服务中心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杨陵区凤岗路社区卫生服务中心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杨陵区农科路社区卫生服务中心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杨陵区揉谷卫生院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727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杨陵区五泉卫生院</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截止2019年底，本部门人员编制156人，其中行政编制5人、事业编制151人；实有人员124人，其中行政10人、事业114人。单位管理的离退休人员53人。</w:t>
      </w:r>
    </w:p>
    <w:p>
      <w:pPr>
        <w:widowControl/>
        <w:spacing w:beforeLines="100"/>
        <w:jc w:val="center"/>
        <w:rPr>
          <w:sz w:val="44"/>
          <w:szCs w:val="44"/>
        </w:rPr>
      </w:pPr>
      <w:r>
        <w:rPr>
          <w:rFonts w:ascii="黑体" w:hAnsi="宋体" w:eastAsia="黑体"/>
          <w:color w:val="000000"/>
          <w:kern w:val="0"/>
          <w:sz w:val="44"/>
          <w:szCs w:val="44"/>
        </w:rPr>
        <w:t>第二部分 2019年度部门决算表</w:t>
      </w:r>
    </w:p>
    <w:tbl>
      <w:tblPr>
        <w:tblStyle w:val="10"/>
        <w:tblpPr w:leftFromText="180" w:rightFromText="180" w:vertAnchor="text" w:horzAnchor="page" w:tblpX="1472" w:tblpY="1123"/>
        <w:tblOverlap w:val="never"/>
        <w:tblW w:w="9087" w:type="dxa"/>
        <w:tblInd w:w="0" w:type="dxa"/>
        <w:tblLayout w:type="fixed"/>
        <w:tblCellMar>
          <w:top w:w="0" w:type="dxa"/>
          <w:left w:w="0" w:type="dxa"/>
          <w:bottom w:w="0" w:type="dxa"/>
          <w:right w:w="0" w:type="dxa"/>
        </w:tblCellMar>
      </w:tblPr>
      <w:tblGrid>
        <w:gridCol w:w="735"/>
        <w:gridCol w:w="4110"/>
        <w:gridCol w:w="1047"/>
        <w:gridCol w:w="3195"/>
      </w:tblGrid>
      <w:tr>
        <w:tblPrEx>
          <w:tblLayout w:type="fixed"/>
          <w:tblCellMar>
            <w:top w:w="0" w:type="dxa"/>
            <w:left w:w="0" w:type="dxa"/>
            <w:bottom w:w="0" w:type="dxa"/>
            <w:right w:w="0"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Layout w:type="fixed"/>
          <w:tblCellMar>
            <w:top w:w="0" w:type="dxa"/>
            <w:left w:w="0" w:type="dxa"/>
            <w:bottom w:w="0" w:type="dxa"/>
            <w:right w:w="0" w:type="dxa"/>
          </w:tblCellMar>
        </w:tblPrEx>
        <w:trPr>
          <w:trHeight w:val="49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2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1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05"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0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3"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2"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本部门无政府性基金预算收支</w:t>
            </w:r>
          </w:p>
        </w:tc>
      </w:tr>
    </w:tbl>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杨陵区卫生健康局                                    金额单位：万元</w:t>
      </w:r>
    </w:p>
    <w:tbl>
      <w:tblPr>
        <w:tblStyle w:val="10"/>
        <w:tblW w:w="8884" w:type="dxa"/>
        <w:tblInd w:w="0" w:type="dxa"/>
        <w:tblLayout w:type="fixed"/>
        <w:tblCellMar>
          <w:top w:w="15" w:type="dxa"/>
          <w:left w:w="15" w:type="dxa"/>
          <w:bottom w:w="15" w:type="dxa"/>
          <w:right w:w="15" w:type="dxa"/>
        </w:tblCellMar>
      </w:tblPr>
      <w:tblGrid>
        <w:gridCol w:w="3388"/>
        <w:gridCol w:w="1080"/>
        <w:gridCol w:w="3090"/>
        <w:gridCol w:w="1326"/>
      </w:tblGrid>
      <w:tr>
        <w:tblPrEx>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106.65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1960.57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5374.28</w:t>
            </w: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47.92</w:t>
            </w: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w:t>
            </w: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5598.69</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5447.67</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189.44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340.46</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5788.13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5788.13</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编制部门：杨陵区卫生健康局                                         金额单位：万元</w:t>
      </w:r>
    </w:p>
    <w:tbl>
      <w:tblPr>
        <w:tblStyle w:val="10"/>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Layout w:type="fixed"/>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5598.69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106.65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1960.57</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群众团体事务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2012999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其他群众团体事务支出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残疾人事业</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2081104</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残疾人康复</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4.76</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其他残疾人事业支出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5526.02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3477.70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106.65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1941.68</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344.37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183.50</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其他卫生健康管理事务支出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183.50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183.50</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基层医疗卫生机构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1924.92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1177.38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106.65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640.89</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732.71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351.32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95.41</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285.98</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766.52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516.53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244.99</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425.68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6.24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109.92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1995.63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1217.68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777.95</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87.55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816.37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532.62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283.74</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330.99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97.47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233.51</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332.20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73.51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258.69</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281.09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270.49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10.60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57.27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10.00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223.82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223.22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801.59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160.84</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801.59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160.84</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167.90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178.42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167.90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节能环保支出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9.88</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自然生态保护</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9.88</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2110402</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农村环境保护</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9.88</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w:t>
            </w:r>
            <w:r>
              <w:rPr>
                <w:rFonts w:ascii="宋体" w:hAnsi="宋体" w:cs="宋体"/>
                <w:color w:val="000000"/>
                <w:szCs w:val="21"/>
              </w:rPr>
              <w:tab/>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22960</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彩票公益金安排的支出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2296006</w:t>
            </w:r>
            <w:r>
              <w:rPr>
                <w:rFonts w:ascii="宋体" w:hAnsi="宋体" w:cs="宋体"/>
                <w:color w:val="000000"/>
                <w:szCs w:val="21"/>
              </w:rPr>
              <w:tab/>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用于残疾人事业的彩票公益金支出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编制部门：杨陵区卫生健康局                                          金额单位：万元</w:t>
      </w:r>
    </w:p>
    <w:tbl>
      <w:tblPr>
        <w:tblStyle w:val="10"/>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Layout w:type="fixed"/>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Layout w:type="fixed"/>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5447.67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1674.20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3773.47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群众团体事务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2012999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其他群众团体事务支出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残疾人事业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2081104</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残疾人康复</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2081199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其他残疾人事业支出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5374.28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1674.20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3700.08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344.85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163.02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181.84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163.02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163.02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181.84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181.84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基层医疗卫生机构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1796.34</w:t>
            </w: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right"/>
              <w:rPr>
                <w:rFonts w:ascii="宋体" w:hAnsi="宋体" w:cs="宋体"/>
                <w:color w:val="000000"/>
                <w:szCs w:val="21"/>
              </w:rPr>
            </w:pPr>
            <w:r>
              <w:rPr>
                <w:rFonts w:hint="eastAsia" w:ascii="宋体" w:hAnsi="宋体" w:cs="宋体"/>
                <w:color w:val="000000"/>
                <w:szCs w:val="21"/>
              </w:rPr>
              <w:t>857.37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938.97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637.66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351.32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286.34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713.65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506.05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207.60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445.04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445.03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1987.73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570.78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1416.95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87.55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816.37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816.37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328.69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328.69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326.61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56.71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269.89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中医药</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2100601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中医（民族医）药专项</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389.70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83.03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306.67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57.27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332.43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83.03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249.40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801.19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801.19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801.19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801.19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45.45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节能环保支出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47.92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47.92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21103</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污染防治</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2110301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大气</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自然生态保护</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2110402</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农村环境保护</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w:t>
            </w:r>
            <w:r>
              <w:rPr>
                <w:rFonts w:ascii="宋体" w:hAnsi="宋体" w:cs="宋体"/>
                <w:color w:val="000000"/>
                <w:szCs w:val="21"/>
              </w:rPr>
              <w:tab/>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22960</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彩票公益金安排的支出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2296006</w:t>
            </w:r>
            <w:r>
              <w:rPr>
                <w:rFonts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用于残疾人事业的彩票公益金支出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10"/>
        <w:tblW w:w="8700" w:type="dxa"/>
        <w:tblInd w:w="0" w:type="dxa"/>
        <w:tblLayout w:type="fixed"/>
        <w:tblCellMar>
          <w:top w:w="15" w:type="dxa"/>
          <w:left w:w="15" w:type="dxa"/>
          <w:bottom w:w="15" w:type="dxa"/>
          <w:right w:w="15" w:type="dxa"/>
        </w:tblCellMar>
      </w:tblPr>
      <w:tblGrid>
        <w:gridCol w:w="1705"/>
        <w:gridCol w:w="1145"/>
        <w:gridCol w:w="2694"/>
        <w:gridCol w:w="1070"/>
        <w:gridCol w:w="1102"/>
        <w:gridCol w:w="984"/>
      </w:tblGrid>
      <w:tr>
        <w:tblPrEx>
          <w:tblLayout w:type="fixed"/>
          <w:tblCellMar>
            <w:top w:w="15" w:type="dxa"/>
            <w:left w:w="15" w:type="dxa"/>
            <w:bottom w:w="15" w:type="dxa"/>
            <w:right w:w="15" w:type="dxa"/>
          </w:tblCellMar>
        </w:tblPrEx>
        <w:trPr>
          <w:trHeight w:val="367"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8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12.55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3477.69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3477.69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37.32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3.91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3531.47</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r>
              <w:rPr>
                <w:rFonts w:hint="eastAsia" w:ascii="宋体" w:hAnsi="宋体" w:cs="宋体"/>
                <w:color w:val="000000"/>
                <w:kern w:val="0"/>
                <w:szCs w:val="21"/>
              </w:rPr>
              <w:t>3531.47</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一、一般公共预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二、政府性基金预</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r>
              <w:rPr>
                <w:rFonts w:hint="eastAsia" w:ascii="宋体" w:hAnsi="宋体" w:cs="宋体"/>
                <w:color w:val="000000"/>
                <w:kern w:val="0"/>
                <w:szCs w:val="21"/>
              </w:rPr>
              <w:t>3531.47</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070"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r>
              <w:rPr>
                <w:rFonts w:hint="eastAsia" w:ascii="宋体" w:hAnsi="宋体" w:cs="宋体"/>
                <w:color w:val="000000"/>
                <w:kern w:val="0"/>
                <w:szCs w:val="21"/>
              </w:rPr>
              <w:t>3531.47</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rPr>
          <w:rFonts w:ascii="宋体" w:hAnsi="宋体" w:cs="宋体"/>
          <w:b/>
          <w:bCs/>
          <w:szCs w:val="21"/>
        </w:rPr>
      </w:pPr>
    </w:p>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10"/>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3531.47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1672.05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1634.08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1859.42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20129</w:t>
            </w:r>
            <w:r>
              <w:rPr>
                <w:rFonts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群众团体事务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2012999</w:t>
            </w:r>
            <w:r>
              <w:rPr>
                <w:rFonts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  其他群众团体事务支出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12.55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210</w:t>
            </w:r>
            <w:r>
              <w:rPr>
                <w:rFonts w:ascii="宋体" w:hAnsi="宋体" w:cs="宋体"/>
                <w:color w:val="000000"/>
                <w:kern w:val="0"/>
                <w:szCs w:val="21"/>
              </w:rPr>
              <w:tab/>
            </w:r>
            <w:r>
              <w:rPr>
                <w:rFonts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3477.69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1672.05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1634.08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1805.64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卫生健康管理事务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140.17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2100101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160.87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140.17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基层医疗卫生机构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1177.38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857.37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851.71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320.01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城市社区卫生机构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351.32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351.32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348.49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2100302</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乡镇卫生院</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516.53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506.05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503.22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10.48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2100399</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其他基层医疗卫生机构支出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309.53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公共卫生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1217.68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570.78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559.93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646.90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疾病预防控制机构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179.18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175.98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2100402</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卫生监督机构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85.55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83.50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2100403</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妇幼保健机构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249.34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244.74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2100408</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基本公共卫生服务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532.62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532.62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2100409</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重大公共卫生专项</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97.47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97.47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2100499</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其他公共卫生支出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56.71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55.74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0.97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16.80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270.49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83.03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187.46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2100717</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计划生育服务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47.27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2100799</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其他计划生育事务支出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223.22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83.03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82.23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140.19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老龄卫生健康事务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2101601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老龄卫生健康事务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640.75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2109901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节能环保支出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自然生态保护</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2110402</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农村环境保护</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37.32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w:t>
            </w:r>
            <w:r>
              <w:rPr>
                <w:rFonts w:ascii="宋体" w:hAnsi="宋体" w:cs="宋体"/>
                <w:color w:val="000000"/>
                <w:szCs w:val="21"/>
              </w:rPr>
              <w:tab/>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城乡社区环境卫生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ascii="宋体" w:hAnsi="宋体" w:cs="宋体"/>
                <w:color w:val="000000"/>
                <w:szCs w:val="21"/>
              </w:rPr>
              <w:t>2120501</w:t>
            </w:r>
            <w:r>
              <w:rPr>
                <w:rFonts w:ascii="宋体" w:hAns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城乡社区环境卫生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10"/>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1672.05</w:t>
            </w:r>
          </w:p>
        </w:tc>
        <w:tc>
          <w:tcPr>
            <w:tcW w:w="1437"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1634.08</w:t>
            </w:r>
          </w:p>
        </w:tc>
        <w:tc>
          <w:tcPr>
            <w:tcW w:w="1363" w:type="dxa"/>
            <w:tcBorders>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37.98</w:t>
            </w:r>
          </w:p>
        </w:tc>
        <w:tc>
          <w:tcPr>
            <w:tcW w:w="1155"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1620.49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1620.49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513.24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513.24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234.37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234.37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7.38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408.92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408.92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143.13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143.13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161.69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161.69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37.98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公务接待费</w:t>
            </w:r>
          </w:p>
          <w:p>
            <w:pPr>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6.89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10"/>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11.03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5.66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5.37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5.37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w:t>
            </w: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6.57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2.53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4.04</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4.04</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1.58</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7.87</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编制部门：杨陵区卫生健康局                                            金额单位：万元</w:t>
      </w:r>
    </w:p>
    <w:tbl>
      <w:tblPr>
        <w:tblStyle w:val="10"/>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ind w:firstLine="420" w:firstLineChars="200"/>
        <w:jc w:val="center"/>
        <w:rPr>
          <w:rFonts w:ascii="仿宋_GB2312" w:hAnsi="仿宋" w:eastAsia="仿宋_GB2312" w:cs="仿宋_GB2312"/>
          <w:sz w:val="32"/>
          <w:szCs w:val="32"/>
        </w:rPr>
      </w:pPr>
      <w:r>
        <w:drawing>
          <wp:inline distT="0" distB="0" distL="0" distR="0">
            <wp:extent cx="4685665" cy="29711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685714" cy="2971429"/>
                    </a:xfrm>
                    <a:prstGeom prst="rect">
                      <a:avLst/>
                    </a:prstGeom>
                  </pic:spPr>
                </pic:pic>
              </a:graphicData>
            </a:graphic>
          </wp:inline>
        </w:drawing>
      </w:r>
    </w:p>
    <w:p>
      <w:pPr>
        <w:widowControl/>
        <w:ind w:firstLine="640" w:firstLineChars="200"/>
        <w:jc w:val="center"/>
        <w:rPr>
          <w:rFonts w:ascii="仿宋_GB2312" w:hAnsi="仿宋" w:eastAsia="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9年部门总收入5598.69万元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w:t>
      </w:r>
      <w:r>
        <w:rPr>
          <w:rFonts w:ascii="仿宋_GB2312" w:hAnsi="仿宋" w:eastAsia="仿宋_GB2312" w:cs="仿宋_GB2312"/>
          <w:sz w:val="32"/>
          <w:szCs w:val="32"/>
        </w:rPr>
        <w:t>5286.64</w:t>
      </w:r>
      <w:r>
        <w:rPr>
          <w:rFonts w:hint="eastAsia" w:ascii="仿宋_GB2312" w:hAnsi="仿宋" w:eastAsia="仿宋_GB2312" w:cs="仿宋_GB2312"/>
          <w:sz w:val="32"/>
          <w:szCs w:val="32"/>
        </w:rPr>
        <w:t>万元增加312.05万元，主要原因为机构整合新划入高龄老人健康保健补贴项目；总支出5447.67万元，较上年</w:t>
      </w:r>
      <w:r>
        <w:rPr>
          <w:rFonts w:ascii="仿宋_GB2312" w:hAnsi="仿宋" w:eastAsia="仿宋_GB2312" w:cs="仿宋_GB2312"/>
          <w:sz w:val="32"/>
          <w:szCs w:val="32"/>
        </w:rPr>
        <w:t>5391.63</w:t>
      </w:r>
      <w:r>
        <w:rPr>
          <w:rFonts w:hint="eastAsia" w:ascii="仿宋_GB2312" w:hAnsi="仿宋" w:eastAsia="仿宋_GB2312" w:cs="仿宋_GB2312"/>
          <w:sz w:val="32"/>
          <w:szCs w:val="32"/>
        </w:rPr>
        <w:t>万元增加56.04万元，主要原因为机构整合新划入高龄老人健康保健补贴项目。</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420" w:firstLineChars="200"/>
        <w:jc w:val="center"/>
        <w:rPr>
          <w:rFonts w:ascii="仿宋_GB2312" w:hAnsi="仿宋_GB2312" w:eastAsia="仿宋_GB2312" w:cs="仿宋_GB2312"/>
          <w:sz w:val="32"/>
          <w:szCs w:val="32"/>
        </w:rPr>
      </w:pPr>
      <w:r>
        <w:drawing>
          <wp:inline distT="0" distB="0" distL="0" distR="0">
            <wp:extent cx="4295140" cy="26663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95238" cy="2666667"/>
                    </a:xfrm>
                    <a:prstGeom prst="rect">
                      <a:avLst/>
                    </a:prstGeom>
                  </pic:spPr>
                </pic:pic>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收入合计</w:t>
      </w:r>
      <w:r>
        <w:rPr>
          <w:rFonts w:hint="eastAsia" w:ascii="仿宋_GB2312" w:hAnsi="仿宋" w:eastAsia="仿宋_GB2312" w:cs="仿宋_GB2312"/>
          <w:sz w:val="32"/>
          <w:szCs w:val="32"/>
        </w:rPr>
        <w:t>5598.69</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3531.47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63.08</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106.65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1.90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1960.57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35.02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ind w:firstLine="420" w:firstLineChars="200"/>
        <w:jc w:val="center"/>
        <w:rPr>
          <w:rFonts w:ascii="仿宋_GB2312" w:hAnsi="宋体" w:eastAsia="仿宋_GB2312" w:cs="仿宋_GB2312"/>
          <w:color w:val="000000"/>
          <w:kern w:val="0"/>
          <w:sz w:val="32"/>
          <w:szCs w:val="32"/>
        </w:rPr>
      </w:pPr>
      <w:r>
        <w:drawing>
          <wp:inline distT="0" distB="0" distL="0" distR="0">
            <wp:extent cx="4095115" cy="26663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095238" cy="2666667"/>
                    </a:xfrm>
                    <a:prstGeom prst="rect">
                      <a:avLst/>
                    </a:prstGeom>
                  </pic:spPr>
                </pic:pic>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支出合计</w:t>
      </w:r>
      <w:r>
        <w:rPr>
          <w:rFonts w:hint="eastAsia" w:ascii="仿宋_GB2312" w:hAnsi="仿宋" w:eastAsia="仿宋_GB2312" w:cs="仿宋_GB2312"/>
          <w:sz w:val="32"/>
          <w:szCs w:val="32"/>
        </w:rPr>
        <w:t>5447.67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1674.20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30.73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3773.47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69.27</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四、财政拨款入支出决算总体情况说明</w:t>
      </w:r>
    </w:p>
    <w:p>
      <w:pPr>
        <w:widowControl/>
        <w:ind w:firstLine="420" w:firstLineChars="200"/>
        <w:jc w:val="center"/>
        <w:rPr>
          <w:rFonts w:ascii="仿宋_GB2312" w:hAnsi="仿宋" w:eastAsia="仿宋_GB2312" w:cs="仿宋_GB2312"/>
          <w:sz w:val="32"/>
          <w:szCs w:val="32"/>
        </w:rPr>
      </w:pPr>
      <w:r>
        <w:drawing>
          <wp:inline distT="0" distB="0" distL="114300" distR="114300">
            <wp:extent cx="4933315" cy="3361690"/>
            <wp:effectExtent l="0" t="0" r="63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933315" cy="3361690"/>
                    </a:xfrm>
                    <a:prstGeom prst="rect">
                      <a:avLst/>
                    </a:prstGeom>
                    <a:noFill/>
                    <a:ln w="9525">
                      <a:noFill/>
                      <a:miter/>
                    </a:ln>
                  </pic:spPr>
                </pic:pic>
              </a:graphicData>
            </a:graphic>
          </wp:inline>
        </w:drawing>
      </w:r>
    </w:p>
    <w:p>
      <w:pPr>
        <w:widowControl/>
        <w:ind w:firstLine="640" w:firstLineChars="200"/>
        <w:jc w:val="left"/>
        <w:rPr>
          <w:rFonts w:ascii="仿宋_GB2312" w:hAnsi="仿宋" w:eastAsia="仿宋_GB2312"/>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9年部门</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cs="仿宋_GB2312"/>
          <w:sz w:val="32"/>
          <w:szCs w:val="32"/>
        </w:rPr>
        <w:t>3531.47万元</w:t>
      </w:r>
      <w:r>
        <w:rPr>
          <w:rFonts w:ascii="仿宋_GB2312" w:hAnsi="仿宋" w:eastAsia="仿宋_GB2312" w:cs="仿宋_GB2312"/>
          <w:sz w:val="32"/>
          <w:szCs w:val="32"/>
        </w:rPr>
        <w:t>,</w:t>
      </w:r>
      <w:r>
        <w:rPr>
          <w:rFonts w:hint="eastAsia" w:ascii="仿宋_GB2312" w:hAnsi="仿宋" w:eastAsia="仿宋_GB2312" w:cs="仿宋_GB2312"/>
          <w:sz w:val="32"/>
          <w:szCs w:val="32"/>
        </w:rPr>
        <w:t>较上年3530.95万元增加0.52万元，主要原因为人员调资；</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cs="仿宋_GB2312"/>
          <w:sz w:val="32"/>
          <w:szCs w:val="32"/>
        </w:rPr>
        <w:t>3531.47万元，较上年3537.15万元减少5.68万元，主要原因为机构整合人员划出及到龄退休人员减少。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420" w:firstLineChars="200"/>
        <w:jc w:val="center"/>
        <w:rPr>
          <w:rFonts w:ascii="仿宋_GB2312" w:hAnsi="仿宋_GB2312" w:eastAsia="仿宋_GB2312" w:cs="仿宋_GB2312"/>
          <w:sz w:val="32"/>
          <w:szCs w:val="32"/>
        </w:rPr>
      </w:pPr>
      <w:r>
        <w:drawing>
          <wp:inline distT="0" distB="0" distL="0" distR="0">
            <wp:extent cx="3723640" cy="25996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3723809" cy="2600000"/>
                    </a:xfrm>
                    <a:prstGeom prst="rect">
                      <a:avLst/>
                    </a:prstGeom>
                  </pic:spPr>
                </pic:pic>
              </a:graphicData>
            </a:graphic>
          </wp:inline>
        </w:drawing>
      </w:r>
    </w:p>
    <w:p>
      <w:pPr>
        <w:ind w:firstLine="640" w:firstLineChars="200"/>
      </w:pPr>
      <w:r>
        <w:rPr>
          <w:rFonts w:ascii="仿宋_GB2312" w:hAnsi="宋体" w:eastAsia="仿宋_GB2312" w:cs="仿宋_GB2312"/>
          <w:color w:val="000000"/>
          <w:kern w:val="0"/>
          <w:sz w:val="32"/>
          <w:szCs w:val="32"/>
        </w:rPr>
        <w:t>2019 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财政拨款支出</w:t>
      </w:r>
      <w:r>
        <w:rPr>
          <w:rFonts w:hint="eastAsia" w:ascii="仿宋_GB2312" w:hAnsi="仿宋" w:eastAsia="仿宋_GB2312" w:cs="仿宋_GB2312"/>
          <w:sz w:val="32"/>
          <w:szCs w:val="32"/>
        </w:rPr>
        <w:t>3531.47</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64.83</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仿宋" w:eastAsia="仿宋_GB2312" w:cs="仿宋_GB2312"/>
          <w:sz w:val="32"/>
          <w:szCs w:val="32"/>
        </w:rPr>
        <w:t>5.68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减少0.16</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cs="仿宋_GB2312"/>
          <w:sz w:val="32"/>
          <w:szCs w:val="32"/>
        </w:rPr>
        <w:t>机构整合人员划出及到龄退休人员减少。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财政拨款支出年初预算为</w:t>
      </w:r>
      <w:r>
        <w:rPr>
          <w:rFonts w:hint="eastAsia" w:ascii="仿宋_GB2312" w:hAnsi="宋体" w:eastAsia="仿宋_GB2312" w:cs="仿宋_GB2312"/>
          <w:color w:val="000000"/>
          <w:kern w:val="0"/>
          <w:sz w:val="32"/>
          <w:szCs w:val="32"/>
        </w:rPr>
        <w:t>1943.14</w:t>
      </w:r>
      <w:r>
        <w:rPr>
          <w:rFonts w:ascii="仿宋_GB2312" w:hAnsi="宋体" w:eastAsia="仿宋_GB2312" w:cs="仿宋_GB2312"/>
          <w:color w:val="000000"/>
          <w:kern w:val="0"/>
          <w:sz w:val="32"/>
          <w:szCs w:val="32"/>
        </w:rPr>
        <w:t>万元，支出决算为</w:t>
      </w:r>
      <w:r>
        <w:rPr>
          <w:rFonts w:hint="eastAsia" w:ascii="仿宋_GB2312" w:hAnsi="仿宋" w:eastAsia="仿宋_GB2312" w:cs="仿宋_GB2312"/>
          <w:sz w:val="32"/>
          <w:szCs w:val="32"/>
        </w:rPr>
        <w:t>3531.47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181.74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rPr>
        <w:t>群众团体事务支出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其他群众团体事务支出</w:t>
      </w:r>
      <w:r>
        <w:rPr>
          <w:rFonts w:ascii="仿宋_GB2312" w:hAnsi="宋体" w:eastAsia="仿宋_GB2312" w:cs="仿宋_GB2312"/>
          <w:b/>
          <w:color w:val="000000"/>
          <w:kern w:val="0"/>
          <w:sz w:val="32"/>
          <w:szCs w:val="32"/>
        </w:rPr>
        <w:t xml:space="preserve">（项）。 </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12.55</w:t>
      </w:r>
      <w:r>
        <w:rPr>
          <w:rFonts w:ascii="仿宋_GB2312" w:hAnsi="宋体" w:eastAsia="仿宋_GB2312" w:cs="仿宋_GB2312"/>
          <w:color w:val="000000"/>
          <w:kern w:val="0"/>
          <w:sz w:val="32"/>
          <w:szCs w:val="32"/>
        </w:rPr>
        <w:t>万元。决算数大于预算数的主要原因是</w:t>
      </w:r>
      <w:r>
        <w:rPr>
          <w:rFonts w:hint="eastAsia" w:ascii="仿宋_GB2312" w:hAnsi="宋体" w:eastAsia="仿宋_GB2312" w:cs="仿宋_GB2312"/>
          <w:color w:val="000000"/>
          <w:kern w:val="0"/>
          <w:sz w:val="32"/>
          <w:szCs w:val="32"/>
        </w:rPr>
        <w:t>该科目下核算的是区妇联划转的村级妇联主任工资补助，不是本部门预算项目。</w:t>
      </w:r>
    </w:p>
    <w:p>
      <w:pPr>
        <w:widowControl/>
        <w:ind w:firstLine="640" w:firstLineChars="200"/>
        <w:jc w:val="left"/>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卫生健康管理事务</w:t>
      </w:r>
      <w:r>
        <w:rPr>
          <w:rFonts w:ascii="仿宋_GB2312" w:hAnsi="宋体" w:eastAsia="仿宋_GB2312" w:cs="仿宋_GB2312"/>
          <w:b/>
          <w:color w:val="000000"/>
          <w:kern w:val="0"/>
          <w:sz w:val="32"/>
          <w:szCs w:val="32"/>
        </w:rPr>
        <w:t xml:space="preserve">（款）行政运行（项）。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161.18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160.87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99.81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机构整合人员减少，相应人员经费和公用经费减少。</w:t>
      </w:r>
    </w:p>
    <w:p>
      <w:pPr>
        <w:widowControl/>
        <w:ind w:firstLine="640" w:firstLineChars="200"/>
        <w:jc w:val="left"/>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城市社区卫生机构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304.99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351.32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115.19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新招聘医学类本科毕业生，人员经费相应增加。</w:t>
      </w:r>
    </w:p>
    <w:p>
      <w:pPr>
        <w:widowControl/>
        <w:ind w:firstLine="640" w:firstLineChars="200"/>
        <w:jc w:val="left"/>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乡镇卫生院</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399.33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516.53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129.35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新招聘医学类本科毕业生，人员经费相应增加。</w:t>
      </w:r>
    </w:p>
    <w:p>
      <w:pPr>
        <w:widowControl/>
        <w:ind w:firstLine="640" w:firstLineChars="200"/>
        <w:jc w:val="left"/>
      </w:pP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基层医疗卫生机构</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其他基层医疗卫生机构支出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33.75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309.53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917.13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该科目下核算的国家基本药物制度补助包含中省、示范区补助275.78万元。</w:t>
      </w:r>
    </w:p>
    <w:p>
      <w:pPr>
        <w:widowControl/>
        <w:ind w:firstLine="640" w:firstLineChars="200"/>
        <w:jc w:val="left"/>
      </w:pPr>
      <w:r>
        <w:rPr>
          <w:rFonts w:hint="eastAsia" w:ascii="仿宋_GB2312" w:hAnsi="宋体" w:eastAsia="仿宋_GB2312" w:cs="仿宋_GB2312"/>
          <w:color w:val="000000"/>
          <w:kern w:val="0"/>
          <w:sz w:val="32"/>
          <w:szCs w:val="32"/>
        </w:rPr>
        <w:t>6</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疾病预防控制机构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177.28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179.18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101.07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w:t>
      </w:r>
    </w:p>
    <w:p>
      <w:pPr>
        <w:widowControl/>
        <w:ind w:firstLine="640" w:firstLineChars="200"/>
        <w:jc w:val="left"/>
      </w:pPr>
      <w:r>
        <w:rPr>
          <w:rFonts w:hint="eastAsia" w:ascii="仿宋_GB2312" w:hAnsi="宋体" w:eastAsia="仿宋_GB2312" w:cs="仿宋_GB2312"/>
          <w:color w:val="000000"/>
          <w:kern w:val="0"/>
          <w:sz w:val="32"/>
          <w:szCs w:val="32"/>
        </w:rPr>
        <w:t>7</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卫生监督机构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77.70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85.55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110.10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w:t>
      </w:r>
    </w:p>
    <w:p>
      <w:pPr>
        <w:widowControl/>
        <w:ind w:firstLine="640" w:firstLineChars="200"/>
        <w:jc w:val="left"/>
      </w:pP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妇幼保健机构</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204.90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249.34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121.69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人员调资。</w:t>
      </w:r>
    </w:p>
    <w:p>
      <w:pPr>
        <w:widowControl/>
        <w:ind w:firstLine="640" w:firstLineChars="200"/>
        <w:jc w:val="left"/>
      </w:pP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基本公共卫生服务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532.62</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年初区级预算无基本公共卫生服务补助，决算计入中省补助。</w:t>
      </w:r>
    </w:p>
    <w:p>
      <w:pPr>
        <w:widowControl/>
        <w:ind w:firstLine="640" w:firstLineChars="200"/>
        <w:jc w:val="left"/>
      </w:pP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重大公共卫生专项</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97.47</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年初区级预算无重大公共卫生补助，决算计入中省补助。</w:t>
      </w:r>
    </w:p>
    <w:p>
      <w:pPr>
        <w:widowControl/>
        <w:ind w:firstLine="640" w:firstLineChars="200"/>
        <w:jc w:val="left"/>
      </w:pPr>
      <w:r>
        <w:rPr>
          <w:rFonts w:hint="eastAsia" w:ascii="仿宋_GB2312" w:hAnsi="宋体" w:eastAsia="仿宋_GB2312" w:cs="仿宋_GB2312"/>
          <w:color w:val="000000"/>
          <w:kern w:val="0"/>
          <w:sz w:val="32"/>
          <w:szCs w:val="32"/>
        </w:rPr>
        <w:t>11</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公共卫生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其他公共卫生支出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53.15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73.51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138.31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年初区级预算该科目下仅为人员经费和公用经费等基本支出，决算计入中省补助。</w:t>
      </w:r>
    </w:p>
    <w:p>
      <w:pPr>
        <w:widowControl/>
        <w:ind w:firstLine="640" w:firstLineChars="200"/>
        <w:jc w:val="left"/>
      </w:pPr>
      <w:r>
        <w:rPr>
          <w:rFonts w:hint="eastAsia" w:ascii="仿宋_GB2312" w:hAnsi="宋体" w:eastAsia="仿宋_GB2312" w:cs="仿宋_GB2312"/>
          <w:color w:val="000000"/>
          <w:kern w:val="0"/>
          <w:sz w:val="32"/>
          <w:szCs w:val="32"/>
        </w:rPr>
        <w:t>12</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计划生育事务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计划生育事务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47.27</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该科目下核算的计划生育奖扶年初区级无预算，决算计入中省补助。</w:t>
      </w:r>
    </w:p>
    <w:p>
      <w:pPr>
        <w:widowControl/>
        <w:ind w:firstLine="640" w:firstLineChars="200"/>
        <w:jc w:val="left"/>
      </w:pP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计划生育事务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其他计划生育事务支出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287.70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223.22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77.59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该科目下核算的计生事业费主要用于镇办计生人员工资补助等划转各镇办，本部门决算收支减少。</w:t>
      </w:r>
    </w:p>
    <w:p>
      <w:pPr>
        <w:widowControl/>
        <w:ind w:firstLine="640" w:firstLineChars="200"/>
        <w:jc w:val="left"/>
      </w:pPr>
      <w:r>
        <w:rPr>
          <w:rFonts w:hint="eastAsia" w:ascii="仿宋_GB2312" w:hAnsi="宋体" w:eastAsia="仿宋_GB2312" w:cs="仿宋_GB2312"/>
          <w:color w:val="000000"/>
          <w:kern w:val="0"/>
          <w:sz w:val="32"/>
          <w:szCs w:val="32"/>
        </w:rPr>
        <w:t>14</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老龄卫生健康事务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老龄卫生健康事务</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640.75</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大于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该科目下核算的高龄老人生活保健补贴为2019年3月机构整合后由区民政局划入项目，年初本部门无此预算。</w:t>
      </w:r>
    </w:p>
    <w:p>
      <w:pPr>
        <w:widowControl/>
        <w:ind w:firstLine="640" w:firstLineChars="200"/>
        <w:jc w:val="left"/>
      </w:pPr>
      <w:r>
        <w:rPr>
          <w:rFonts w:hint="eastAsia" w:ascii="仿宋_GB2312" w:hAnsi="宋体" w:eastAsia="仿宋_GB2312" w:cs="仿宋_GB2312"/>
          <w:color w:val="000000"/>
          <w:kern w:val="0"/>
          <w:sz w:val="32"/>
          <w:szCs w:val="32"/>
        </w:rPr>
        <w:t>15</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卫生健康支出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其他卫生健康支出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其他卫生健康支出</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10.53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52.65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该科目下核算的中德二期卫生项目实际还款数按照国家进出口银行浮动汇率计算，近年还款额基本维持在10万元至20万元之间。</w:t>
      </w:r>
    </w:p>
    <w:p>
      <w:pPr>
        <w:widowControl/>
        <w:ind w:firstLine="640" w:firstLineChars="200"/>
        <w:jc w:val="left"/>
      </w:pPr>
      <w:r>
        <w:rPr>
          <w:rFonts w:hint="eastAsia" w:ascii="仿宋_GB2312" w:hAnsi="宋体" w:eastAsia="仿宋_GB2312" w:cs="仿宋_GB2312"/>
          <w:color w:val="000000"/>
          <w:kern w:val="0"/>
          <w:sz w:val="32"/>
          <w:szCs w:val="32"/>
        </w:rPr>
        <w:t>16</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节能环保支出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自然生态保护</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农村环境卫生</w:t>
      </w:r>
      <w:r>
        <w:rPr>
          <w:rFonts w:ascii="仿宋_GB2312" w:hAnsi="宋体" w:eastAsia="仿宋_GB2312" w:cs="仿宋_GB2312"/>
          <w:b/>
          <w:color w:val="000000"/>
          <w:kern w:val="0"/>
          <w:sz w:val="32"/>
          <w:szCs w:val="32"/>
        </w:rPr>
        <w:t xml:space="preserve">（项）。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218.16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37.32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17.11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该科目下核算的农村环境卫生治理和农村保洁员工资补助大部分划转各镇办，本部门决算收支减少。</w:t>
      </w:r>
    </w:p>
    <w:p>
      <w:pPr>
        <w:widowControl/>
        <w:ind w:firstLine="640" w:firstLineChars="200"/>
        <w:jc w:val="left"/>
      </w:pPr>
      <w:r>
        <w:rPr>
          <w:rFonts w:hint="eastAsia" w:ascii="仿宋_GB2312" w:hAnsi="宋体" w:eastAsia="仿宋_GB2312" w:cs="仿宋_GB2312"/>
          <w:color w:val="000000"/>
          <w:kern w:val="0"/>
          <w:sz w:val="32"/>
          <w:szCs w:val="32"/>
        </w:rPr>
        <w:t>17</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城乡社区支出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城乡社区环境卫生</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城乡社区环境卫生</w:t>
      </w:r>
      <w:r>
        <w:rPr>
          <w:rFonts w:ascii="仿宋_GB2312" w:hAnsi="宋体" w:eastAsia="仿宋_GB2312" w:cs="仿宋_GB2312"/>
          <w:b/>
          <w:color w:val="000000"/>
          <w:kern w:val="0"/>
          <w:sz w:val="32"/>
          <w:szCs w:val="32"/>
        </w:rPr>
        <w:t xml:space="preserve">（项）。 </w:t>
      </w:r>
    </w:p>
    <w:p>
      <w:pPr>
        <w:widowControl/>
        <w:ind w:firstLine="640" w:firstLineChars="200"/>
        <w:jc w:val="left"/>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3.91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rPr>
        <w:t>78.20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该科目下核算的国家卫生区复验专项经费部分划转各镇办，本部门决算收支减少。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部门</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1672.05</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1634.08</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37.98</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1634.08</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513.24万元、津贴补贴137.12万元、奖金234.37万元、伙食补助费7.38万元、绩效工资408.92万元、机关事业单位基本养老保险缴费143.13万元、住房公积金161.69万元、医疗费14.63万元、抚恤金6.89万元、生活补助6.09万元、奖励金0.61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37.98</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rPr>
        <w:t>4.51万元、印刷费0.28万元、手续费0.04万元、水费0.39万元、电费2.15万元、邮电费4.17万元、差旅费3.67万元、维修（护）费0.06万元、公务接待费1.23万元、劳务费0.12万元、委托业务费2.3万元、工会经费14.35万元、公务用车运行维护费1.94万元、其他交通费用1.69万元、其他商品和服务支出1.08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“三公”经费财政拨款支出预算为</w:t>
      </w:r>
      <w:r>
        <w:rPr>
          <w:rFonts w:hint="eastAsia" w:ascii="仿宋_GB2312" w:hAnsi="宋体" w:eastAsia="仿宋_GB2312" w:cs="仿宋_GB2312"/>
          <w:color w:val="000000"/>
          <w:kern w:val="0"/>
          <w:sz w:val="32"/>
          <w:szCs w:val="32"/>
        </w:rPr>
        <w:t>12.73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6.57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51.61</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减少6.16万元，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严格控制“三公”经费，“三公”经费支出减少。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360" w:lineRule="auto"/>
        <w:ind w:firstLine="420" w:firstLineChars="200"/>
        <w:jc w:val="center"/>
        <w:rPr>
          <w:rFonts w:ascii="仿宋_GB2312" w:hAnsi="仿宋_GB2312" w:eastAsia="仿宋_GB2312" w:cs="仿宋_GB2312"/>
          <w:sz w:val="32"/>
          <w:szCs w:val="32"/>
        </w:rPr>
      </w:pPr>
      <w:r>
        <w:drawing>
          <wp:inline distT="0" distB="0" distL="114300" distR="114300">
            <wp:extent cx="4304665" cy="27235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304665" cy="2723515"/>
                    </a:xfrm>
                    <a:prstGeom prst="rect">
                      <a:avLst/>
                    </a:prstGeom>
                    <a:noFill/>
                    <a:ln w="9525">
                      <a:noFill/>
                      <a:miter/>
                    </a:ln>
                  </pic:spPr>
                </pic:pic>
              </a:graphicData>
            </a:graphic>
          </wp:inline>
        </w:drawing>
      </w:r>
    </w:p>
    <w:p>
      <w:pPr>
        <w:widowControl/>
        <w:ind w:firstLine="640" w:firstLineChars="200"/>
        <w:jc w:val="left"/>
      </w:pPr>
      <w:r>
        <w:rPr>
          <w:rFonts w:ascii="仿宋_GB2312" w:hAnsi="宋体" w:eastAsia="仿宋_GB2312" w:cs="仿宋_GB2312"/>
          <w:color w:val="000000"/>
          <w:kern w:val="0"/>
          <w:sz w:val="32"/>
          <w:szCs w:val="32"/>
        </w:rPr>
        <w:t>2019年</w:t>
      </w:r>
      <w:r>
        <w:rPr>
          <w:rFonts w:hint="eastAsia" w:ascii="仿宋_GB2312" w:hAnsi="宋体" w:eastAsia="仿宋_GB2312" w:cs="仿宋_GB2312"/>
          <w:color w:val="000000"/>
          <w:kern w:val="0"/>
          <w:sz w:val="32"/>
          <w:szCs w:val="32"/>
        </w:rPr>
        <w:t>部门</w:t>
      </w:r>
      <w:r>
        <w:rPr>
          <w:rFonts w:ascii="仿宋_GB2312" w:hAnsi="宋体" w:eastAsia="仿宋_GB2312" w:cs="仿宋_GB2312"/>
          <w:color w:val="000000"/>
          <w:kern w:val="0"/>
          <w:sz w:val="32"/>
          <w:szCs w:val="32"/>
        </w:rPr>
        <w:t>“三公”经费财政拨款支出决算中，因公出国（境）费支出决算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4.04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61.49</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2.53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38.51</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2019年部门因公出国（境）团组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2019年部门购置车辆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2019年部门</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6.17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4.04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65.48%，决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减少2.13万元，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严格控制“三公”经费，公共预算拨款公务用车运行维护费减少。</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2019年部门公务接待</w:t>
      </w:r>
      <w:r>
        <w:rPr>
          <w:rFonts w:hint="eastAsia" w:ascii="仿宋_GB2312" w:hAnsi="仿宋_GB2312" w:eastAsia="仿宋_GB2312" w:cs="仿宋_GB2312"/>
          <w:sz w:val="32"/>
          <w:szCs w:val="32"/>
        </w:rPr>
        <w:t>40批次，191人次，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6.56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2.53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38.57%，决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减少4.03万元，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严格控制“三公”经费，公共预算拨款公务接待费减少。。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2019年部门</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7.87</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增加7.87万元，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培训费年初无预算，根据业务需要适时举办。</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2019年部门</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1.58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增加1.58万元，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会议费年初无预算，本部门组织的会议基本为以会带训的培训会，支出实为“培训费”。</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2504.86</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70.93</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spacing w:line="580" w:lineRule="exac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1.国家基本药物制度补助</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425.68</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420.64</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98.82</w:t>
      </w:r>
      <w:r>
        <w:rPr>
          <w:rFonts w:ascii="仿宋_GB2312" w:hAnsi="仿宋_GB2312" w:eastAsia="仿宋_GB2312" w:cs="仿宋_GB2312"/>
          <w:color w:val="000000"/>
          <w:kern w:val="0"/>
          <w:sz w:val="31"/>
          <w:szCs w:val="31"/>
        </w:rPr>
        <w:t>%。主要产出和效果：通过项目实施</w:t>
      </w:r>
      <w:r>
        <w:rPr>
          <w:rFonts w:hint="eastAsia" w:ascii="仿宋" w:hAnsi="仿宋" w:eastAsia="仿宋" w:cs="仿宋"/>
          <w:color w:val="000000"/>
          <w:sz w:val="30"/>
          <w:szCs w:val="30"/>
        </w:rPr>
        <w:t>全区药品“三统一”在基层医疗机构覆盖率达100%，群众看病难看病贵问题得到进一步缓解</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一是部分药品生产企业没有点击配送确认，导致药品无法正常配送。二是药品备案率超过5%（现平均达35%）。三是药品配送率过低（均达80%）。四是部分药品有空缺及涨价幅度大。五是卫生院、社区卫生服务中心回款不及时。六是基本药物制度宣传力度不够，基层卫生管理人员和医务人员对国家基本药物制度的政策、规定和有关规范要求缺乏了解。七是村卫生室基本药物工作有待进一步加强和规范</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一是加强培训，促进基本药物合理使用。进一步提高基层药品“三统一”工作人员政策理解和执行能力；加强对各专干的业务培训，从而熟练的掌握平台操作流程。提高各级医务人员合理使用基本药物水平，重点加大对村级卫生室培训力度，改变乡村医生的不良用药习惯，保障群众基本用药安全。二是加强沟通联系。进一步加大与配送企业及上级联合体的沟通，确保各类药品配送率、及时率达到新高度。确保群众及时、安全、低廉的用药需求三是提高回款时限。按照区财政制度要求，申请协调区财政部门，减少药款的报账流程，解决卫生院药款回款不及时的问题。四是加强绩效考核工作。以提高基层医疗卫生机构“三统一”药品配备、配送、使用、结算率为抓手，全面开展药品“三统一”考核工作，并将考核结果与财政补助相挂钩，确保基层医疗卫生机构落实药品“三统一”政策；逐步加强对基层医疗机构实施药品“三统一”工作的绩效考核工作，切实让国家基本药物制度深入人心。</w:t>
      </w:r>
    </w:p>
    <w:p>
      <w:pPr>
        <w:pStyle w:val="4"/>
        <w:spacing w:before="143" w:line="321" w:lineRule="auto"/>
        <w:ind w:right="119" w:firstLine="640"/>
        <w:jc w:val="both"/>
        <w:rPr>
          <w:rFonts w:cs="仿宋_GB2312"/>
          <w:color w:val="000000"/>
          <w:sz w:val="31"/>
          <w:szCs w:val="31"/>
          <w:lang w:eastAsia="zh-CN"/>
        </w:rPr>
      </w:pPr>
      <w:r>
        <w:rPr>
          <w:rFonts w:hint="eastAsia" w:cs="仿宋_GB2312"/>
          <w:color w:val="000000"/>
          <w:sz w:val="31"/>
          <w:szCs w:val="31"/>
          <w:lang w:eastAsia="zh-CN"/>
        </w:rPr>
        <w:t>2.基本公共卫生服务</w:t>
      </w:r>
      <w:r>
        <w:rPr>
          <w:rFonts w:cs="仿宋_GB2312"/>
          <w:color w:val="000000"/>
          <w:sz w:val="31"/>
          <w:szCs w:val="31"/>
          <w:lang w:eastAsia="zh-CN"/>
        </w:rPr>
        <w:t>项目绩效自评综述：根据年初设定的绩效目标，项目自评得分</w:t>
      </w:r>
      <w:r>
        <w:rPr>
          <w:rFonts w:hint="eastAsia" w:cs="仿宋_GB2312"/>
          <w:color w:val="000000"/>
          <w:sz w:val="31"/>
          <w:szCs w:val="31"/>
          <w:lang w:eastAsia="zh-CN"/>
        </w:rPr>
        <w:t>93.5</w:t>
      </w:r>
      <w:r>
        <w:rPr>
          <w:rFonts w:cs="仿宋_GB2312"/>
          <w:color w:val="000000"/>
          <w:sz w:val="31"/>
          <w:szCs w:val="31"/>
          <w:lang w:eastAsia="zh-CN"/>
        </w:rPr>
        <w:t>分。项目全年预算数</w:t>
      </w:r>
      <w:r>
        <w:rPr>
          <w:rFonts w:hint="eastAsia" w:cs="仿宋_GB2312"/>
          <w:color w:val="000000"/>
          <w:sz w:val="31"/>
          <w:szCs w:val="31"/>
          <w:lang w:eastAsia="zh-CN"/>
        </w:rPr>
        <w:t>816.37</w:t>
      </w:r>
      <w:r>
        <w:rPr>
          <w:rFonts w:cs="仿宋_GB2312"/>
          <w:color w:val="000000"/>
          <w:sz w:val="31"/>
          <w:szCs w:val="31"/>
          <w:lang w:eastAsia="zh-CN"/>
        </w:rPr>
        <w:t>万元，执行数</w:t>
      </w:r>
      <w:r>
        <w:rPr>
          <w:rFonts w:hint="eastAsia" w:cs="仿宋_GB2312"/>
          <w:color w:val="000000"/>
          <w:sz w:val="31"/>
          <w:szCs w:val="31"/>
          <w:lang w:eastAsia="zh-CN"/>
        </w:rPr>
        <w:t>816.37</w:t>
      </w:r>
      <w:r>
        <w:rPr>
          <w:rFonts w:cs="仿宋_GB2312"/>
          <w:color w:val="000000"/>
          <w:sz w:val="31"/>
          <w:szCs w:val="31"/>
          <w:lang w:eastAsia="zh-CN"/>
        </w:rPr>
        <w:t>万元，完成预算的</w:t>
      </w:r>
      <w:r>
        <w:rPr>
          <w:rFonts w:hint="eastAsia" w:cs="仿宋_GB2312"/>
          <w:color w:val="000000"/>
          <w:sz w:val="31"/>
          <w:szCs w:val="31"/>
          <w:lang w:eastAsia="zh-CN"/>
        </w:rPr>
        <w:t>100</w:t>
      </w:r>
      <w:r>
        <w:rPr>
          <w:rFonts w:cs="仿宋_GB2312"/>
          <w:color w:val="000000"/>
          <w:sz w:val="31"/>
          <w:szCs w:val="31"/>
          <w:lang w:eastAsia="zh-CN"/>
        </w:rPr>
        <w:t>%。主要产出和效果：通过项目实施</w:t>
      </w:r>
      <w:r>
        <w:rPr>
          <w:rFonts w:hint="eastAsia" w:cs="仿宋_GB2312"/>
          <w:color w:val="000000"/>
          <w:sz w:val="31"/>
          <w:szCs w:val="31"/>
          <w:lang w:eastAsia="zh-CN"/>
        </w:rPr>
        <w:t>公共卫生服务内容和相关健康知识知晓率和普及率不断提高，各项目健康管理率稳步提升，逐步实现了精细化规范管理，中医药健康管理和家庭医生签约项目管理逐渐成熟。</w:t>
      </w:r>
      <w:r>
        <w:rPr>
          <w:rFonts w:cs="仿宋_GB2312"/>
          <w:color w:val="000000"/>
          <w:sz w:val="31"/>
          <w:szCs w:val="31"/>
          <w:lang w:eastAsia="zh-CN"/>
        </w:rPr>
        <w:t>发现的问题及原因：</w:t>
      </w:r>
      <w:r>
        <w:rPr>
          <w:rFonts w:hint="eastAsia" w:cs="仿宋_GB2312"/>
          <w:color w:val="000000"/>
          <w:sz w:val="31"/>
          <w:szCs w:val="31"/>
          <w:lang w:eastAsia="zh-CN"/>
        </w:rPr>
        <w:t>一是</w:t>
      </w:r>
      <w:r>
        <w:rPr>
          <w:spacing w:val="6"/>
          <w:lang w:eastAsia="zh-CN"/>
        </w:rPr>
        <w:t>宣传力度有待进一步加强，居民配合基本公共卫生</w:t>
      </w:r>
      <w:r>
        <w:rPr>
          <w:w w:val="95"/>
          <w:lang w:eastAsia="zh-CN"/>
        </w:rPr>
        <w:t>服务意识淡薄，上门体检和随访等健康服务工作，主动配合</w:t>
      </w:r>
      <w:r>
        <w:rPr>
          <w:lang w:eastAsia="zh-CN"/>
        </w:rPr>
        <w:t>存在困难</w:t>
      </w:r>
      <w:r>
        <w:rPr>
          <w:rFonts w:hint="eastAsia"/>
          <w:lang w:eastAsia="zh-CN"/>
        </w:rPr>
        <w:t>；</w:t>
      </w:r>
      <w:r>
        <w:rPr>
          <w:rFonts w:hint="eastAsia"/>
          <w:spacing w:val="6"/>
          <w:lang w:eastAsia="zh-CN"/>
        </w:rPr>
        <w:t>二是</w:t>
      </w:r>
      <w:r>
        <w:rPr>
          <w:spacing w:val="6"/>
          <w:lang w:eastAsia="zh-CN"/>
        </w:rPr>
        <w:t>基层医疗卫生单位公共卫生人员太少，设施设备简</w:t>
      </w:r>
      <w:r>
        <w:rPr>
          <w:w w:val="95"/>
          <w:lang w:eastAsia="zh-CN"/>
        </w:rPr>
        <w:t>陋，人员服务意识不强，尤其是村卫生室村医，服务水平有</w:t>
      </w:r>
      <w:r>
        <w:rPr>
          <w:lang w:eastAsia="zh-CN"/>
        </w:rPr>
        <w:t>待进一步提高</w:t>
      </w:r>
      <w:r>
        <w:rPr>
          <w:rFonts w:hint="eastAsia"/>
          <w:lang w:eastAsia="zh-CN"/>
        </w:rPr>
        <w:t>；三是</w:t>
      </w:r>
      <w:r>
        <w:rPr>
          <w:spacing w:val="6"/>
          <w:lang w:eastAsia="zh-CN"/>
        </w:rPr>
        <w:t>流动外出人员数量大、流动频繁，尤其是儿童、孕</w:t>
      </w:r>
      <w:r>
        <w:rPr>
          <w:w w:val="95"/>
          <w:lang w:eastAsia="zh-CN"/>
        </w:rPr>
        <w:t>产妇，造成健康管理服务难度大，城镇社区人口多，流动人员多，居所变动频繁，社区重点人群健康管理服务难度相当</w:t>
      </w:r>
      <w:r>
        <w:rPr>
          <w:lang w:eastAsia="zh-CN"/>
        </w:rPr>
        <w:t>大。</w:t>
      </w:r>
      <w:r>
        <w:rPr>
          <w:rFonts w:cs="仿宋_GB2312"/>
          <w:color w:val="000000"/>
          <w:sz w:val="31"/>
          <w:szCs w:val="31"/>
          <w:lang w:eastAsia="zh-CN"/>
        </w:rPr>
        <w:t>下一步改进措施：</w:t>
      </w:r>
      <w:r>
        <w:rPr>
          <w:rFonts w:hint="eastAsia"/>
          <w:spacing w:val="6"/>
          <w:lang w:eastAsia="zh-CN"/>
        </w:rPr>
        <w:t>一是</w:t>
      </w:r>
      <w:r>
        <w:rPr>
          <w:spacing w:val="6"/>
          <w:lang w:eastAsia="zh-CN"/>
        </w:rPr>
        <w:t>通过多种渠道、多种形式加大宣传力度，让群众更</w:t>
      </w:r>
      <w:r>
        <w:rPr>
          <w:w w:val="95"/>
          <w:lang w:eastAsia="zh-CN"/>
        </w:rPr>
        <w:t>多的了解公共卫生服务情况，提高群众主动参与的意识、行</w:t>
      </w:r>
      <w:r>
        <w:rPr>
          <w:lang w:eastAsia="zh-CN"/>
        </w:rPr>
        <w:t>为，形成积极参与公共卫生服务的良好氛围</w:t>
      </w:r>
      <w:r>
        <w:rPr>
          <w:rFonts w:hint="eastAsia"/>
          <w:lang w:eastAsia="zh-CN"/>
        </w:rPr>
        <w:t>；二是</w:t>
      </w:r>
      <w:r>
        <w:rPr>
          <w:w w:val="95"/>
          <w:lang w:eastAsia="zh-CN"/>
        </w:rPr>
        <w:t>创新机制，以城乡居民为服务对象，以孕产妇、0-6岁儿童、慢性病患者、严重精神障碍患者和老年人为重点，通过开展主动上门服务、集中式服务和门诊预约、门诊就诊</w:t>
      </w:r>
      <w:r>
        <w:rPr>
          <w:lang w:eastAsia="zh-CN"/>
        </w:rPr>
        <w:t>等健康管理服务形式，提高服务意识、提高服务质量</w:t>
      </w:r>
      <w:r>
        <w:rPr>
          <w:rFonts w:hint="eastAsia"/>
          <w:lang w:eastAsia="zh-CN"/>
        </w:rPr>
        <w:t>；</w:t>
      </w:r>
      <w:r>
        <w:rPr>
          <w:rFonts w:hint="eastAsia"/>
          <w:spacing w:val="6"/>
          <w:lang w:eastAsia="zh-CN"/>
        </w:rPr>
        <w:t>三是</w:t>
      </w:r>
      <w:r>
        <w:rPr>
          <w:spacing w:val="6"/>
          <w:lang w:eastAsia="zh-CN"/>
        </w:rPr>
        <w:t>增加可行的免费辅助检查、检测服务项目，使群众</w:t>
      </w:r>
      <w:r>
        <w:rPr>
          <w:lang w:eastAsia="zh-CN"/>
        </w:rPr>
        <w:t>就近获得安全、有效、便捷、综合的公共卫生服务。</w:t>
      </w:r>
    </w:p>
    <w:p>
      <w:pPr>
        <w:pStyle w:val="17"/>
        <w:ind w:firstLine="62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1"/>
          <w:szCs w:val="31"/>
        </w:rPr>
        <w:t>3.重大公共卫生</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95</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320.43</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308.93</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96.41</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提高了群众对艾滋病、结核病、手足口等重点传染病的防范意识，狂犬病、流感、乙肝、麻疹、腮腺炎、出血热等传染病得到有效监控。</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艾滋病、结核病等重点传染病全覆盖管理有待逐步实现</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一是</w:t>
      </w:r>
      <w:r>
        <w:rPr>
          <w:rFonts w:hint="eastAsia" w:ascii="仿宋_GB2312" w:hAnsi="仿宋_GB2312" w:eastAsia="仿宋_GB2312" w:cs="仿宋_GB2312"/>
          <w:kern w:val="0"/>
          <w:sz w:val="32"/>
          <w:szCs w:val="32"/>
        </w:rPr>
        <w:t>认真开展艾滋病“三个全覆盖”工作，</w:t>
      </w:r>
      <w:r>
        <w:rPr>
          <w:rFonts w:hint="eastAsia" w:ascii="仿宋" w:hAnsi="仿宋" w:eastAsia="仿宋"/>
          <w:sz w:val="32"/>
          <w:szCs w:val="32"/>
        </w:rPr>
        <w:t>扩大艾滋病检测咨询点，最大限度的发现艾滋病感染者和病人。二是</w:t>
      </w:r>
      <w:r>
        <w:rPr>
          <w:rFonts w:hint="eastAsia" w:ascii="仿宋_GB2312" w:hAnsi="仿宋_GB2312" w:eastAsia="仿宋_GB2312" w:cs="仿宋_GB2312"/>
          <w:spacing w:val="-4"/>
          <w:sz w:val="32"/>
          <w:szCs w:val="32"/>
        </w:rPr>
        <w:t>加大学校结核病管理工作，提高新生入学结核病筛查率。三是</w:t>
      </w:r>
      <w:r>
        <w:rPr>
          <w:rFonts w:hint="eastAsia" w:ascii="仿宋_GB2312" w:hAnsi="仿宋_GB2312" w:eastAsia="仿宋_GB2312" w:cs="仿宋_GB2312"/>
          <w:sz w:val="32"/>
          <w:szCs w:val="32"/>
        </w:rPr>
        <w:t>大力度做好乙肝常规及重点人群乙肝疫苗接种工作，降低乙肝新感染病例。四是</w:t>
      </w:r>
      <w:r>
        <w:rPr>
          <w:rFonts w:hint="eastAsia" w:ascii="仿宋_GB2312" w:hAnsi="仿宋_GB2312" w:eastAsia="仿宋_GB2312" w:cs="仿宋_GB2312"/>
          <w:kern w:val="0"/>
          <w:sz w:val="32"/>
          <w:szCs w:val="32"/>
        </w:rPr>
        <w:t>加大犬伤门督导培训工作，规范犬伤门诊管理。</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4.计生事业费</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98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140.79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140.79</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%。主要产出和效果：通过项目实施</w:t>
      </w:r>
      <w:r>
        <w:rPr>
          <w:rFonts w:hint="eastAsia" w:ascii="仿宋_GB2312" w:eastAsia="仿宋_GB2312"/>
          <w:sz w:val="32"/>
          <w:szCs w:val="32"/>
        </w:rPr>
        <w:t>人口出生率、自然增长率分别为7.6‰和4.4‰，出生人口性别比为103.3：100，较好的完成了年度计划生育指标任务。母亲健康工程、孕前优生健康检查和产前筛查率巩固在90%以上。全区婴儿死亡率、5岁以下儿童死亡率和孕产妇死亡率分别控制在6‰、7‰和14/10 万以下。全区流动人口卫生计生均等化综合服务覆盖率达到90%以上</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一是</w:t>
      </w:r>
      <w:r>
        <w:rPr>
          <w:rFonts w:hint="eastAsia" w:ascii="仿宋" w:hAnsi="仿宋" w:eastAsia="仿宋"/>
          <w:bCs/>
          <w:sz w:val="32"/>
          <w:szCs w:val="32"/>
        </w:rPr>
        <w:t>“母亲健康”工程进度缓慢，镇办进度不平衡</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二是</w:t>
      </w:r>
      <w:r>
        <w:rPr>
          <w:rFonts w:hint="eastAsia" w:ascii="仿宋" w:hAnsi="仿宋" w:eastAsia="仿宋" w:cs="仿宋"/>
          <w:sz w:val="32"/>
          <w:szCs w:val="32"/>
        </w:rPr>
        <w:t>流动人口信息采集难度较大。</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一是</w:t>
      </w:r>
      <w:r>
        <w:rPr>
          <w:rFonts w:hint="eastAsia" w:ascii="仿宋" w:hAnsi="仿宋" w:eastAsia="仿宋"/>
          <w:sz w:val="32"/>
          <w:szCs w:val="32"/>
        </w:rPr>
        <w:t>加大“母亲健康”工程宣传力度，切实做好已婚育龄妇女的组织动员工作</w:t>
      </w:r>
      <w:r>
        <w:rPr>
          <w:rFonts w:hint="eastAsia" w:ascii="仿宋_GB2312" w:hAnsi="仿宋_GB2312" w:eastAsia="仿宋_GB2312" w:cs="仿宋_GB2312"/>
          <w:color w:val="000000"/>
          <w:kern w:val="0"/>
          <w:sz w:val="31"/>
          <w:szCs w:val="31"/>
        </w:rPr>
        <w:t>。</w:t>
      </w:r>
      <w:r>
        <w:rPr>
          <w:rFonts w:hint="eastAsia" w:ascii="仿宋" w:hAnsi="仿宋" w:eastAsia="仿宋" w:cs="仿宋"/>
          <w:sz w:val="32"/>
          <w:szCs w:val="32"/>
        </w:rPr>
        <w:t>二是加大对省流动人口服务管理信息系统平台应用培训，提高流动人口信息采集数量和质量。</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5.高领老人生活保健补贴</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801.59</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801.19</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99.95</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按季度及时足额发放70周岁以上老年人生活保健补贴，关爱老年人健康生活，</w:t>
      </w:r>
      <w:r>
        <w:rPr>
          <w:rFonts w:ascii="仿宋_GB2312" w:hAnsi="仿宋_GB2312" w:eastAsia="仿宋_GB2312" w:cs="仿宋_GB2312"/>
          <w:color w:val="000000"/>
          <w:kern w:val="0"/>
          <w:sz w:val="31"/>
          <w:szCs w:val="31"/>
        </w:rPr>
        <w:t>通过项目实施</w:t>
      </w:r>
      <w:r>
        <w:rPr>
          <w:rFonts w:hint="eastAsia" w:ascii="仿宋_GB2312" w:hAnsi="仿宋_GB2312" w:eastAsia="仿宋_GB2312" w:cs="仿宋_GB2312"/>
          <w:color w:val="000000"/>
          <w:kern w:val="0"/>
          <w:sz w:val="31"/>
          <w:szCs w:val="31"/>
        </w:rPr>
        <w:t>有效保障了我区高领老人健康生活和健康权益。</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部分高领老人退休后随子女生活，生活地不在杨凌，季度发放补贴存在问题的沟通联系存在困难</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补贴发放方式从专户代发改由财政统一要求的“一卡通”发放，简化了发放流程，一定程度解决了银行代发存在的问题。</w:t>
      </w: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0" w:name="_MON_1664124245"/>
      <w:bookmarkEnd w:id="0"/>
      <w:r>
        <w:rPr>
          <w:rFonts w:hint="eastAsia" w:ascii="楷体" w:hAnsi="楷体" w:eastAsia="楷体" w:cs="楷体"/>
          <w:sz w:val="32"/>
          <w:szCs w:val="32"/>
        </w:rPr>
        <w:object>
          <v:shape id="_x0000_i1025" o:spt="75" type="#_x0000_t75" style="height:657.75pt;width:462pt;" o:ole="t" filled="f" o:preferrelative="t" stroked="f" coordsize="21600,21600">
            <v:path/>
            <v:fill on="f" focussize="0,0"/>
            <v:stroke on="f" joinstyle="miter"/>
            <v:imagedata r:id="rId13" o:title=""/>
            <o:lock v:ext="edit" aspectratio="t"/>
            <w10:wrap type="none"/>
            <w10:anchorlock/>
          </v:shape>
          <o:OLEObject Type="Embed" ProgID="Excel.Sheet.8" ShapeID="_x0000_i1025" DrawAspect="Content" ObjectID="_1468075725" r:id="rId12">
            <o:LockedField>false</o:LockedField>
          </o:OLEObject>
        </w:object>
      </w:r>
      <w:r>
        <w:rPr>
          <w:rFonts w:hint="eastAsia" w:ascii="楷体" w:hAnsi="楷体" w:eastAsia="楷体" w:cs="楷体"/>
          <w:sz w:val="32"/>
          <w:szCs w:val="32"/>
        </w:rPr>
        <w:object>
          <v:shape id="_x0000_i1026" o:spt="75" type="#_x0000_t75" style="height:633.75pt;width:454.5pt;" o:ole="t" filled="f" o:preferrelative="t" stroked="f" coordsize="21600,21600">
            <v:path/>
            <v:fill on="f" focussize="0,0"/>
            <v:stroke on="f" joinstyle="miter"/>
            <v:imagedata r:id="rId15" o:title=""/>
            <o:lock v:ext="edit" aspectratio="t"/>
            <w10:wrap type="none"/>
            <w10:anchorlock/>
          </v:shape>
          <o:OLEObject Type="Embed" ProgID="Excel.Sheet.8" ShapeID="_x0000_i1026" DrawAspect="Content" ObjectID="_1468075726" r:id="rId14">
            <o:LockedField>false</o:LockedField>
          </o:OLEObject>
        </w:object>
      </w:r>
      <w:r>
        <w:rPr>
          <w:rFonts w:hint="eastAsia" w:ascii="楷体" w:hAnsi="楷体" w:eastAsia="楷体" w:cs="楷体"/>
          <w:sz w:val="32"/>
          <w:szCs w:val="32"/>
        </w:rPr>
        <w:object>
          <v:shape id="_x0000_i1027" o:spt="75" type="#_x0000_t75" style="height:695.25pt;width:467.25pt;" o:ole="t" filled="f" o:preferrelative="t" stroked="f" coordsize="21600,21600">
            <v:path/>
            <v:fill on="f" focussize="0,0"/>
            <v:stroke on="f" joinstyle="miter"/>
            <v:imagedata r:id="rId17" o:title=""/>
            <o:lock v:ext="edit" aspectratio="t"/>
            <w10:wrap type="none"/>
            <w10:anchorlock/>
          </v:shape>
          <o:OLEObject Type="Embed" ProgID="Excel.Sheet.8" ShapeID="_x0000_i1027" DrawAspect="Content" ObjectID="_1468075727" r:id="rId16">
            <o:LockedField>false</o:LockedField>
          </o:OLEObject>
        </w:object>
      </w:r>
      <w:bookmarkStart w:id="1" w:name="_MON_1664124378"/>
      <w:bookmarkEnd w:id="1"/>
      <w:r>
        <w:rPr>
          <w:rFonts w:hint="eastAsia" w:ascii="楷体" w:hAnsi="楷体" w:eastAsia="楷体" w:cs="楷体"/>
          <w:sz w:val="32"/>
          <w:szCs w:val="32"/>
        </w:rPr>
        <w:object>
          <v:shape id="_x0000_i1028" o:spt="75" type="#_x0000_t75" style="height:648.75pt;width:477.75pt;" o:ole="t" filled="f" o:preferrelative="t" stroked="f" coordsize="21600,21600">
            <v:path/>
            <v:fill on="f" focussize="0,0"/>
            <v:stroke on="f" joinstyle="miter"/>
            <v:imagedata r:id="rId19" o:title=""/>
            <o:lock v:ext="edit" aspectratio="t"/>
            <w10:wrap type="none"/>
            <w10:anchorlock/>
          </v:shape>
          <o:OLEObject Type="Embed" ProgID="Excel.Sheet.8" ShapeID="_x0000_i1028" DrawAspect="Content" ObjectID="_1468075728" r:id="rId18">
            <o:LockedField>false</o:LockedField>
          </o:OLEObject>
        </w:object>
      </w:r>
      <w:bookmarkStart w:id="2" w:name="_MON_1664124423"/>
      <w:bookmarkEnd w:id="2"/>
      <w:r>
        <w:rPr>
          <w:rFonts w:hint="eastAsia" w:ascii="楷体" w:hAnsi="楷体" w:eastAsia="楷体" w:cs="楷体"/>
          <w:sz w:val="32"/>
          <w:szCs w:val="32"/>
        </w:rPr>
        <w:object>
          <v:shape id="_x0000_i1029" o:spt="75" type="#_x0000_t75" style="height:624.75pt;width:474pt;" o:ole="t" filled="f" o:preferrelative="t" stroked="f" coordsize="21600,21600">
            <v:path/>
            <v:fill on="f" focussize="0,0"/>
            <v:stroke on="f" joinstyle="miter"/>
            <v:imagedata r:id="rId21" o:title=""/>
            <o:lock v:ext="edit" aspectratio="t"/>
            <w10:wrap type="none"/>
            <w10:anchorlock/>
          </v:shape>
          <o:OLEObject Type="Embed" ProgID="Excel.Sheet.8" ShapeID="_x0000_i1029" DrawAspect="Content" ObjectID="_1468075729" r:id="rId20">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0" o:spt="75" type="#_x0000_t75" style="height:524.25pt;width:642.75pt;" o:ole="t" filled="f" o:preferrelative="t" stroked="f" coordsize="21600,21600">
            <v:path/>
            <v:fill on="f" focussize="0,0"/>
            <v:stroke on="f" joinstyle="miter"/>
            <v:imagedata r:id="rId23" o:title=""/>
            <o:lock v:ext="edit" aspectratio="t"/>
            <w10:wrap type="none"/>
            <w10:anchorlock/>
          </v:shape>
          <o:OLEObject Type="Embed" ProgID="Excel.Sheet.8" ShapeID="_x0000_i1030" DrawAspect="Content" ObjectID="_1468075730" r:id="rId22">
            <o:LockedField>false</o:LockedField>
          </o:OLEObject>
        </w:object>
      </w:r>
      <w:bookmarkStart w:id="3" w:name="_GoBack"/>
      <w:r>
        <w:rPr>
          <w:rFonts w:hint="eastAsia" w:ascii="楷体" w:hAnsi="楷体" w:eastAsia="楷体" w:cs="楷体"/>
          <w:sz w:val="32"/>
          <w:szCs w:val="32"/>
        </w:rPr>
        <w:object>
          <v:shape id="_x0000_i1031" o:spt="75" alt="" type="#_x0000_t75" style="height:408.55pt;width:672.75pt;" o:ole="t" filled="f" o:preferrelative="t" stroked="f" coordsize="21600,21600">
            <v:path/>
            <v:fill on="f" focussize="0,0"/>
            <v:stroke on="f" joinstyle="miter"/>
            <v:imagedata r:id="rId25" o:title=""/>
            <o:lock v:ext="edit" aspectratio="t"/>
            <w10:wrap type="none"/>
            <w10:anchorlock/>
          </v:shape>
          <o:OLEObject Type="Embed" ProgID="Excel.Sheet.8" ShapeID="_x0000_i1031" DrawAspect="Content" ObjectID="_1468075731" r:id="rId24">
            <o:LockedField>false</o:LockedField>
          </o:OLEObject>
        </w:object>
      </w:r>
      <w:bookmarkEnd w:id="3"/>
      <w:r>
        <w:rPr>
          <w:rFonts w:hint="eastAsia" w:ascii="楷体" w:hAnsi="楷体" w:eastAsia="楷体" w:cs="楷体"/>
          <w:sz w:val="32"/>
          <w:szCs w:val="32"/>
        </w:rPr>
        <w:object>
          <v:shape id="_x0000_i1032" o:spt="75" type="#_x0000_t75" style="height:348.75pt;width:669pt;" o:ole="t" filled="f" o:preferrelative="t" stroked="f" coordsize="21600,21600">
            <v:path/>
            <v:fill on="f" focussize="0,0"/>
            <v:stroke on="f" joinstyle="miter"/>
            <v:imagedata r:id="rId27" o:title=""/>
            <o:lock v:ext="edit" aspectratio="t"/>
            <w10:wrap type="none"/>
            <w10:anchorlock/>
          </v:shape>
          <o:OLEObject Type="Embed" ProgID="Excel.Sheet.8" ShapeID="_x0000_i1032" DrawAspect="Content" ObjectID="_1468075732" r:id="rId26">
            <o:LockedField>false</o:LockedField>
          </o:OLEObject>
        </w:object>
      </w:r>
    </w:p>
    <w:p>
      <w:pPr>
        <w:rPr>
          <w:rFonts w:ascii="楷体" w:hAnsi="楷体" w:eastAsia="楷体" w:cs="楷体"/>
          <w:sz w:val="32"/>
          <w:szCs w:val="32"/>
        </w:rPr>
      </w:pP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20.70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62.73</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减少12.3万元，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机构整合人员减少，人员经费等减少。</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2019年本部门政府采购支出总额共168.56万元，其中政府采购货物类支出22.31万元、政府采购服务类支出131.20万元、政府采购工程类支出15.05万元。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截至2019年末，本部门机关及所属单位共有车辆9辆；单价50万元以上的通用设备0台（套）；单价100万元以上的专用设备0台（套）。201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Calibri Light">
    <w:altName w:val="Arial"/>
    <w:panose1 w:val="00000000000000000000"/>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32E"/>
    <w:rsid w:val="00031145"/>
    <w:rsid w:val="000441FC"/>
    <w:rsid w:val="00050E89"/>
    <w:rsid w:val="000708FD"/>
    <w:rsid w:val="00085123"/>
    <w:rsid w:val="00094B9B"/>
    <w:rsid w:val="00095F8B"/>
    <w:rsid w:val="000C24CC"/>
    <w:rsid w:val="000F20C2"/>
    <w:rsid w:val="001120B7"/>
    <w:rsid w:val="00112F5D"/>
    <w:rsid w:val="001163F4"/>
    <w:rsid w:val="00123484"/>
    <w:rsid w:val="001326EE"/>
    <w:rsid w:val="00146787"/>
    <w:rsid w:val="00151DC1"/>
    <w:rsid w:val="00153E4E"/>
    <w:rsid w:val="001633CC"/>
    <w:rsid w:val="00164001"/>
    <w:rsid w:val="00172A27"/>
    <w:rsid w:val="0019178A"/>
    <w:rsid w:val="001B6FD9"/>
    <w:rsid w:val="001D7568"/>
    <w:rsid w:val="001E7E80"/>
    <w:rsid w:val="002271C6"/>
    <w:rsid w:val="002424C8"/>
    <w:rsid w:val="00274C6C"/>
    <w:rsid w:val="002869AA"/>
    <w:rsid w:val="002876A8"/>
    <w:rsid w:val="002964B9"/>
    <w:rsid w:val="002A2A45"/>
    <w:rsid w:val="002A7893"/>
    <w:rsid w:val="002C12C0"/>
    <w:rsid w:val="00311BD3"/>
    <w:rsid w:val="00326259"/>
    <w:rsid w:val="003364E9"/>
    <w:rsid w:val="00353CAB"/>
    <w:rsid w:val="00360579"/>
    <w:rsid w:val="0036163E"/>
    <w:rsid w:val="00396221"/>
    <w:rsid w:val="003C083F"/>
    <w:rsid w:val="003F7371"/>
    <w:rsid w:val="00413508"/>
    <w:rsid w:val="00427B55"/>
    <w:rsid w:val="00434EC3"/>
    <w:rsid w:val="00452E2E"/>
    <w:rsid w:val="00466EEA"/>
    <w:rsid w:val="00476DA8"/>
    <w:rsid w:val="004B6D6E"/>
    <w:rsid w:val="004B784D"/>
    <w:rsid w:val="004F17F5"/>
    <w:rsid w:val="004F2E24"/>
    <w:rsid w:val="00535585"/>
    <w:rsid w:val="00540AE3"/>
    <w:rsid w:val="005A1E16"/>
    <w:rsid w:val="005B2293"/>
    <w:rsid w:val="005D073A"/>
    <w:rsid w:val="005E4BD5"/>
    <w:rsid w:val="006311CD"/>
    <w:rsid w:val="00661A73"/>
    <w:rsid w:val="00695D7E"/>
    <w:rsid w:val="006A2D7D"/>
    <w:rsid w:val="006A7DCF"/>
    <w:rsid w:val="006C4692"/>
    <w:rsid w:val="006D0644"/>
    <w:rsid w:val="006D4680"/>
    <w:rsid w:val="00704A69"/>
    <w:rsid w:val="0073540F"/>
    <w:rsid w:val="007757BA"/>
    <w:rsid w:val="00783A02"/>
    <w:rsid w:val="007C24A6"/>
    <w:rsid w:val="00801A59"/>
    <w:rsid w:val="00804F57"/>
    <w:rsid w:val="00813F4A"/>
    <w:rsid w:val="00842FFA"/>
    <w:rsid w:val="0085051B"/>
    <w:rsid w:val="0085406D"/>
    <w:rsid w:val="008613E9"/>
    <w:rsid w:val="00863EAE"/>
    <w:rsid w:val="00867303"/>
    <w:rsid w:val="00891ADF"/>
    <w:rsid w:val="00894D68"/>
    <w:rsid w:val="00897363"/>
    <w:rsid w:val="008F3679"/>
    <w:rsid w:val="00910992"/>
    <w:rsid w:val="00916C77"/>
    <w:rsid w:val="009358A5"/>
    <w:rsid w:val="009513C9"/>
    <w:rsid w:val="00974170"/>
    <w:rsid w:val="00977B0F"/>
    <w:rsid w:val="00981385"/>
    <w:rsid w:val="009E5514"/>
    <w:rsid w:val="009E70A3"/>
    <w:rsid w:val="009F7803"/>
    <w:rsid w:val="00A0297D"/>
    <w:rsid w:val="00A07DA1"/>
    <w:rsid w:val="00A3713E"/>
    <w:rsid w:val="00A456B7"/>
    <w:rsid w:val="00A46BD3"/>
    <w:rsid w:val="00A51FD0"/>
    <w:rsid w:val="00A800D4"/>
    <w:rsid w:val="00A82E77"/>
    <w:rsid w:val="00AA0B6D"/>
    <w:rsid w:val="00AB3721"/>
    <w:rsid w:val="00AB683D"/>
    <w:rsid w:val="00AC5500"/>
    <w:rsid w:val="00AF5F53"/>
    <w:rsid w:val="00B02170"/>
    <w:rsid w:val="00B0376F"/>
    <w:rsid w:val="00B16ED3"/>
    <w:rsid w:val="00B31D08"/>
    <w:rsid w:val="00B60CFB"/>
    <w:rsid w:val="00B80654"/>
    <w:rsid w:val="00BB5A57"/>
    <w:rsid w:val="00BC791D"/>
    <w:rsid w:val="00C14A9C"/>
    <w:rsid w:val="00C17334"/>
    <w:rsid w:val="00C40C9C"/>
    <w:rsid w:val="00C45AAB"/>
    <w:rsid w:val="00C45C5B"/>
    <w:rsid w:val="00C61428"/>
    <w:rsid w:val="00C777E9"/>
    <w:rsid w:val="00CA23A3"/>
    <w:rsid w:val="00CA5EE5"/>
    <w:rsid w:val="00CC697D"/>
    <w:rsid w:val="00CC6995"/>
    <w:rsid w:val="00D00E9F"/>
    <w:rsid w:val="00D11F69"/>
    <w:rsid w:val="00D575FA"/>
    <w:rsid w:val="00D871D6"/>
    <w:rsid w:val="00D91AD5"/>
    <w:rsid w:val="00D9581B"/>
    <w:rsid w:val="00DB6F5E"/>
    <w:rsid w:val="00DC3E2C"/>
    <w:rsid w:val="00DC5B10"/>
    <w:rsid w:val="00DE6120"/>
    <w:rsid w:val="00DF3A5A"/>
    <w:rsid w:val="00E05548"/>
    <w:rsid w:val="00E314DD"/>
    <w:rsid w:val="00E36DB9"/>
    <w:rsid w:val="00E55507"/>
    <w:rsid w:val="00E63AEF"/>
    <w:rsid w:val="00E70A88"/>
    <w:rsid w:val="00E8111E"/>
    <w:rsid w:val="00EC33E3"/>
    <w:rsid w:val="00EC5CA7"/>
    <w:rsid w:val="00EE337A"/>
    <w:rsid w:val="00F01AC5"/>
    <w:rsid w:val="00F134C9"/>
    <w:rsid w:val="00F2230F"/>
    <w:rsid w:val="00F34CC4"/>
    <w:rsid w:val="00F50BF3"/>
    <w:rsid w:val="00F7074F"/>
    <w:rsid w:val="00F85476"/>
    <w:rsid w:val="00FA05F3"/>
    <w:rsid w:val="00FA78FA"/>
    <w:rsid w:val="00FB7D95"/>
    <w:rsid w:val="00FE5B62"/>
    <w:rsid w:val="00FF0745"/>
    <w:rsid w:val="013B79AC"/>
    <w:rsid w:val="032D1844"/>
    <w:rsid w:val="0ABC5428"/>
    <w:rsid w:val="125E2600"/>
    <w:rsid w:val="132E46A0"/>
    <w:rsid w:val="14411117"/>
    <w:rsid w:val="1586116E"/>
    <w:rsid w:val="18BB4AD7"/>
    <w:rsid w:val="1B4A3FDA"/>
    <w:rsid w:val="1B524C98"/>
    <w:rsid w:val="1C5E2F73"/>
    <w:rsid w:val="1D6E0C0D"/>
    <w:rsid w:val="221C15BB"/>
    <w:rsid w:val="2371522E"/>
    <w:rsid w:val="29785A6B"/>
    <w:rsid w:val="2A352DCE"/>
    <w:rsid w:val="2C312809"/>
    <w:rsid w:val="2D1F3974"/>
    <w:rsid w:val="2DB52EF2"/>
    <w:rsid w:val="31AA6038"/>
    <w:rsid w:val="33887EE3"/>
    <w:rsid w:val="33B84864"/>
    <w:rsid w:val="34677C61"/>
    <w:rsid w:val="3B121AD1"/>
    <w:rsid w:val="3CFD0D2E"/>
    <w:rsid w:val="3E9C23C7"/>
    <w:rsid w:val="41603979"/>
    <w:rsid w:val="41CF436B"/>
    <w:rsid w:val="4619368A"/>
    <w:rsid w:val="471F2499"/>
    <w:rsid w:val="4752380F"/>
    <w:rsid w:val="4764152B"/>
    <w:rsid w:val="4D6E0FDF"/>
    <w:rsid w:val="4EE4307A"/>
    <w:rsid w:val="5153143F"/>
    <w:rsid w:val="52B015A5"/>
    <w:rsid w:val="54F12DEE"/>
    <w:rsid w:val="5518442B"/>
    <w:rsid w:val="579212BC"/>
    <w:rsid w:val="5B8D564A"/>
    <w:rsid w:val="647F60EE"/>
    <w:rsid w:val="65074FBA"/>
    <w:rsid w:val="69512523"/>
    <w:rsid w:val="6E1E7D37"/>
    <w:rsid w:val="6E341EDA"/>
    <w:rsid w:val="71086DB5"/>
    <w:rsid w:val="75C31473"/>
    <w:rsid w:val="7C3E5E46"/>
    <w:rsid w:val="7C5B5A63"/>
    <w:rsid w:val="7E7D4A13"/>
    <w:rsid w:val="7EE759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Body Text"/>
    <w:basedOn w:val="1"/>
    <w:link w:val="16"/>
    <w:qFormat/>
    <w:uiPriority w:val="1"/>
    <w:pPr>
      <w:spacing w:before="140"/>
      <w:ind w:left="120"/>
      <w:jc w:val="left"/>
    </w:pPr>
    <w:rPr>
      <w:rFonts w:ascii="仿宋_GB2312" w:hAnsi="仿宋_GB2312" w:eastAsia="仿宋_GB2312" w:cstheme="minorBidi"/>
      <w:kern w:val="0"/>
      <w:sz w:val="32"/>
      <w:szCs w:val="32"/>
      <w:lang w:eastAsia="en-US"/>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文字 Char"/>
    <w:basedOn w:val="8"/>
    <w:link w:val="3"/>
    <w:qFormat/>
    <w:uiPriority w:val="0"/>
    <w:rPr>
      <w:rFonts w:ascii="Calibri" w:hAnsi="Calibri" w:cs="黑体"/>
      <w:kern w:val="2"/>
      <w:sz w:val="21"/>
      <w:szCs w:val="24"/>
    </w:rPr>
  </w:style>
  <w:style w:type="character" w:customStyle="1" w:styleId="13">
    <w:name w:val="批注主题 Char"/>
    <w:basedOn w:val="12"/>
    <w:link w:val="2"/>
    <w:qFormat/>
    <w:uiPriority w:val="0"/>
    <w:rPr>
      <w:rFonts w:ascii="Calibri" w:hAnsi="Calibri" w:cs="黑体"/>
      <w:b/>
      <w:bCs/>
      <w:kern w:val="2"/>
      <w:sz w:val="21"/>
      <w:szCs w:val="24"/>
    </w:rPr>
  </w:style>
  <w:style w:type="character" w:customStyle="1" w:styleId="14">
    <w:name w:val="批注框文本 Char"/>
    <w:basedOn w:val="8"/>
    <w:link w:val="5"/>
    <w:qFormat/>
    <w:uiPriority w:val="0"/>
    <w:rPr>
      <w:rFonts w:ascii="Calibri" w:hAnsi="Calibri" w:cs="黑体"/>
      <w:kern w:val="2"/>
      <w:sz w:val="18"/>
      <w:szCs w:val="18"/>
    </w:rPr>
  </w:style>
  <w:style w:type="paragraph" w:customStyle="1" w:styleId="15">
    <w:name w:val="Char"/>
    <w:basedOn w:val="1"/>
    <w:qFormat/>
    <w:uiPriority w:val="0"/>
    <w:pPr>
      <w:widowControl/>
      <w:spacing w:after="160" w:line="240" w:lineRule="exact"/>
      <w:ind w:firstLine="602" w:firstLineChars="250"/>
      <w:jc w:val="center"/>
    </w:pPr>
    <w:rPr>
      <w:rFonts w:ascii="黑体" w:hAnsi="Verdana" w:eastAsia="黑体" w:cs="Times New Roman"/>
      <w:b/>
      <w:kern w:val="0"/>
      <w:sz w:val="36"/>
      <w:szCs w:val="36"/>
    </w:rPr>
  </w:style>
  <w:style w:type="character" w:customStyle="1" w:styleId="16">
    <w:name w:val="正文文本 Char"/>
    <w:basedOn w:val="8"/>
    <w:link w:val="4"/>
    <w:qFormat/>
    <w:uiPriority w:val="1"/>
    <w:rPr>
      <w:rFonts w:ascii="仿宋_GB2312" w:hAnsi="仿宋_GB2312" w:eastAsia="仿宋_GB2312" w:cstheme="minorBidi"/>
      <w:sz w:val="32"/>
      <w:szCs w:val="32"/>
      <w:lang w:eastAsia="en-US"/>
    </w:rPr>
  </w:style>
  <w:style w:type="paragraph" w:customStyle="1" w:styleId="17">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14.emf"/><Relationship Id="rId26" Type="http://schemas.openxmlformats.org/officeDocument/2006/relationships/oleObject" Target="embeddings/oleObject8.bin"/><Relationship Id="rId25" Type="http://schemas.openxmlformats.org/officeDocument/2006/relationships/image" Target="media/image13.emf"/><Relationship Id="rId24" Type="http://schemas.openxmlformats.org/officeDocument/2006/relationships/oleObject" Target="embeddings/oleObject7.bin"/><Relationship Id="rId23" Type="http://schemas.openxmlformats.org/officeDocument/2006/relationships/image" Target="media/image12.emf"/><Relationship Id="rId22" Type="http://schemas.openxmlformats.org/officeDocument/2006/relationships/oleObject" Target="embeddings/oleObject6.bin"/><Relationship Id="rId21" Type="http://schemas.openxmlformats.org/officeDocument/2006/relationships/image" Target="media/image11.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oleObject" Target="embeddings/oleObject4.bin"/><Relationship Id="rId17" Type="http://schemas.openxmlformats.org/officeDocument/2006/relationships/image" Target="media/image9.emf"/><Relationship Id="rId16" Type="http://schemas.openxmlformats.org/officeDocument/2006/relationships/oleObject" Target="embeddings/oleObject3.bin"/><Relationship Id="rId15" Type="http://schemas.openxmlformats.org/officeDocument/2006/relationships/image" Target="media/image8.emf"/><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36130;&#21153;\2019\2019&#20915;&#31639;\&#20915;&#31639;&#20844;&#24320;\&#25554;&#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ellipsis" vert="horz" anchor="ctr" anchorCtr="1"/>
          <a:lstStyle/>
          <a:p>
            <a:pPr algn="ctr">
              <a:defRPr sz="1600" b="1" kern="1200">
                <a:solidFill>
                  <a:schemeClr val="tx2"/>
                </a:solidFill>
                <a:latin typeface="+mn-lt"/>
                <a:ea typeface="+mn-ea"/>
                <a:cs typeface="+mn-cs"/>
              </a:defRPr>
            </a:pPr>
            <a:r>
              <a:rPr lang="zh-CN" altLang="en-US" sz="1600" b="1" i="0" u="none" strike="noStrike" kern="1200" cap="none" spc="0" normalizeH="0" baseline="0">
                <a:solidFill>
                  <a:schemeClr val="tx2"/>
                </a:solidFill>
                <a:effectLst/>
                <a:latin typeface="+mn-lt"/>
                <a:ea typeface="+mn-ea"/>
                <a:cs typeface="+mn-cs"/>
              </a:rPr>
              <a:t>人员构成</a:t>
            </a:r>
            <a:endParaRPr lang="zh-CN" sz="1600" b="1" i="0" u="none" strike="noStrike" kern="1200" cap="none" spc="0" normalizeH="0" baseline="0">
              <a:solidFill>
                <a:schemeClr val="tx2"/>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chemeClr val="accent1">
                    <a:alpha val="35000"/>
                  </a:scheme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chemeClr val="accent2">
                    <a:alpha val="35000"/>
                  </a:scheme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chemeClr val="accent3">
                    <a:alpha val="35000"/>
                  </a:schemeClr>
                </a:outerShdw>
              </a:effectLst>
            </c:spPr>
          </c:dPt>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2"/>
                    </a:solidFill>
                    <a:latin typeface="+mn-lt"/>
                    <a:ea typeface="+mn-ea"/>
                    <a:cs typeface="+mn-cs"/>
                  </a:defRPr>
                </a:pPr>
              </a:p>
            </c:txPr>
            <c:dLblPos val="ct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noFill/>
                    <a:ln w="9525">
                      <a:solidFill>
                        <a:schemeClr val="tx2">
                          <a:lumMod val="35000"/>
                          <a:lumOff val="65000"/>
                        </a:schemeClr>
                      </a:solidFill>
                    </a:ln>
                    <a:effectLst/>
                  </c:spPr>
                </c15:leaderLines>
              </c:ext>
            </c:extLst>
          </c:dLbls>
          <c:cat>
            <c:strRef>
              <c:f>[插图.xlsx]人员构成!$A$1:$A$3</c:f>
              <c:strCache>
                <c:ptCount val="3"/>
                <c:pt idx="0">
                  <c:v>在职行政人员</c:v>
                </c:pt>
                <c:pt idx="1">
                  <c:v>在职事业人员</c:v>
                </c:pt>
                <c:pt idx="2">
                  <c:v>离退休人员</c:v>
                </c:pt>
              </c:strCache>
            </c:strRef>
          </c:cat>
          <c:val>
            <c:numRef>
              <c:f>[插图.xlsx]人员构成!$B$1:$B$3</c:f>
              <c:numCache>
                <c:formatCode>General</c:formatCode>
                <c:ptCount val="3"/>
                <c:pt idx="0" c:formatCode="General">
                  <c:v>10</c:v>
                </c:pt>
                <c:pt idx="1" c:formatCode="General">
                  <c:v>114</c:v>
                </c:pt>
                <c:pt idx="2" c:formatCode="General">
                  <c:v>53</c:v>
                </c:pt>
              </c:numCache>
            </c:numRef>
          </c:val>
        </c:ser>
        <c:dLbls>
          <c:dLblPos val="bestFit"/>
          <c:showLegendKey val="0"/>
          <c:showVal val="0"/>
          <c:showCatName val="1"/>
          <c:showSerName val="0"/>
          <c:showPercent val="0"/>
          <c:showBubbleSize val="0"/>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a:solidFill>
                <a:schemeClr val="tx2"/>
              </a:solidFill>
              <a:latin typeface="+mn-lt"/>
              <a:ea typeface="+mn-ea"/>
              <a:cs typeface="+mn-cs"/>
            </a:defRPr>
          </a:pPr>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2"/>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BF4FA-3F3D-4E54-9A25-600C2F1E067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49</Pages>
  <Words>11890</Words>
  <Characters>6513</Characters>
  <Lines>54</Lines>
  <Paragraphs>36</Paragraphs>
  <TotalTime>0</TotalTime>
  <ScaleCrop>false</ScaleCrop>
  <LinksUpToDate>false</LinksUpToDate>
  <CharactersWithSpaces>18367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2020-07-28T02:12:00Z</cp:lastPrinted>
  <dcterms:modified xsi:type="dcterms:W3CDTF">2020-10-15T02:36:02Z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