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jc w:val="center"/>
        <w:rPr>
          <w:rFonts w:hint="eastAsia" w:ascii="黑体" w:hAnsi="黑体" w:eastAsia="黑体"/>
          <w:sz w:val="32"/>
          <w:szCs w:val="32"/>
          <w:lang w:val="en-US" w:eastAsia="zh-CN"/>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lang w:eastAsia="zh-CN"/>
        </w:rPr>
        <w:t>杨陵区医疗保障局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bookmarkStart w:id="0" w:name="_GoBack"/>
      <w:bookmarkEnd w:id="0"/>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陵区医疗保障局是区政府工作部门，为正科级，2019年3月15日成立。负责组织拟订全区医疗保险、生育保险、医疗救助、长期护理保险、医保基金监督管理等医疗保障方面的规章草案、政策、计划和标准，并组织实施。组织制定全区医疗保障筹资和待遇政策，统筹城乡医疗保障待遇标准，组织制定全区城乡统一的药品、医用耗材、医疗服务项目、医疗服务设施等医保目录和支付标准。制定全区定点医药机构协议和支付管理办法并组织实施，负责全区医疗保障经办管理、公共服务体系和信息化建设。</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楷体" w:hAnsi="楷体" w:eastAsia="楷体" w:cs="楷体"/>
          <w:b/>
          <w:bCs/>
          <w:color w:val="000000"/>
          <w:kern w:val="0"/>
          <w:sz w:val="32"/>
          <w:szCs w:val="32"/>
          <w:lang w:val="en-US" w:eastAsia="zh-CN" w:bidi="ar"/>
        </w:rPr>
      </w:pPr>
      <w:r>
        <w:rPr>
          <w:rFonts w:hint="eastAsia" w:ascii="仿宋" w:hAnsi="仿宋" w:eastAsia="仿宋" w:cs="仿宋"/>
          <w:sz w:val="32"/>
          <w:szCs w:val="32"/>
          <w:lang w:val="en-US" w:eastAsia="zh-CN"/>
        </w:rPr>
        <w:t>杨陵区医疗保障局下属2个事业单位，杨陵区医疗保险经办中心，杨陵区新型农村合作医疗管理委员会办公室。</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杨陵区医疗保障局</w:t>
            </w:r>
            <w:r>
              <w:rPr>
                <w:rFonts w:hint="eastAsia" w:ascii="仿宋_GB2312" w:hAnsi="仿宋_GB2312" w:eastAsia="仿宋_GB2312" w:cs="仿宋_GB2312"/>
                <w:sz w:val="32"/>
                <w:szCs w:val="32"/>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 w:hAnsi="仿宋" w:eastAsia="仿宋" w:cs="仿宋"/>
                <w:sz w:val="32"/>
                <w:szCs w:val="32"/>
                <w:lang w:val="en-US" w:eastAsia="zh-CN"/>
              </w:rPr>
              <w:t>杨陵区医疗保险经办中心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 w:hAnsi="仿宋" w:eastAsia="仿宋" w:cs="仿宋"/>
                <w:sz w:val="32"/>
                <w:szCs w:val="32"/>
                <w:lang w:val="en-US" w:eastAsia="zh-CN"/>
              </w:rPr>
              <w:t>杨陵区新型农村合作医疗管理委员会办公室</w:t>
            </w:r>
          </w:p>
        </w:tc>
      </w:tr>
    </w:tbl>
    <w:p>
      <w:pPr>
        <w:ind w:firstLine="640"/>
        <w:rPr>
          <w:rFonts w:ascii="仿宋_GB2312" w:hAnsi="仿宋_GB2312" w:eastAsia="仿宋_GB2312" w:cs="仿宋_GB2312"/>
          <w:sz w:val="32"/>
          <w:szCs w:val="32"/>
        </w:rPr>
      </w:pPr>
      <w:r>
        <w:rPr>
          <w:rFonts w:hint="eastAsia" w:ascii="黑体" w:hAnsi="黑体" w:eastAsia="黑体"/>
          <w:b/>
          <w:bCs/>
          <w:sz w:val="32"/>
          <w:szCs w:val="32"/>
        </w:rPr>
        <w:t>三、部门人员情况</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384165" cy="2973070"/>
            <wp:effectExtent l="0" t="0" r="0" b="0"/>
            <wp:docPr id="8" name="图表 8" title="人员构成"/>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截止2019年底，本部门人员编制20人，其中行政编制4人、事业编制16人；实有人员16人，其中行政3人、事业13人。单位管理的离退休人员4人。</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640" w:firstLineChars="200"/>
        <w:textAlignment w:val="auto"/>
        <w:outlineLvl w:val="9"/>
        <w:rPr>
          <w:rFonts w:ascii="黑体" w:hAnsi="宋体" w:eastAsia="黑体"/>
          <w:color w:val="000000"/>
          <w:kern w:val="0"/>
          <w:sz w:val="44"/>
          <w:szCs w:val="44"/>
          <w:lang w:bidi="ar"/>
        </w:rPr>
      </w:pPr>
      <w:r>
        <w:rPr>
          <w:rFonts w:hint="eastAsia" w:ascii="仿宋" w:hAnsi="仿宋" w:eastAsia="仿宋" w:cs="仿宋"/>
          <w:sz w:val="32"/>
          <w:szCs w:val="32"/>
          <w:lang w:val="en-US" w:eastAsia="zh-CN"/>
        </w:rPr>
        <w:tab/>
      </w: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95" w:type="dxa"/>
        <w:tblInd w:w="0" w:type="dxa"/>
        <w:tblLayout w:type="fixed"/>
        <w:tblCellMar>
          <w:top w:w="0" w:type="dxa"/>
          <w:left w:w="0" w:type="dxa"/>
          <w:bottom w:w="0" w:type="dxa"/>
          <w:right w:w="0" w:type="dxa"/>
        </w:tblCellMar>
      </w:tblPr>
      <w:tblGrid>
        <w:gridCol w:w="735"/>
        <w:gridCol w:w="4110"/>
        <w:gridCol w:w="1047"/>
        <w:gridCol w:w="3203"/>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2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本部门无政府性基金预算收支</w:t>
            </w:r>
          </w:p>
        </w:tc>
      </w:tr>
    </w:tbl>
    <w:p>
      <w:pPr>
        <w:widowControl/>
        <w:jc w:val="both"/>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388"/>
        <w:gridCol w:w="1496"/>
        <w:gridCol w:w="2674"/>
        <w:gridCol w:w="1326"/>
      </w:tblGrid>
      <w:tr>
        <w:tblPrEx>
          <w:tblCellMar>
            <w:top w:w="15" w:type="dxa"/>
            <w:left w:w="15" w:type="dxa"/>
            <w:bottom w:w="15" w:type="dxa"/>
            <w:right w:w="15" w:type="dxa"/>
          </w:tblCellMar>
        </w:tblPrEx>
        <w:trPr>
          <w:trHeight w:val="426" w:hRule="atLeast"/>
        </w:trPr>
        <w:tc>
          <w:tcPr>
            <w:tcW w:w="48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0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643</w:t>
            </w:r>
            <w:r>
              <w:rPr>
                <w:rFonts w:hint="eastAsia" w:ascii="宋体" w:hAnsi="宋体" w:cs="宋体"/>
                <w:color w:val="000000"/>
                <w:szCs w:val="21"/>
                <w:lang w:val="en-US" w:eastAsia="zh-CN"/>
              </w:rPr>
              <w:t>.43</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496"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496"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496"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r>
              <w:rPr>
                <w:rFonts w:hint="eastAsia" w:ascii="宋体" w:hAnsi="宋体" w:cs="宋体"/>
                <w:i w:val="0"/>
                <w:color w:val="000000"/>
                <w:kern w:val="0"/>
                <w:sz w:val="22"/>
                <w:szCs w:val="22"/>
                <w:u w:val="none"/>
                <w:lang w:val="en-US" w:eastAsia="zh-CN" w:bidi="ar"/>
              </w:rPr>
              <w:t>.62</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rPr>
              <w:t>173</w:t>
            </w:r>
            <w:r>
              <w:rPr>
                <w:rFonts w:hint="eastAsia" w:ascii="宋体" w:hAnsi="宋体" w:cs="宋体"/>
                <w:color w:val="000000"/>
                <w:szCs w:val="21"/>
                <w:lang w:val="en-US" w:eastAsia="zh-CN"/>
              </w:rPr>
              <w:t>.85</w:t>
            </w:r>
          </w:p>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96"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rPr>
              <w:t>660</w:t>
            </w:r>
            <w:r>
              <w:rPr>
                <w:rFonts w:hint="eastAsia" w:ascii="宋体" w:hAnsi="宋体" w:cs="宋体"/>
                <w:color w:val="000000"/>
                <w:szCs w:val="21"/>
                <w:lang w:val="en-US" w:eastAsia="zh-CN"/>
              </w:rPr>
              <w:t>.72</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96"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496"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rPr>
              <w:t>2</w:t>
            </w:r>
            <w:r>
              <w:rPr>
                <w:rFonts w:hint="eastAsia" w:ascii="宋体" w:hAnsi="宋体" w:cs="宋体"/>
                <w:color w:val="000000"/>
                <w:szCs w:val="21"/>
                <w:lang w:val="en-US" w:eastAsia="zh-CN"/>
              </w:rPr>
              <w:t>.</w:t>
            </w:r>
            <w:r>
              <w:rPr>
                <w:rFonts w:hint="eastAsia" w:ascii="宋体" w:hAnsi="宋体" w:cs="宋体"/>
                <w:color w:val="000000"/>
                <w:szCs w:val="21"/>
              </w:rPr>
              <w:t>1</w:t>
            </w:r>
            <w:r>
              <w:rPr>
                <w:rFonts w:hint="eastAsia" w:ascii="宋体" w:hAnsi="宋体" w:cs="宋体"/>
                <w:color w:val="000000"/>
                <w:szCs w:val="21"/>
                <w:lang w:val="en-US" w:eastAsia="zh-CN"/>
              </w:rPr>
              <w:t>9</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496"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844</w:t>
            </w:r>
            <w:r>
              <w:rPr>
                <w:rFonts w:hint="eastAsia" w:ascii="宋体" w:hAnsi="宋体" w:cs="宋体"/>
                <w:color w:val="000000"/>
                <w:kern w:val="0"/>
                <w:szCs w:val="21"/>
                <w:lang w:val="en-US" w:eastAsia="zh-CN"/>
              </w:rPr>
              <w:t>.05</w:t>
            </w:r>
            <w:r>
              <w:rPr>
                <w:rFonts w:hint="eastAsia" w:ascii="宋体" w:hAnsi="宋体" w:cs="宋体"/>
                <w:color w:val="000000"/>
                <w:kern w:val="0"/>
                <w:szCs w:val="21"/>
              </w:rPr>
              <w:t xml:space="preserve"> </w:t>
            </w:r>
          </w:p>
        </w:tc>
        <w:tc>
          <w:tcPr>
            <w:tcW w:w="267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836</w:t>
            </w:r>
            <w:r>
              <w:rPr>
                <w:rFonts w:hint="eastAsia" w:ascii="宋体" w:hAnsi="宋体" w:cs="宋体"/>
                <w:b/>
                <w:color w:val="000000"/>
                <w:szCs w:val="21"/>
                <w:lang w:val="en-US" w:eastAsia="zh-CN"/>
              </w:rPr>
              <w:t>.76</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2</w:t>
            </w:r>
            <w:r>
              <w:rPr>
                <w:rFonts w:hint="eastAsia" w:ascii="宋体" w:hAnsi="宋体" w:cs="宋体"/>
                <w:bCs/>
                <w:color w:val="000000"/>
                <w:szCs w:val="21"/>
                <w:lang w:val="en-US" w:eastAsia="zh-CN"/>
              </w:rPr>
              <w:t>.71</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rPr>
              <w:t>10</w:t>
            </w: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846.76</w:t>
            </w:r>
          </w:p>
        </w:tc>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846.76</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 w:val="48"/>
          <w:szCs w:val="48"/>
        </w:rPr>
      </w:pPr>
      <w:r>
        <w:rPr>
          <w:rFonts w:hint="eastAsia" w:ascii="宋体" w:hAnsi="宋体" w:cs="宋体"/>
          <w:b/>
          <w:bCs/>
          <w:szCs w:val="21"/>
        </w:rPr>
        <w:t>金额单位：万元</w:t>
      </w:r>
    </w:p>
    <w:tbl>
      <w:tblPr>
        <w:tblStyle w:val="7"/>
        <w:tblW w:w="8612" w:type="dxa"/>
        <w:tblInd w:w="0" w:type="dxa"/>
        <w:tblLayout w:type="fixed"/>
        <w:tblCellMar>
          <w:top w:w="15" w:type="dxa"/>
          <w:left w:w="15" w:type="dxa"/>
          <w:bottom w:w="15" w:type="dxa"/>
          <w:right w:w="15" w:type="dxa"/>
        </w:tblCellMar>
      </w:tblPr>
      <w:tblGrid>
        <w:gridCol w:w="927"/>
        <w:gridCol w:w="920"/>
        <w:gridCol w:w="960"/>
        <w:gridCol w:w="720"/>
        <w:gridCol w:w="600"/>
        <w:gridCol w:w="720"/>
        <w:gridCol w:w="1410"/>
        <w:gridCol w:w="810"/>
        <w:gridCol w:w="795"/>
        <w:gridCol w:w="750"/>
      </w:tblGrid>
      <w:tr>
        <w:tblPrEx>
          <w:tblCellMar>
            <w:top w:w="15" w:type="dxa"/>
            <w:left w:w="15" w:type="dxa"/>
            <w:bottom w:w="15" w:type="dxa"/>
            <w:right w:w="15" w:type="dxa"/>
          </w:tblCellMar>
        </w:tblPrEx>
        <w:trPr>
          <w:trHeight w:val="439" w:hRule="atLeast"/>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92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Cs w:val="21"/>
              </w:rPr>
              <w:t>844</w:t>
            </w:r>
            <w:r>
              <w:rPr>
                <w:rFonts w:hint="eastAsia" w:ascii="宋体" w:hAnsi="宋体" w:cs="宋体"/>
                <w:color w:val="000000"/>
                <w:kern w:val="0"/>
                <w:szCs w:val="21"/>
                <w:lang w:val="en-US" w:eastAsia="zh-CN"/>
              </w:rPr>
              <w:t>.05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643.43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r>
              <w:rPr>
                <w:rFonts w:hint="eastAsia" w:ascii="宋体" w:hAnsi="宋体" w:cs="宋体"/>
                <w:i w:val="0"/>
                <w:color w:val="000000"/>
                <w:kern w:val="0"/>
                <w:sz w:val="22"/>
                <w:szCs w:val="22"/>
                <w:u w:val="none"/>
                <w:lang w:val="en-US" w:eastAsia="zh-CN" w:bidi="ar"/>
              </w:rPr>
              <w:t>.62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173.85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173.85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153.51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153.51</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123.51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123.51</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.34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.34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668.01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467.39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200.62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卫生健康管理事务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w:t>
            </w:r>
            <w:r>
              <w:rPr>
                <w:rFonts w:hint="eastAsia" w:ascii="宋体" w:hAnsi="宋体" w:cs="宋体"/>
                <w:i w:val="0"/>
                <w:color w:val="000000"/>
                <w:kern w:val="0"/>
                <w:sz w:val="22"/>
                <w:szCs w:val="22"/>
                <w:u w:val="none"/>
                <w:lang w:val="en-US" w:eastAsia="zh-CN" w:bidi="ar"/>
              </w:rPr>
              <w:t>.45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63</w:t>
            </w:r>
            <w:r>
              <w:rPr>
                <w:rFonts w:hint="eastAsia" w:ascii="宋体" w:hAnsi="宋体" w:cs="宋体"/>
                <w:i w:val="0"/>
                <w:color w:val="000000"/>
                <w:kern w:val="0"/>
                <w:sz w:val="22"/>
                <w:szCs w:val="22"/>
                <w:u w:val="none"/>
                <w:lang w:val="en-US" w:eastAsia="zh-CN" w:bidi="ar"/>
              </w:rPr>
              <w:t>.45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w:t>
            </w:r>
            <w:r>
              <w:rPr>
                <w:rFonts w:hint="eastAsia" w:ascii="宋体" w:hAnsi="宋体" w:cs="宋体"/>
                <w:i w:val="0"/>
                <w:color w:val="000000"/>
                <w:kern w:val="0"/>
                <w:sz w:val="22"/>
                <w:szCs w:val="22"/>
                <w:u w:val="none"/>
                <w:lang w:val="en-US" w:eastAsia="zh-CN" w:bidi="ar"/>
              </w:rPr>
              <w:t>.45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w:t>
            </w:r>
            <w:r>
              <w:rPr>
                <w:rFonts w:hint="eastAsia" w:ascii="宋体" w:hAnsi="宋体" w:cs="宋体"/>
                <w:i w:val="0"/>
                <w:color w:val="000000"/>
                <w:kern w:val="0"/>
                <w:sz w:val="22"/>
                <w:szCs w:val="22"/>
                <w:u w:val="none"/>
                <w:lang w:val="en-US" w:eastAsia="zh-CN" w:bidi="ar"/>
              </w:rPr>
              <w:t>.45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21007</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计划生育事务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2100799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1.78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1.78</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372.65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183.65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190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2101103</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17.25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3.81</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13</w:t>
            </w:r>
            <w:r>
              <w:rPr>
                <w:rFonts w:hint="eastAsia" w:ascii="宋体" w:hAnsi="宋体" w:cs="宋体"/>
                <w:i w:val="0"/>
                <w:color w:val="000000"/>
                <w:kern w:val="0"/>
                <w:sz w:val="22"/>
                <w:szCs w:val="22"/>
                <w:u w:val="none"/>
                <w:lang w:val="en-US" w:eastAsia="zh-CN" w:bidi="ar"/>
              </w:rPr>
              <w:t>.44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355.4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178.84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176.56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医疗救助</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213.57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213.57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城乡医疗救助</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213.57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213.57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医疗保障管理事务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14</w:t>
            </w:r>
            <w:r>
              <w:rPr>
                <w:rFonts w:hint="eastAsia" w:ascii="宋体" w:hAnsi="宋体" w:cs="宋体"/>
                <w:i w:val="0"/>
                <w:color w:val="000000"/>
                <w:kern w:val="0"/>
                <w:sz w:val="22"/>
                <w:szCs w:val="22"/>
                <w:u w:val="none"/>
                <w:lang w:val="en-US" w:eastAsia="zh-CN" w:bidi="ar"/>
              </w:rPr>
              <w:t>.05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.05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2101504</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信息化建设</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.05</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.05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21099</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其他卫生健康支出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.89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0.62</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2109901</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.89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0.62</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扶贫</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2130505</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生产发展</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 w:val="48"/>
          <w:szCs w:val="48"/>
        </w:rPr>
      </w:pPr>
      <w:r>
        <w:rPr>
          <w:rFonts w:hint="eastAsia" w:ascii="宋体" w:hAnsi="宋体" w:cs="宋体"/>
          <w:b/>
          <w:bCs/>
          <w:szCs w:val="21"/>
        </w:rPr>
        <w:t>金额单位：万元</w:t>
      </w:r>
    </w:p>
    <w:tbl>
      <w:tblPr>
        <w:tblStyle w:val="7"/>
        <w:tblW w:w="8477" w:type="dxa"/>
        <w:tblInd w:w="0" w:type="dxa"/>
        <w:tblLayout w:type="fixed"/>
        <w:tblCellMar>
          <w:top w:w="15" w:type="dxa"/>
          <w:left w:w="15" w:type="dxa"/>
          <w:bottom w:w="15" w:type="dxa"/>
          <w:right w:w="15" w:type="dxa"/>
        </w:tblCellMar>
      </w:tblPr>
      <w:tblGrid>
        <w:gridCol w:w="914"/>
        <w:gridCol w:w="83"/>
        <w:gridCol w:w="1540"/>
        <w:gridCol w:w="1050"/>
        <w:gridCol w:w="1305"/>
        <w:gridCol w:w="900"/>
        <w:gridCol w:w="915"/>
        <w:gridCol w:w="645"/>
        <w:gridCol w:w="1125"/>
      </w:tblGrid>
      <w:tr>
        <w:tblPrEx>
          <w:tblCellMar>
            <w:top w:w="15" w:type="dxa"/>
            <w:left w:w="15" w:type="dxa"/>
            <w:bottom w:w="15" w:type="dxa"/>
            <w:right w:w="15" w:type="dxa"/>
          </w:tblCellMar>
        </w:tblPrEx>
        <w:trPr>
          <w:trHeight w:val="372" w:hRule="atLeast"/>
        </w:trPr>
        <w:tc>
          <w:tcPr>
            <w:tcW w:w="25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5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836.76</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179.89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656.87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173.85</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123.51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50.34</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153.51</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123.51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123.51</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123.51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20.34</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20.34</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660.72</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56.38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604.34</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卫生健康管理事务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63.89</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56.38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7.51</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8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63.89</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56.38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7.51</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21002</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公立医院</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2.27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2.27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2100299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2.27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2.27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21007</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计划生育事务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2100799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372.65</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372.65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2101103</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17.25</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17.25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355.4</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355.4</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医疗救助</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213.57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213.57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城乡医疗救助</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213.57</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213.57</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医疗保障管理事务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4.05</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4.05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2101504</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信息化建设</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4.05</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4.05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21099</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其他卫生健康支出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2.52</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2.52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2109901</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2.52</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2.52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2.19</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2.19</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扶贫</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2.19</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2.19</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2130505</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生产发展</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2.19</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2.19</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643.43</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173.85</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173.85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467.81</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467.81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2.19</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2.19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 xml:space="preserve">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643.43</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cs="宋体"/>
                <w:i w:val="0"/>
                <w:color w:val="000000"/>
                <w:kern w:val="0"/>
                <w:sz w:val="22"/>
                <w:szCs w:val="22"/>
                <w:u w:val="none"/>
                <w:lang w:val="en-US" w:eastAsia="zh-CN" w:bidi="ar"/>
              </w:rPr>
              <w:t>643.85</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643.85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0.42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val="0"/>
                <w:bCs/>
                <w:color w:val="000000"/>
                <w:kern w:val="0"/>
                <w:szCs w:val="21"/>
              </w:rPr>
            </w:pPr>
            <w:r>
              <w:rPr>
                <w:rFonts w:hint="eastAsia" w:ascii="宋体" w:hAnsi="宋体" w:cs="宋体"/>
                <w:b w:val="0"/>
                <w:bCs/>
                <w:color w:val="000000"/>
                <w:kern w:val="0"/>
                <w:szCs w:val="21"/>
                <w:lang w:val="en-US" w:eastAsia="zh-CN"/>
              </w:rPr>
              <w:t>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0.42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643.85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643.85</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643.85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865"/>
        <w:gridCol w:w="915"/>
        <w:gridCol w:w="1005"/>
        <w:gridCol w:w="975"/>
        <w:gridCol w:w="870"/>
        <w:gridCol w:w="144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895"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643.85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179.89</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170.73</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9.16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463.96</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173.85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123.51</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115.97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7.54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50.34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153.51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123.51</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115.97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7.54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123.51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123.51</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115.97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7.54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20.34</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20.34</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467.81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56.38</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54.76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1.62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411.43</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卫生健康管理事务</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63.87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56.38</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54.76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1.62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7.49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63.87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56.38</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54.76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1.62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7.49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计划生育事务</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2100799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182.65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182.65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3.81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3.81</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178.84</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178.84</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医疗救助</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213.57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213.57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城乡医疗救助</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213.57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213.57</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医疗保障管理事务</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4.05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4.05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2101504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信息化建设</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4.05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4.05</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其他卫生健康支出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1.89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1.89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2109901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1.89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1.89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扶贫</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生产发展</w:t>
            </w: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2.19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2.19</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179.89</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170.73</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9.16</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170.69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54.42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39.49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15.44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r>
              <w:rPr>
                <w:rFonts w:hint="eastAsia" w:ascii="宋体" w:hAnsi="宋体" w:cs="宋体"/>
                <w:i w:val="0"/>
                <w:color w:val="000000"/>
                <w:kern w:val="0"/>
                <w:sz w:val="22"/>
                <w:szCs w:val="22"/>
                <w:u w:val="none"/>
                <w:lang w:val="en-US" w:eastAsia="zh-CN" w:bidi="ar"/>
              </w:rPr>
              <w:t>.35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r>
              <w:rPr>
                <w:rFonts w:hint="eastAsia" w:ascii="宋体" w:hAnsi="宋体" w:cs="宋体"/>
                <w:i w:val="0"/>
                <w:color w:val="000000"/>
                <w:kern w:val="0"/>
                <w:sz w:val="22"/>
                <w:szCs w:val="22"/>
                <w:u w:val="none"/>
                <w:lang w:val="en-US" w:eastAsia="zh-CN" w:bidi="ar"/>
              </w:rPr>
              <w:t>.43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rPr>
              <w:t>9</w:t>
            </w:r>
            <w:r>
              <w:rPr>
                <w:rFonts w:hint="eastAsia" w:ascii="宋体" w:hAnsi="宋体" w:cs="宋体"/>
                <w:color w:val="000000"/>
                <w:szCs w:val="21"/>
                <w:lang w:val="en-US" w:eastAsia="zh-CN"/>
              </w:rPr>
              <w:t>.16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.59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0.45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0.48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302</w:t>
            </w:r>
            <w:r>
              <w:rPr>
                <w:rFonts w:hint="eastAsia" w:ascii="宋体" w:hAnsi="宋体" w:cs="宋体"/>
                <w:color w:val="000000"/>
                <w:kern w:val="0"/>
                <w:szCs w:val="21"/>
                <w:lang w:val="en-US" w:eastAsia="zh-CN"/>
              </w:rPr>
              <w:t>14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租赁费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0.05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302</w:t>
            </w:r>
            <w:r>
              <w:rPr>
                <w:rFonts w:hint="eastAsia" w:ascii="宋体" w:hAnsi="宋体" w:cs="宋体"/>
                <w:color w:val="000000"/>
                <w:kern w:val="0"/>
                <w:szCs w:val="21"/>
                <w:lang w:val="en-US" w:eastAsia="zh-CN"/>
              </w:rPr>
              <w:t>28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0.34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公</w:t>
            </w:r>
            <w:r>
              <w:rPr>
                <w:rFonts w:hint="eastAsia" w:ascii="宋体" w:hAnsi="宋体" w:cs="宋体"/>
                <w:color w:val="000000"/>
                <w:kern w:val="0"/>
                <w:szCs w:val="21"/>
              </w:rPr>
              <w:t>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4.11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1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0.51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cs="宋体"/>
                <w:i w:val="0"/>
                <w:color w:val="000000"/>
                <w:kern w:val="0"/>
                <w:sz w:val="22"/>
                <w:szCs w:val="22"/>
                <w:u w:val="none"/>
                <w:lang w:val="en-US" w:eastAsia="zh-CN" w:bidi="ar"/>
              </w:rPr>
              <w:t>0.51</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0.51</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both"/>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hint="eastAsia"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杨陵区医疗保障局</w:t>
      </w:r>
      <w:r>
        <w:rPr>
          <w:rFonts w:hint="eastAsia" w:ascii="宋体" w:hAnsi="宋体" w:cs="宋体"/>
          <w:b/>
          <w:bCs/>
          <w:szCs w:val="21"/>
        </w:rPr>
        <w:t xml:space="preserve">                                                     </w:t>
      </w:r>
    </w:p>
    <w:p>
      <w:pPr>
        <w:rPr>
          <w:rFonts w:ascii="宋体" w:hAnsi="宋体" w:cs="宋体"/>
          <w:b/>
          <w:bCs/>
          <w:szCs w:val="21"/>
        </w:rPr>
      </w:pPr>
      <w:r>
        <w:rPr>
          <w:rFonts w:hint="eastAsia" w:ascii="宋体" w:hAnsi="宋体" w:cs="宋体"/>
          <w:b/>
          <w:bCs/>
          <w:szCs w:val="21"/>
        </w:rPr>
        <w:t>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numPr>
          <w:ilvl w:val="0"/>
          <w:numId w:val="2"/>
        </w:numPr>
        <w:ind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 w:hAnsi="仿宋" w:eastAsia="仿宋" w:cs="仿宋"/>
          <w:sz w:val="32"/>
          <w:szCs w:val="32"/>
          <w:lang w:val="en-US" w:eastAsia="zh-CN"/>
        </w:rPr>
      </w:pPr>
      <w:r>
        <w:rPr>
          <w:rFonts w:hint="eastAsia" w:ascii="仿宋_GB2312" w:hAnsi="仿宋" w:eastAsia="仿宋_GB2312"/>
          <w:sz w:val="32"/>
          <w:szCs w:val="32"/>
        </w:rPr>
        <w:t>2019年</w:t>
      </w:r>
      <w:r>
        <w:rPr>
          <w:rFonts w:hint="eastAsia" w:ascii="仿宋_GB2312" w:hAnsi="仿宋" w:eastAsia="仿宋_GB2312"/>
          <w:sz w:val="32"/>
          <w:szCs w:val="32"/>
          <w:lang w:val="en-US" w:eastAsia="zh-CN"/>
        </w:rPr>
        <w:t>部门总收入844.05万元，其中一般公共预算财政拨款收入643.43万元，其他收入200.62万元；</w:t>
      </w:r>
      <w:r>
        <w:rPr>
          <w:rFonts w:hint="eastAsia" w:ascii="仿宋" w:hAnsi="仿宋" w:eastAsia="仿宋" w:cs="仿宋"/>
          <w:sz w:val="32"/>
          <w:szCs w:val="32"/>
          <w:lang w:val="en-US" w:eastAsia="zh-CN"/>
        </w:rPr>
        <w:t>上年结转2.71万元；较上年总收入384.61万元增加459.44万元，增幅119.46%。</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2019年部门总支出836.76万元，其中基本支出179.89万元，项目支出656.87万元。较上年总支出399.99万元增加436.77万元，增幅109.19%。</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收支增幅较大的主要原因是杨陵区医保局是2019年3月15日新成立的预算单位，2019年决算包含局机关及下属区医保中心和区合疗办两个事业单位，2018年决算数只包含杨陵区医保中心收支总数。</w:t>
      </w:r>
    </w:p>
    <w:p>
      <w:pPr>
        <w:widowControl/>
        <w:ind w:firstLine="640" w:firstLine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eastAsia="zh-CN" w:bidi="ar"/>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val="en-US" w:eastAsia="zh-CN" w:bidi="ar"/>
        </w:rPr>
        <w:t>部门</w:t>
      </w:r>
      <w:r>
        <w:rPr>
          <w:rFonts w:ascii="仿宋_GB2312" w:hAnsi="宋体" w:eastAsia="仿宋_GB2312" w:cs="仿宋_GB2312"/>
          <w:color w:val="000000"/>
          <w:kern w:val="0"/>
          <w:sz w:val="32"/>
          <w:szCs w:val="32"/>
          <w:lang w:bidi="ar"/>
        </w:rPr>
        <w:t>收入合计</w:t>
      </w:r>
      <w:r>
        <w:rPr>
          <w:rFonts w:hint="eastAsia" w:ascii="仿宋_GB2312" w:hAnsi="仿宋" w:eastAsia="仿宋_GB2312"/>
          <w:sz w:val="32"/>
          <w:szCs w:val="32"/>
          <w:lang w:val="en-US" w:eastAsia="zh-CN"/>
        </w:rPr>
        <w:t>844.05</w:t>
      </w:r>
      <w:r>
        <w:rPr>
          <w:rFonts w:ascii="仿宋_GB2312" w:hAnsi="宋体" w:eastAsia="仿宋_GB2312" w:cs="仿宋_GB2312"/>
          <w:color w:val="000000"/>
          <w:kern w:val="0"/>
          <w:sz w:val="32"/>
          <w:szCs w:val="32"/>
          <w:lang w:bidi="ar"/>
        </w:rPr>
        <w:t>万元，其中：财政拨款收入</w:t>
      </w:r>
      <w:r>
        <w:rPr>
          <w:rFonts w:hint="eastAsia" w:ascii="仿宋_GB2312" w:hAnsi="仿宋" w:eastAsia="仿宋_GB2312"/>
          <w:sz w:val="32"/>
          <w:szCs w:val="32"/>
          <w:lang w:val="en-US" w:eastAsia="zh-CN"/>
        </w:rPr>
        <w:t>643.43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76.23</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%；其他收入</w:t>
      </w:r>
      <w:r>
        <w:rPr>
          <w:rFonts w:hint="eastAsia" w:ascii="仿宋_GB2312" w:hAnsi="仿宋" w:eastAsia="仿宋_GB2312"/>
          <w:sz w:val="32"/>
          <w:szCs w:val="32"/>
          <w:lang w:val="en-US" w:eastAsia="zh-CN"/>
        </w:rPr>
        <w:t>200.62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23.77</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3536950" cy="2353310"/>
            <wp:effectExtent l="4445" t="4445" r="2095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val="en-US" w:eastAsia="zh-CN" w:bidi="ar"/>
        </w:rPr>
        <w:t>部门</w:t>
      </w:r>
      <w:r>
        <w:rPr>
          <w:rFonts w:ascii="仿宋_GB2312" w:hAnsi="宋体" w:eastAsia="仿宋_GB2312" w:cs="仿宋_GB2312"/>
          <w:color w:val="000000"/>
          <w:kern w:val="0"/>
          <w:sz w:val="32"/>
          <w:szCs w:val="32"/>
          <w:lang w:bidi="ar"/>
        </w:rPr>
        <w:t>支出合计</w:t>
      </w:r>
      <w:r>
        <w:rPr>
          <w:rFonts w:hint="eastAsia" w:ascii="仿宋_GB2312" w:hAnsi="仿宋" w:eastAsia="仿宋_GB2312"/>
          <w:sz w:val="32"/>
          <w:szCs w:val="32"/>
          <w:lang w:val="en-US" w:eastAsia="zh-CN"/>
        </w:rPr>
        <w:t>836.76</w:t>
      </w:r>
      <w:r>
        <w:rPr>
          <w:rFonts w:ascii="仿宋_GB2312" w:hAnsi="宋体" w:eastAsia="仿宋_GB2312" w:cs="仿宋_GB2312"/>
          <w:color w:val="000000"/>
          <w:kern w:val="0"/>
          <w:sz w:val="32"/>
          <w:szCs w:val="32"/>
          <w:lang w:bidi="ar"/>
        </w:rPr>
        <w:t>万元，其中：基本支出</w:t>
      </w:r>
      <w:r>
        <w:rPr>
          <w:rFonts w:hint="eastAsia" w:ascii="仿宋_GB2312" w:hAnsi="仿宋" w:eastAsia="仿宋_GB2312"/>
          <w:sz w:val="32"/>
          <w:szCs w:val="32"/>
          <w:lang w:val="en-US" w:eastAsia="zh-CN"/>
        </w:rPr>
        <w:t>179.89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21.50</w:t>
      </w:r>
      <w:r>
        <w:rPr>
          <w:rFonts w:ascii="仿宋_GB2312" w:hAnsi="宋体" w:eastAsia="仿宋_GB2312" w:cs="仿宋_GB2312"/>
          <w:color w:val="000000"/>
          <w:kern w:val="0"/>
          <w:sz w:val="32"/>
          <w:szCs w:val="32"/>
          <w:lang w:bidi="ar"/>
        </w:rPr>
        <w:t>%；项目支出</w:t>
      </w:r>
      <w:r>
        <w:rPr>
          <w:rFonts w:hint="eastAsia" w:ascii="仿宋_GB2312" w:hAnsi="仿宋" w:eastAsia="仿宋_GB2312"/>
          <w:sz w:val="32"/>
          <w:szCs w:val="32"/>
          <w:lang w:val="en-US" w:eastAsia="zh-CN"/>
        </w:rPr>
        <w:t>656.87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78.50</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289425" cy="2600960"/>
            <wp:effectExtent l="4445" t="4445" r="11430"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643.43万元，较上年度财政拨款收入304.01万元增加339.42万元，增幅111.65%。</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643.43万元，较上年度财政拨款支出304.01万元增加339.42万元，增幅111.65%。</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增幅较大的主要原因是杨陵区医保局是2019年3月15日新成立的预算单位，2019年决算包含局机关及下属区医保中心和区合疗办两个事业单位，2018年决算数只包含杨陵区医保中心财政拨款收入总数。</w:t>
      </w:r>
    </w:p>
    <w:p>
      <w:pPr>
        <w:widowControl/>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 w:hAnsi="仿宋" w:eastAsia="仿宋" w:cs="仿宋"/>
          <w:sz w:val="32"/>
          <w:szCs w:val="32"/>
          <w:lang w:val="en-US" w:eastAsia="zh-CN"/>
        </w:rPr>
      </w:pPr>
      <w:r>
        <w:rPr>
          <w:rFonts w:ascii="仿宋_GB2312" w:hAnsi="宋体" w:eastAsia="仿宋_GB2312" w:cs="仿宋_GB2312"/>
          <w:color w:val="000000"/>
          <w:kern w:val="0"/>
          <w:sz w:val="32"/>
          <w:szCs w:val="32"/>
          <w:lang w:bidi="ar"/>
        </w:rPr>
        <w:t>2019 年财政拨款支出</w:t>
      </w:r>
      <w:r>
        <w:rPr>
          <w:rFonts w:hint="eastAsia" w:ascii="仿宋_GB2312" w:hAnsi="仿宋" w:eastAsia="仿宋_GB2312"/>
          <w:sz w:val="32"/>
          <w:szCs w:val="32"/>
          <w:lang w:val="en-US" w:eastAsia="zh-CN"/>
        </w:rPr>
        <w:t>643.85</w:t>
      </w:r>
      <w:r>
        <w:rPr>
          <w:rFonts w:ascii="仿宋_GB2312" w:hAnsi="宋体" w:eastAsia="仿宋_GB2312" w:cs="仿宋_GB2312"/>
          <w:color w:val="000000"/>
          <w:kern w:val="0"/>
          <w:sz w:val="32"/>
          <w:szCs w:val="32"/>
          <w:lang w:bidi="ar"/>
        </w:rPr>
        <w:t>万元，占本年支出合计</w:t>
      </w:r>
      <w:r>
        <w:rPr>
          <w:rFonts w:hint="eastAsia" w:ascii="仿宋_GB2312" w:hAnsi="仿宋" w:eastAsia="仿宋_GB2312"/>
          <w:sz w:val="32"/>
          <w:szCs w:val="32"/>
          <w:lang w:val="en-US" w:eastAsia="zh-CN"/>
        </w:rPr>
        <w:t>836.76万元</w:t>
      </w:r>
      <w:r>
        <w:rPr>
          <w:rFonts w:ascii="仿宋_GB2312" w:hAnsi="宋体" w:eastAsia="仿宋_GB2312" w:cs="仿宋_GB2312"/>
          <w:color w:val="000000"/>
          <w:kern w:val="0"/>
          <w:sz w:val="32"/>
          <w:szCs w:val="32"/>
          <w:lang w:bidi="ar"/>
        </w:rPr>
        <w:t>的</w:t>
      </w:r>
      <w:r>
        <w:rPr>
          <w:rFonts w:hint="eastAsia" w:ascii="仿宋_GB2312" w:hAnsi="宋体" w:eastAsia="仿宋_GB2312" w:cs="仿宋_GB2312"/>
          <w:color w:val="000000"/>
          <w:kern w:val="0"/>
          <w:sz w:val="32"/>
          <w:szCs w:val="32"/>
          <w:lang w:val="en-US" w:eastAsia="zh-CN" w:bidi="ar"/>
        </w:rPr>
        <w:t>76.95</w:t>
      </w:r>
      <w:r>
        <w:rPr>
          <w:rFonts w:ascii="仿宋_GB2312" w:hAnsi="宋体" w:eastAsia="仿宋_GB2312" w:cs="仿宋_GB2312"/>
          <w:color w:val="000000"/>
          <w:kern w:val="0"/>
          <w:sz w:val="32"/>
          <w:szCs w:val="32"/>
          <w:lang w:bidi="ar"/>
        </w:rPr>
        <w:t>%。</w:t>
      </w:r>
      <w:r>
        <w:rPr>
          <w:rFonts w:hint="eastAsia" w:ascii="仿宋_GB2312" w:hAnsi="仿宋" w:eastAsia="仿宋_GB2312"/>
          <w:sz w:val="32"/>
          <w:szCs w:val="32"/>
          <w:lang w:val="en-US" w:eastAsia="zh-CN"/>
        </w:rPr>
        <w:t>较上年度财政拨款支出304.01万元增加339.84万元，增幅111.79%。</w:t>
      </w:r>
      <w:r>
        <w:rPr>
          <w:rFonts w:hint="eastAsia" w:ascii="仿宋" w:hAnsi="仿宋" w:eastAsia="仿宋" w:cs="仿宋"/>
          <w:sz w:val="32"/>
          <w:szCs w:val="32"/>
          <w:lang w:val="en-US" w:eastAsia="zh-CN"/>
        </w:rPr>
        <w:t>增幅较大的主要原因是杨陵区医保局是2019年3月15日新成立的预算单位，2019年决算包含局机关及下属区医保中心和区合疗办两个事业单位，2018年决算数只包含杨陵区医保中心财政拨款支出总数。</w:t>
      </w:r>
    </w:p>
    <w:p>
      <w:pPr>
        <w:widowControl/>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val="en-US" w:eastAsia="zh-CN" w:bidi="ar"/>
        </w:rPr>
        <w:t>415.42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调整预算数665.42万元，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643.85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154.99</w:t>
      </w:r>
      <w:r>
        <w:rPr>
          <w:rFonts w:ascii="仿宋_GB2312" w:hAnsi="宋体" w:eastAsia="仿宋_GB2312" w:cs="仿宋_GB2312"/>
          <w:color w:val="000000"/>
          <w:kern w:val="0"/>
          <w:sz w:val="32"/>
          <w:szCs w:val="32"/>
          <w:lang w:bidi="ar"/>
        </w:rPr>
        <w:t>%。</w:t>
      </w:r>
    </w:p>
    <w:p>
      <w:pPr>
        <w:widowControl/>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bidi="ar"/>
        </w:rPr>
        <w:t>按照政府功能科目分类，</w:t>
      </w:r>
      <w:r>
        <w:rPr>
          <w:rFonts w:ascii="仿宋_GB2312" w:hAnsi="宋体" w:eastAsia="仿宋_GB2312" w:cs="仿宋_GB2312"/>
          <w:color w:val="000000"/>
          <w:kern w:val="0"/>
          <w:sz w:val="32"/>
          <w:szCs w:val="32"/>
          <w:lang w:bidi="ar"/>
        </w:rPr>
        <w:t xml:space="preserve">其中： </w:t>
      </w:r>
      <w:r>
        <w:rPr>
          <w:rFonts w:hint="eastAsia"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bidi="ar"/>
        </w:rPr>
        <w:t>社会保障和就业支出</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调整预算数180万元，</w:t>
      </w:r>
      <w:r>
        <w:rPr>
          <w:rFonts w:ascii="仿宋_GB2312" w:hAnsi="宋体" w:eastAsia="仿宋_GB2312" w:cs="仿宋_GB2312"/>
          <w:color w:val="000000"/>
          <w:kern w:val="0"/>
          <w:sz w:val="32"/>
          <w:szCs w:val="32"/>
          <w:lang w:bidi="ar"/>
        </w:rPr>
        <w:t>支出决算为</w:t>
      </w:r>
      <w:r>
        <w:rPr>
          <w:rFonts w:hint="eastAsia" w:ascii="仿宋_GB2312" w:hAnsi="宋体" w:eastAsia="仿宋_GB2312" w:cs="仿宋_GB2312"/>
          <w:color w:val="000000"/>
          <w:kern w:val="0"/>
          <w:sz w:val="32"/>
          <w:szCs w:val="32"/>
          <w:lang w:val="en-US" w:eastAsia="zh-CN" w:bidi="ar"/>
        </w:rPr>
        <w:t>173.85</w:t>
      </w:r>
      <w:r>
        <w:rPr>
          <w:rFonts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lang w:val="en-US" w:eastAsia="zh-CN"/>
        </w:rPr>
        <w:t>年初预算时未将社保缴费部分纳入该项。</w:t>
      </w:r>
    </w:p>
    <w:p>
      <w:pPr>
        <w:widowControl/>
        <w:numPr>
          <w:ilvl w:val="0"/>
          <w:numId w:val="3"/>
        </w:numPr>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卫生健康支出，年初预算为395.42万元，调整预算数为483万元，支出决算为467.81万元，完成年初预算的118.31%，决算数大于预算数的主要原因是</w:t>
      </w:r>
      <w:r>
        <w:rPr>
          <w:rFonts w:hint="eastAsia" w:ascii="仿宋" w:hAnsi="仿宋" w:eastAsia="仿宋" w:cs="仿宋"/>
          <w:sz w:val="32"/>
          <w:szCs w:val="32"/>
          <w:lang w:val="en-US" w:eastAsia="zh-CN"/>
        </w:rPr>
        <w:t>杨陵区医保局是2019年3月15日新成立的预算单位，2019年决算包含局机关及下属区医保中心和区合疗办两个事业单位，年初预算时医保局还未成立，预算数不包括局机关的支出</w:t>
      </w:r>
      <w:r>
        <w:rPr>
          <w:rFonts w:hint="eastAsia" w:ascii="仿宋_GB2312" w:hAnsi="宋体" w:eastAsia="仿宋_GB2312" w:cs="仿宋_GB2312"/>
          <w:color w:val="000000"/>
          <w:kern w:val="0"/>
          <w:sz w:val="32"/>
          <w:szCs w:val="32"/>
          <w:lang w:val="en-US" w:eastAsia="zh-CN" w:bidi="ar"/>
        </w:rPr>
        <w:t>。</w:t>
      </w:r>
    </w:p>
    <w:p>
      <w:pPr>
        <w:widowControl/>
        <w:numPr>
          <w:ilvl w:val="0"/>
          <w:numId w:val="3"/>
        </w:numPr>
        <w:ind w:firstLine="640" w:firstLineChars="200"/>
        <w:jc w:val="left"/>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农林水支出</w:t>
      </w:r>
      <w:r>
        <w:rPr>
          <w:rFonts w:hint="eastAsia" w:ascii="仿宋_GB2312" w:hAnsi="宋体" w:eastAsia="仿宋_GB2312" w:cs="仿宋_GB2312"/>
          <w:color w:val="000000"/>
          <w:kern w:val="0"/>
          <w:sz w:val="32"/>
          <w:szCs w:val="32"/>
          <w:lang w:val="en-US" w:eastAsia="zh-CN" w:bidi="ar"/>
        </w:rPr>
        <w:t>，年初预算为0万元，调整预算数为2.42万元，支出决算为2.19万元，</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lang w:val="en-US" w:eastAsia="zh-CN"/>
        </w:rPr>
        <w:t>年初未预算农林水支出这部分资金。</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179.89</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170.73</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w:t>
      </w:r>
      <w:r>
        <w:rPr>
          <w:rFonts w:ascii="仿宋_GB2312" w:hAnsi="仿宋_GB2312" w:eastAsia="仿宋_GB2312" w:cs="仿宋_GB2312"/>
          <w:color w:val="000000"/>
          <w:kern w:val="0"/>
          <w:sz w:val="31"/>
          <w:szCs w:val="31"/>
          <w:lang w:bidi="ar"/>
        </w:rPr>
        <w:t>公用经费支出</w:t>
      </w:r>
      <w:r>
        <w:rPr>
          <w:rFonts w:hint="eastAsia" w:ascii="仿宋_GB2312" w:hAnsi="仿宋_GB2312" w:eastAsia="仿宋_GB2312" w:cs="仿宋_GB2312"/>
          <w:color w:val="000000"/>
          <w:kern w:val="0"/>
          <w:sz w:val="31"/>
          <w:szCs w:val="31"/>
          <w:lang w:val="en-US" w:eastAsia="zh-CN" w:bidi="ar"/>
        </w:rPr>
        <w:t>9.16</w:t>
      </w:r>
      <w:r>
        <w:rPr>
          <w:rFonts w:ascii="仿宋_GB2312" w:hAnsi="仿宋_GB2312" w:eastAsia="仿宋_GB2312" w:cs="仿宋_GB2312"/>
          <w:color w:val="000000"/>
          <w:kern w:val="0"/>
          <w:sz w:val="31"/>
          <w:szCs w:val="31"/>
          <w:lang w:bidi="ar"/>
        </w:rPr>
        <w:t>万元。</w:t>
      </w:r>
    </w:p>
    <w:p>
      <w:pPr>
        <w:widowControl/>
        <w:ind w:firstLine="643" w:firstLineChars="200"/>
        <w:jc w:val="left"/>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b/>
          <w:bCs/>
          <w:color w:val="000000"/>
          <w:kern w:val="0"/>
          <w:sz w:val="32"/>
          <w:szCs w:val="32"/>
          <w:lang w:val="en-US" w:eastAsia="zh-CN" w:bidi="ar"/>
        </w:rPr>
        <w:t>支出</w:t>
      </w:r>
      <w:r>
        <w:rPr>
          <w:rFonts w:hint="eastAsia" w:ascii="仿宋_GB2312" w:hAnsi="宋体" w:eastAsia="仿宋_GB2312" w:cs="仿宋_GB2312"/>
          <w:color w:val="000000"/>
          <w:kern w:val="0"/>
          <w:sz w:val="32"/>
          <w:szCs w:val="32"/>
          <w:lang w:val="en-US" w:eastAsia="zh-CN" w:bidi="ar"/>
        </w:rPr>
        <w:t>170.73</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val="en-US" w:eastAsia="zh-CN" w:bidi="ar"/>
        </w:rPr>
        <w:t>工资福利支出170.69万元，对个人和家庭的补助0.04万元。其中：基本工资54.42万元，津贴补贴39.49万元，奖金24.4万元，伙食补助费2.16万元，绩效工资15.44万元，机关事业单位基本养老保险缴费16.35万元，住房公积金18.43万元，奖励金0.04万元。</w:t>
      </w:r>
    </w:p>
    <w:p>
      <w:pPr>
        <w:widowControl/>
        <w:ind w:firstLine="643" w:firstLineChars="200"/>
        <w:jc w:val="left"/>
        <w:rPr>
          <w:rFonts w:hint="default" w:eastAsia="仿宋_GB2312"/>
          <w:lang w:val="en-US" w:eastAsia="zh-CN"/>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b/>
          <w:bCs/>
          <w:color w:val="000000"/>
          <w:kern w:val="0"/>
          <w:sz w:val="32"/>
          <w:szCs w:val="32"/>
          <w:lang w:val="en-US" w:eastAsia="zh-CN" w:bidi="ar"/>
        </w:rPr>
        <w:t>支出</w:t>
      </w:r>
      <w:r>
        <w:rPr>
          <w:rFonts w:hint="eastAsia" w:ascii="仿宋_GB2312" w:hAnsi="宋体" w:eastAsia="仿宋_GB2312" w:cs="仿宋_GB2312"/>
          <w:color w:val="000000"/>
          <w:kern w:val="0"/>
          <w:sz w:val="32"/>
          <w:szCs w:val="32"/>
          <w:lang w:val="en-US" w:eastAsia="zh-CN" w:bidi="ar"/>
        </w:rPr>
        <w:t>9.16</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val="en-US" w:eastAsia="zh-CN" w:bidi="ar"/>
        </w:rPr>
        <w:t>商品和服务支出9.16万元。其中：办公费1.59万元，印刷费0.4万元，手续费0.45万元，水费0.07万元，电费0.48万元，邮电费1.3万元，差旅费0.17万元，租赁费0.05万元，工会经费0.34万元，公务用车运行维护费0.03万元，其他交通费用4.11万元，其他商品和服务支出0.17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0.51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51</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0.49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本年未发生会议费、培训费并严格控制公务用车运行维护费</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0.51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 w:hAnsi="仿宋" w:eastAsia="仿宋" w:cs="仿宋"/>
          <w:sz w:val="32"/>
          <w:szCs w:val="32"/>
          <w:lang w:val="en-US" w:eastAsia="zh-CN"/>
        </w:rPr>
        <w:t>杨陵区医疗保障局成立于2019年3月15日，下属两个事业单位原隶属于区人社局和卫生健康局，上下年的收支增减情况无法比较。</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lang w:eastAsia="zh-CN"/>
        </w:rPr>
        <w:t>，</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 w:hAnsi="仿宋" w:eastAsia="仿宋" w:cs="仿宋"/>
          <w:sz w:val="32"/>
          <w:szCs w:val="32"/>
          <w:lang w:val="en-US" w:eastAsia="zh-CN"/>
        </w:rPr>
        <w:t>杨陵区医疗保障局成立于2019年3月15日，下属两个事业单位原隶属于区人社局和卫生健康局，上下年的收支增减情况无法比较。</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0.51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51</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0.49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本年严格控制公务用车的加油修车费用，减少了公务用车运行维护费的支出</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 w:hAnsi="仿宋" w:eastAsia="仿宋" w:cs="仿宋"/>
          <w:sz w:val="32"/>
          <w:szCs w:val="32"/>
          <w:lang w:val="en-US" w:eastAsia="zh-CN"/>
        </w:rPr>
      </w:pPr>
      <w:r>
        <w:rPr>
          <w:rFonts w:hint="eastAsia" w:ascii="仿宋_GB2312" w:hAnsi="仿宋" w:eastAsia="仿宋_GB2312"/>
          <w:sz w:val="32"/>
          <w:szCs w:val="32"/>
        </w:rPr>
        <w:t>示例：2019年公务接待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 w:hAnsi="仿宋" w:eastAsia="仿宋" w:cs="仿宋"/>
          <w:sz w:val="32"/>
          <w:szCs w:val="32"/>
          <w:lang w:val="en-US" w:eastAsia="zh-CN"/>
        </w:rPr>
        <w:t>杨陵区医疗保障局成立于2019年3月15日，下属两个事业单位原隶属于区人社局和卫生健康局，上下年的收支增减情况无法比较。</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642485" cy="2771775"/>
            <wp:effectExtent l="4445" t="4445" r="2032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 w:hAnsi="仿宋" w:eastAsia="仿宋" w:cs="仿宋"/>
          <w:sz w:val="32"/>
          <w:szCs w:val="32"/>
          <w:lang w:val="en-US" w:eastAsia="zh-CN"/>
        </w:rPr>
        <w:t>杨陵区医疗保障局成立于2019年3月15日，下属两个事业单位原隶属于区人社局和卫生健康局，上下年的收支增减情况无法比较。</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 w:hAnsi="仿宋" w:eastAsia="仿宋" w:cs="仿宋"/>
          <w:sz w:val="32"/>
          <w:szCs w:val="32"/>
          <w:lang w:val="en-US" w:eastAsia="zh-CN"/>
        </w:rPr>
        <w:t>杨陵区医疗保障局成立于2019年3月15日，下属两个事业单位原隶属于区人社局和卫生健康局，上下年的收支增减情况无法比较。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463.96</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1、公务员医疗补助</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81</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35</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21.21</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60.6</w:t>
      </w:r>
      <w:r>
        <w:rPr>
          <w:rFonts w:ascii="仿宋_GB2312" w:hAnsi="仿宋_GB2312" w:eastAsia="仿宋_GB2312" w:cs="仿宋_GB2312"/>
          <w:color w:val="000000"/>
          <w:kern w:val="0"/>
          <w:sz w:val="31"/>
          <w:szCs w:val="31"/>
          <w:lang w:bidi="ar"/>
        </w:rPr>
        <w:t>%。</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2、城乡居民大病保险经办费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98</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40</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40</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%。主要产出和效果：通过</w:t>
      </w:r>
      <w:r>
        <w:rPr>
          <w:rFonts w:hint="eastAsia" w:ascii="仿宋_GB2312" w:hAnsi="仿宋_GB2312" w:eastAsia="仿宋_GB2312" w:cs="仿宋_GB2312"/>
          <w:color w:val="000000"/>
          <w:kern w:val="0"/>
          <w:sz w:val="31"/>
          <w:szCs w:val="31"/>
          <w:lang w:val="en-US" w:eastAsia="zh-CN" w:bidi="ar"/>
        </w:rPr>
        <w:t>对大病保险经办机构的绩效考核，拨付2015-2018年度大病保险经办费</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val="en-US" w:eastAsia="zh-CN" w:bidi="ar"/>
        </w:rPr>
        <w:t>杨陵区人寿保险公司报销的大病保险医疗费账目不健全，原因是设立的专账账户在咸阳市总公司，账务处理由总公司分管</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val="en-US" w:eastAsia="zh-CN" w:bidi="ar"/>
        </w:rPr>
        <w:t>建议杨陵区人寿公司设立单独的账套对大病保险进行单独核算。</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3、改制企业退休人员参加居民医保项目绩效自评综述：</w:t>
      </w:r>
      <w:r>
        <w:rPr>
          <w:rFonts w:ascii="仿宋_GB2312" w:hAnsi="仿宋_GB2312" w:eastAsia="仿宋_GB2312" w:cs="仿宋_GB2312"/>
          <w:color w:val="000000"/>
          <w:kern w:val="0"/>
          <w:sz w:val="31"/>
          <w:szCs w:val="31"/>
          <w:lang w:bidi="ar"/>
        </w:rPr>
        <w:t>根据年初设定的绩效目标，项目自评得分</w:t>
      </w:r>
      <w:r>
        <w:rPr>
          <w:rFonts w:hint="eastAsia" w:ascii="仿宋_GB2312" w:hAnsi="仿宋_GB2312" w:eastAsia="仿宋_GB2312" w:cs="仿宋_GB2312"/>
          <w:color w:val="000000"/>
          <w:kern w:val="0"/>
          <w:sz w:val="31"/>
          <w:szCs w:val="31"/>
          <w:lang w:val="en-US" w:eastAsia="zh-CN" w:bidi="ar"/>
        </w:rPr>
        <w:t>98</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10.34</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10.34</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4、职工健康体检费项目绩效自评综述：</w:t>
      </w:r>
      <w:r>
        <w:rPr>
          <w:rFonts w:ascii="仿宋_GB2312" w:hAnsi="仿宋_GB2312" w:eastAsia="仿宋_GB2312" w:cs="仿宋_GB2312"/>
          <w:color w:val="000000"/>
          <w:kern w:val="0"/>
          <w:sz w:val="31"/>
          <w:szCs w:val="31"/>
          <w:lang w:bidi="ar"/>
        </w:rPr>
        <w:t>根据年初设定的绩效目标，项目自评得分</w:t>
      </w:r>
      <w:r>
        <w:rPr>
          <w:rFonts w:hint="eastAsia" w:ascii="仿宋_GB2312" w:hAnsi="仿宋_GB2312" w:eastAsia="仿宋_GB2312" w:cs="仿宋_GB2312"/>
          <w:color w:val="000000"/>
          <w:kern w:val="0"/>
          <w:sz w:val="31"/>
          <w:szCs w:val="31"/>
          <w:lang w:val="en-US" w:eastAsia="zh-CN" w:bidi="ar"/>
        </w:rPr>
        <w:t>85</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229.04</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178.84</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78.08</w:t>
      </w:r>
      <w:r>
        <w:rPr>
          <w:rFonts w:ascii="仿宋_GB2312" w:hAnsi="仿宋_GB2312" w:eastAsia="仿宋_GB2312" w:cs="仿宋_GB2312"/>
          <w:color w:val="000000"/>
          <w:kern w:val="0"/>
          <w:sz w:val="31"/>
          <w:szCs w:val="31"/>
          <w:lang w:bidi="ar"/>
        </w:rPr>
        <w:t>%。</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5、城乡居民医疗救助项目绩效自评综述：</w:t>
      </w:r>
      <w:r>
        <w:rPr>
          <w:rFonts w:ascii="仿宋_GB2312" w:hAnsi="仿宋_GB2312" w:eastAsia="仿宋_GB2312" w:cs="仿宋_GB2312"/>
          <w:color w:val="000000"/>
          <w:kern w:val="0"/>
          <w:sz w:val="31"/>
          <w:szCs w:val="31"/>
          <w:lang w:bidi="ar"/>
        </w:rPr>
        <w:t>根据年初设定的绩效目标，项目自评得分</w:t>
      </w:r>
      <w:r>
        <w:rPr>
          <w:rFonts w:hint="eastAsia" w:ascii="仿宋_GB2312" w:hAnsi="仿宋_GB2312" w:eastAsia="仿宋_GB2312" w:cs="仿宋_GB2312"/>
          <w:color w:val="000000"/>
          <w:kern w:val="0"/>
          <w:sz w:val="31"/>
          <w:szCs w:val="31"/>
          <w:lang w:val="en-US" w:eastAsia="zh-CN" w:bidi="ar"/>
        </w:rPr>
        <w:t>97</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214</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213.57</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99.80</w:t>
      </w:r>
      <w:r>
        <w:rPr>
          <w:rFonts w:ascii="仿宋_GB2312" w:hAnsi="仿宋_GB2312" w:eastAsia="仿宋_GB2312" w:cs="仿宋_GB2312"/>
          <w:color w:val="000000"/>
          <w:kern w:val="0"/>
          <w:sz w:val="31"/>
          <w:szCs w:val="31"/>
          <w:lang w:bidi="ar"/>
        </w:rPr>
        <w:t>%。</w:t>
      </w:r>
    </w:p>
    <w:p>
      <w:pPr>
        <w:widowControl/>
        <w:ind w:firstLine="620" w:firstLineChars="200"/>
        <w:jc w:val="left"/>
        <w:rPr>
          <w:rFonts w:hint="default" w:ascii="仿宋_GB2312" w:hAnsi="仿宋_GB2312" w:eastAsia="仿宋_GB2312" w:cs="仿宋_GB2312"/>
          <w:color w:val="000000"/>
          <w:kern w:val="0"/>
          <w:sz w:val="31"/>
          <w:szCs w:val="31"/>
          <w:lang w:val="en-US" w:eastAsia="zh-CN" w:bidi="ar"/>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spacing w:after="1102" w:afterLines="349" w:afterAutospacing="0"/>
        <w:jc w:val="left"/>
        <w:rPr>
          <w:rFonts w:ascii="楷体" w:hAnsi="楷体" w:eastAsia="楷体" w:cs="楷体"/>
          <w:sz w:val="32"/>
          <w:szCs w:val="32"/>
        </w:rPr>
      </w:pPr>
      <w:r>
        <w:rPr>
          <w:rFonts w:hint="eastAsia" w:ascii="楷体" w:hAnsi="楷体" w:eastAsia="楷体" w:cs="楷体"/>
          <w:sz w:val="32"/>
          <w:szCs w:val="32"/>
        </w:rPr>
        <w:object>
          <v:shape id="_x0000_i1025" o:spt="75" type="#_x0000_t75" style="height:644.55pt;width:462.7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r>
        <w:rPr>
          <w:rFonts w:hint="eastAsia" w:ascii="楷体" w:hAnsi="楷体" w:eastAsia="楷体" w:cs="楷体"/>
          <w:sz w:val="32"/>
          <w:szCs w:val="32"/>
        </w:rPr>
        <w:object>
          <v:shape id="_x0000_i1026" o:spt="75" type="#_x0000_t75" style="height:644.6pt;width:462.75pt;" o:ole="t" filled="f" o:preferrelative="t" stroked="f" coordsize="21600,21600">
            <v:path/>
            <v:fill on="f" focussize="0,0"/>
            <v:stroke on="f"/>
            <v:imagedata r:id="rId14" o:title=""/>
            <o:lock v:ext="edit" aspectratio="t"/>
            <w10:wrap type="none"/>
            <w10:anchorlock/>
          </v:shape>
          <o:OLEObject Type="Embed" ProgID="Excel.Sheet.8" ShapeID="_x0000_i1026" DrawAspect="Content" ObjectID="_1468075726" r:id="rId13">
            <o:LockedField>false</o:LockedField>
          </o:OLEObject>
        </w:object>
      </w:r>
      <w:r>
        <w:rPr>
          <w:rFonts w:hint="eastAsia" w:ascii="楷体" w:hAnsi="楷体" w:eastAsia="楷体" w:cs="楷体"/>
          <w:sz w:val="32"/>
          <w:szCs w:val="32"/>
        </w:rPr>
        <w:object>
          <v:shape id="_x0000_i1027" o:spt="75" type="#_x0000_t75" style="height:681.45pt;width:462.8pt;" o:ole="t" filled="f" o:preferrelative="t" stroked="f" coordsize="21600,21600">
            <v:path/>
            <v:fill on="f" focussize="0,0"/>
            <v:stroke on="f"/>
            <v:imagedata r:id="rId16" o:title=""/>
            <o:lock v:ext="edit" aspectratio="t"/>
            <w10:wrap type="none"/>
            <w10:anchorlock/>
          </v:shape>
          <o:OLEObject Type="Embed" ProgID="Excel.Sheet.8" ShapeID="_x0000_i1027" DrawAspect="Content" ObjectID="_1468075727" r:id="rId15">
            <o:LockedField>false</o:LockedField>
          </o:OLEObject>
        </w:object>
      </w:r>
      <w:r>
        <w:rPr>
          <w:rFonts w:hint="eastAsia" w:ascii="楷体" w:hAnsi="楷体" w:eastAsia="楷体" w:cs="楷体"/>
          <w:sz w:val="32"/>
          <w:szCs w:val="32"/>
        </w:rPr>
        <w:object>
          <v:shape id="_x0000_i1028" o:spt="75" type="#_x0000_t75" style="height:660.45pt;width:462.8pt;" o:ole="t" filled="f" o:preferrelative="t" stroked="f" coordsize="21600,21600">
            <v:path/>
            <v:fill on="f" focussize="0,0"/>
            <v:stroke on="f"/>
            <v:imagedata r:id="rId18" o:title=""/>
            <o:lock v:ext="edit" aspectratio="t"/>
            <w10:wrap type="none"/>
            <w10:anchorlock/>
          </v:shape>
          <o:OLEObject Type="Embed" ProgID="Excel.Sheet.8" ShapeID="_x0000_i1028" DrawAspect="Content" ObjectID="_1468075728" r:id="rId17">
            <o:LockedField>false</o:LockedField>
          </o:OLEObject>
        </w:object>
      </w:r>
      <w:r>
        <w:rPr>
          <w:rFonts w:hint="eastAsia" w:ascii="楷体" w:hAnsi="楷体" w:eastAsia="楷体" w:cs="楷体"/>
          <w:sz w:val="32"/>
          <w:szCs w:val="32"/>
        </w:rPr>
        <w:object>
          <v:shape id="_x0000_i1029" o:spt="75" type="#_x0000_t75" style="height:595.35pt;width:462.75pt;" o:ole="t" filled="f" o:preferrelative="t" stroked="f" coordsize="21600,21600">
            <v:path/>
            <v:fill on="f" focussize="0,0"/>
            <v:stroke on="f"/>
            <v:imagedata r:id="rId20" o:title=""/>
            <o:lock v:ext="edit" aspectratio="t"/>
            <w10:wrap type="none"/>
            <w10:anchorlock/>
          </v:shape>
          <o:OLEObject Type="Embed" ProgID="Excel.Sheet.8" ShapeID="_x0000_i1029" DrawAspect="Content" ObjectID="_1468075729" r:id="rId19">
            <o:LockedField>false</o:LockedField>
          </o:OLEObject>
        </w:object>
      </w:r>
      <w:r>
        <w:rPr>
          <w:rFonts w:hint="eastAsia" w:ascii="楷体" w:hAnsi="楷体" w:eastAsia="楷体" w:cs="楷体"/>
          <w:sz w:val="32"/>
          <w:szCs w:val="32"/>
        </w:rPr>
        <w:object>
          <v:shape id="_x0000_i1033" o:spt="75" alt="" type="#_x0000_t75" style="height:1385.15pt;width:500.9pt;" o:ole="t" filled="f" o:preferrelative="t" stroked="f" coordsize="21600,21600">
            <v:path/>
            <v:fill on="f" focussize="0,0"/>
            <v:stroke on="f"/>
            <v:imagedata r:id="rId22" o:title=""/>
            <o:lock v:ext="edit" aspectratio="t"/>
            <w10:wrap type="none"/>
            <w10:anchorlock/>
          </v:shape>
          <o:OLEObject Type="Embed" ProgID="Excel.Sheet.8" ShapeID="_x0000_i1033" DrawAspect="Content" ObjectID="_1468075730" r:id="rId21">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31" o:spt="75" alt="" type="#_x0000_t75" style="height:542.85pt;width:496.5pt;" o:ole="t" filled="f" o:preferrelative="t" stroked="f" coordsize="21600,21600">
            <v:path/>
            <v:fill on="f" focussize="0,0"/>
            <v:stroke on="f"/>
            <v:imagedata r:id="rId24" o:title=""/>
            <o:lock v:ext="edit" aspectratio="t"/>
            <w10:wrap type="none"/>
            <w10:anchorlock/>
          </v:shape>
          <o:OLEObject Type="Embed" ProgID="Excel.Sheet.8" ShapeID="_x0000_i1031" DrawAspect="Content" ObjectID="_1468075731" r:id="rId23">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2" o:spt="75" alt="" type="#_x0000_t75" style="height:436.5pt;width:465.05pt;" o:ole="t" filled="f" o:preferrelative="t" stroked="f" coordsize="21600,21600">
            <v:path/>
            <v:fill on="f" focussize="0,0"/>
            <v:stroke on="f"/>
            <v:imagedata r:id="rId26" o:title=""/>
            <o:lock v:ext="edit" aspectratio="t"/>
            <w10:wrap type="none"/>
            <w10:anchorlock/>
          </v:shape>
          <o:OLEObject Type="Embed" ProgID="Excel.Sheet.8" ShapeID="_x0000_i1032" DrawAspect="Content" ObjectID="_1468075732" r:id="rId25">
            <o:LockedField>false</o:LockedField>
          </o:OLEObject>
        </w:object>
      </w: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sectPr>
          <w:pgSz w:w="11906" w:h="16838"/>
          <w:pgMar w:top="2098" w:right="1474" w:bottom="1985" w:left="1588" w:header="851" w:footer="992" w:gutter="0"/>
          <w:cols w:space="0" w:num="1"/>
          <w:docGrid w:type="lines" w:linePitch="315" w:charSpace="0"/>
        </w:sectPr>
      </w:pP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7.54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0.54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 w:hAnsi="仿宋" w:eastAsia="仿宋" w:cs="仿宋"/>
          <w:sz w:val="32"/>
          <w:szCs w:val="32"/>
          <w:lang w:val="en-US" w:eastAsia="zh-CN"/>
        </w:rPr>
        <w:t>杨陵区医疗保障局成立于2019年3月15日，新成立单位需要购置大批量的办公用品，导致机关运行经费支出超出预算</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AE775"/>
    <w:multiLevelType w:val="singleLevel"/>
    <w:tmpl w:val="B91AE775"/>
    <w:lvl w:ilvl="0" w:tentative="0">
      <w:start w:val="2"/>
      <w:numFmt w:val="chineseCounting"/>
      <w:suff w:val="nothing"/>
      <w:lvlText w:val="（%1）"/>
      <w:lvlJc w:val="left"/>
      <w:rPr>
        <w:rFonts w:hint="eastAsia"/>
      </w:rPr>
    </w:lvl>
  </w:abstractNum>
  <w:abstractNum w:abstractNumId="1">
    <w:nsid w:val="3469FE7D"/>
    <w:multiLevelType w:val="singleLevel"/>
    <w:tmpl w:val="3469FE7D"/>
    <w:lvl w:ilvl="0" w:tentative="0">
      <w:start w:val="1"/>
      <w:numFmt w:val="chineseCounting"/>
      <w:suff w:val="nothing"/>
      <w:lvlText w:val="%1、"/>
      <w:lvlJc w:val="left"/>
      <w:rPr>
        <w:rFonts w:hint="eastAsia"/>
      </w:rPr>
    </w:lvl>
  </w:abstractNum>
  <w:abstractNum w:abstractNumId="2">
    <w:nsid w:val="5D01EEFA"/>
    <w:multiLevelType w:val="singleLevel"/>
    <w:tmpl w:val="5D01EEFA"/>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21336"/>
    <w:rsid w:val="00E8111E"/>
    <w:rsid w:val="013B79AC"/>
    <w:rsid w:val="01B419B8"/>
    <w:rsid w:val="01F34263"/>
    <w:rsid w:val="021F0A44"/>
    <w:rsid w:val="02402338"/>
    <w:rsid w:val="041A7664"/>
    <w:rsid w:val="04E40476"/>
    <w:rsid w:val="06195A9C"/>
    <w:rsid w:val="08640D33"/>
    <w:rsid w:val="0B3605BC"/>
    <w:rsid w:val="0ED33F8D"/>
    <w:rsid w:val="11084DBD"/>
    <w:rsid w:val="125E2600"/>
    <w:rsid w:val="132E46A0"/>
    <w:rsid w:val="14411117"/>
    <w:rsid w:val="14855219"/>
    <w:rsid w:val="14B82C39"/>
    <w:rsid w:val="14EB383F"/>
    <w:rsid w:val="1586116E"/>
    <w:rsid w:val="18BB4AD7"/>
    <w:rsid w:val="1B4A3FDA"/>
    <w:rsid w:val="1B524C98"/>
    <w:rsid w:val="1C5E2F73"/>
    <w:rsid w:val="1D6E0C0D"/>
    <w:rsid w:val="21B73FB9"/>
    <w:rsid w:val="221C15BB"/>
    <w:rsid w:val="224615CD"/>
    <w:rsid w:val="29785A6B"/>
    <w:rsid w:val="2C5A4EB5"/>
    <w:rsid w:val="2D1F3974"/>
    <w:rsid w:val="2DB52EF2"/>
    <w:rsid w:val="31AA6038"/>
    <w:rsid w:val="32B45371"/>
    <w:rsid w:val="33887EE3"/>
    <w:rsid w:val="34677C61"/>
    <w:rsid w:val="38107620"/>
    <w:rsid w:val="3B121AD1"/>
    <w:rsid w:val="3CFD0D2E"/>
    <w:rsid w:val="3EE042CF"/>
    <w:rsid w:val="41603979"/>
    <w:rsid w:val="41CF436B"/>
    <w:rsid w:val="42DB0687"/>
    <w:rsid w:val="4619368A"/>
    <w:rsid w:val="471F2499"/>
    <w:rsid w:val="4D1C5CE9"/>
    <w:rsid w:val="4D6E0FDF"/>
    <w:rsid w:val="4EE4307A"/>
    <w:rsid w:val="4F0905ED"/>
    <w:rsid w:val="5153143F"/>
    <w:rsid w:val="54F12DEE"/>
    <w:rsid w:val="5A723E05"/>
    <w:rsid w:val="5B8D564A"/>
    <w:rsid w:val="5D4269E3"/>
    <w:rsid w:val="6065543B"/>
    <w:rsid w:val="65074FBA"/>
    <w:rsid w:val="684A4B78"/>
    <w:rsid w:val="69512523"/>
    <w:rsid w:val="6D6101BF"/>
    <w:rsid w:val="707729C9"/>
    <w:rsid w:val="71086DB5"/>
    <w:rsid w:val="75C31473"/>
    <w:rsid w:val="7618241B"/>
    <w:rsid w:val="761F5CF2"/>
    <w:rsid w:val="7C0D3878"/>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emf"/><Relationship Id="rId25" Type="http://schemas.openxmlformats.org/officeDocument/2006/relationships/oleObject" Target="embeddings/oleObject8.bin"/><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image" Target="../media/image9.png"/><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人员构成</a:t>
            </a:r>
          </a:p>
        </c:rich>
      </c:tx>
      <c:layout>
        <c:manualLayout>
          <c:xMode val="edge"/>
          <c:yMode val="edge"/>
          <c:x val="0.410956480717066"/>
          <c:y val="0.0256300726185391"/>
        </c:manualLayout>
      </c:layout>
      <c:overlay val="0"/>
      <c:spPr>
        <a:blipFill rotWithShape="1">
          <a:blip xmlns:r="http://schemas.openxmlformats.org/officeDocument/2006/relationships" r:embed="rId2"/>
          <a:tile tx="0" ty="0" sx="100000" sy="100000" flip="none" algn="tl"/>
        </a:blipFill>
        <a:ln>
          <a:noFill/>
        </a:ln>
        <a:effectLst/>
      </c:spPr>
    </c:title>
    <c:autoTitleDeleted val="0"/>
    <c:plotArea>
      <c:layout/>
      <c:pieChart>
        <c:varyColors val="1"/>
        <c:ser>
          <c:idx val="0"/>
          <c:order val="0"/>
          <c:tx>
            <c:strRef>
              <c:f>Sheet1!$B$1</c:f>
              <c:strCache>
                <c:ptCount val="1"/>
                <c:pt idx="0">
                  <c:v>系列 1</c:v>
                </c:pt>
              </c:strCache>
            </c:strRef>
          </c:tx>
          <c:spPr/>
          <c:explosion val="4"/>
          <c:dPt>
            <c:idx val="0"/>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0307752215055243"/>
                  <c:y val="-0.21768649820190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altLang="en-US">
                        <a:solidFill>
                          <a:schemeClr val="tx1"/>
                        </a:solidFill>
                      </a:rPr>
                      <a:t>事业编制</a:t>
                    </a:r>
                    <a:r>
                      <a:rPr lang="en-US" altLang="zh-CN">
                        <a:solidFill>
                          <a:schemeClr val="tx1"/>
                        </a:solidFill>
                      </a:rPr>
                      <a:t>80%</a:t>
                    </a:r>
                    <a:endParaRPr lang="en-US" altLang="zh-CN">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9270829858493"/>
                  <c:y val="0.19955660150323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a:solidFill>
                          <a:schemeClr val="tx1"/>
                        </a:solidFill>
                      </a:rPr>
                      <a:t>行政编制</a:t>
                    </a:r>
                    <a:r>
                      <a:rPr lang="en-US" altLang="zh-CN">
                        <a:solidFill>
                          <a:schemeClr val="tx1"/>
                        </a:solidFill>
                      </a:rPr>
                      <a:t>20%</a:t>
                    </a:r>
                    <a:endParaRPr lang="en-US" altLang="zh-CN">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类别 1</c:v>
                </c:pt>
                <c:pt idx="1">
                  <c:v>类别 2</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4.3</c:v>
                </c:pt>
                <c:pt idx="1">
                  <c:v>2.5</c:v>
                </c:pt>
              </c:numCache>
            </c:numRef>
          </c:val>
        </c:ser>
        <c:dLbls>
          <c:showLegendKey val="0"/>
          <c:showVal val="0"/>
          <c:showCatName val="0"/>
          <c:showSerName val="0"/>
          <c:showPercent val="0"/>
          <c:showBubbleSize val="0"/>
          <c:showLeaderLines val="1"/>
        </c:dLbls>
        <c:firstSliceAng val="72"/>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系列 2</c:v>
                      </c:pt>
                    </c:strCache>
                  </c:strRef>
                </c:tx>
                <c:spPr/>
                <c:explosion val="4"/>
                <c:dPt>
                  <c:idx val="0"/>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extLst>
                      <c:ext uri="{02D57815-91ED-43cb-92C2-25804820EDAC}">
                        <c15:fullRef>
                          <c15:sqref>Sheet1!$A$2:$A$5</c15:sqref>
                        </c15:fullRef>
                        <c15:formulaRef>
                          <c15:sqref>Sheet1!$A$2:$A$3</c15:sqref>
                        </c15:formulaRef>
                      </c:ext>
                    </c:extLst>
                    <c:strCache>
                      <c:ptCount val="2"/>
                      <c:pt idx="0">
                        <c:v>类别 1</c:v>
                      </c:pt>
                      <c:pt idx="1">
                        <c:v>类别 2</c:v>
                      </c:pt>
                    </c:strCache>
                  </c:strRef>
                </c:cat>
                <c:val>
                  <c:numRef>
                    <c:extLst>
                      <c:ext uri="{02D57815-91ED-43cb-92C2-25804820EDAC}">
                        <c15:fullRef>
                          <c15:sqref>Sheet1!$C$2:$C$5</c15:sqref>
                        </c15:fullRef>
                        <c15:formulaRef>
                          <c15:sqref>Sheet1!$C$2:$C$3</c15:sqref>
                        </c15:formulaRef>
                      </c:ext>
                    </c:extLst>
                    <c:numCache>
                      <c:formatCode>General</c:formatCode>
                      <c:ptCount val="2"/>
                      <c:pt idx="0">
                        <c:v>2.4</c:v>
                      </c:pt>
                      <c:pt idx="1">
                        <c:v>4.4</c:v>
                      </c:pt>
                    </c:numCache>
                  </c:numRef>
                </c:val>
              </c15:ser>
            </c15:filteredPieSeries>
            <c15:filteredPieSeries>
              <c15:ser>
                <c:idx val="2"/>
                <c:order val="2"/>
                <c:tx>
                  <c:strRef>
                    <c:extLst>
                      <c:ext uri="{02D57815-91ED-43cb-92C2-25804820EDAC}">
                        <c15:formulaRef>
                          <c15:sqref>Sheet1!$D$1</c15:sqref>
                        </c15:formulaRef>
                      </c:ext>
                    </c:extLst>
                    <c:strCache>
                      <c:ptCount val="1"/>
                      <c:pt idx="0">
                        <c:v>系列 3</c:v>
                      </c:pt>
                    </c:strCache>
                  </c:strRef>
                </c:tx>
                <c:spPr/>
                <c:explosion val="4"/>
                <c:dPt>
                  <c:idx val="0"/>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extLst>
                      <c:ext uri="{02D57815-91ED-43cb-92C2-25804820EDAC}">
                        <c15:fullRef>
                          <c15:sqref>Sheet1!$A$2:$A$5</c15:sqref>
                        </c15:fullRef>
                        <c15:formulaRef>
                          <c15:sqref>Sheet1!$A$2:$A$3</c15:sqref>
                        </c15:formulaRef>
                      </c:ext>
                    </c:extLst>
                    <c:strCache>
                      <c:ptCount val="2"/>
                      <c:pt idx="0">
                        <c:v>类别 1</c:v>
                      </c:pt>
                      <c:pt idx="1">
                        <c:v>类别 2</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PieSeries>
          </c:ext>
        </c:extLst>
      </c:pieChart>
      <c:spPr>
        <a:noFill/>
        <a:ln>
          <a:noFill/>
        </a:ln>
        <a:effectLst/>
      </c:spPr>
    </c:plotArea>
    <c:plotVisOnly val="1"/>
    <c:dispBlanksAs val="gap"/>
    <c:showDLblsOverMax val="0"/>
  </c:chart>
  <c:spPr>
    <a:noFill/>
    <a:ln>
      <a:noFill/>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收入支出决算总体情况</a:t>
            </a:r>
            <a:endParaRPr altLang="zh-CN"/>
          </a:p>
        </c:rich>
      </c:tx>
      <c:layout>
        <c:manualLayout>
          <c:xMode val="edge"/>
          <c:yMode val="edge"/>
          <c:x val="0.3255"/>
          <c:y val="0.0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总收入</c:v>
                </c:pt>
                <c:pt idx="1">
                  <c:v>总支出</c:v>
                </c:pt>
              </c:strCache>
            </c:strRef>
          </c:cat>
          <c:val>
            <c:numRef>
              <c:f>Sheet1!$B$2:$B$3</c:f>
              <c:numCache>
                <c:formatCode>General</c:formatCode>
                <c:ptCount val="2"/>
                <c:pt idx="0">
                  <c:v>384.61</c:v>
                </c:pt>
                <c:pt idx="1">
                  <c:v>399.99</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总收入</c:v>
                </c:pt>
                <c:pt idx="1">
                  <c:v>总支出</c:v>
                </c:pt>
              </c:strCache>
            </c:strRef>
          </c:cat>
          <c:val>
            <c:numRef>
              <c:f>Sheet1!$C$2:$C$3</c:f>
              <c:numCache>
                <c:formatCode>General</c:formatCode>
                <c:ptCount val="2"/>
                <c:pt idx="0">
                  <c:v>844.05</c:v>
                </c:pt>
                <c:pt idx="1">
                  <c:v>836.76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总收入</c:v>
                </c:pt>
                <c:pt idx="1">
                  <c:v>总支出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7577012"/>
        <c:axId val="134286684"/>
      </c:barChart>
      <c:catAx>
        <c:axId val="775770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4286684"/>
        <c:crosses val="autoZero"/>
        <c:auto val="1"/>
        <c:lblAlgn val="ctr"/>
        <c:lblOffset val="100"/>
        <c:noMultiLvlLbl val="0"/>
      </c:catAx>
      <c:valAx>
        <c:axId val="1342866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57701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tx>
            <c:strRef>
              <c:f>Sheet1!#REF!</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财政拨款收入</c:v>
                </c:pt>
                <c:pt idx="1">
                  <c:v>其他收入</c:v>
                </c:pt>
              </c:strCache>
            </c:strRef>
          </c:cat>
          <c:val>
            <c:numRef>
              <c:f>Sheet1!$B$2:$B$3</c:f>
              <c:numCache>
                <c:formatCode>General</c:formatCode>
                <c:ptCount val="2"/>
                <c:pt idx="0">
                  <c:v>643.43</c:v>
                </c:pt>
                <c:pt idx="1">
                  <c:v>200.62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179.89</c:v>
                </c:pt>
                <c:pt idx="1">
                  <c:v>656.87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304.01</c:v>
                </c:pt>
                <c:pt idx="1">
                  <c:v>304.01</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643.43</c:v>
                </c:pt>
                <c:pt idx="1">
                  <c:v>643.43</c:v>
                </c:pt>
              </c:numCache>
            </c:numRef>
          </c:val>
        </c:ser>
        <c:dLbls>
          <c:showLegendKey val="0"/>
          <c:showVal val="0"/>
          <c:showCatName val="0"/>
          <c:showSerName val="0"/>
          <c:showPercent val="0"/>
          <c:showBubbleSize val="0"/>
        </c:dLbls>
        <c:gapWidth val="219"/>
        <c:overlap val="-27"/>
        <c:axId val="930569947"/>
        <c:axId val="47915445"/>
      </c:barChart>
      <c:catAx>
        <c:axId val="9305699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915445"/>
        <c:crosses val="autoZero"/>
        <c:auto val="1"/>
        <c:lblAlgn val="ctr"/>
        <c:lblOffset val="100"/>
        <c:noMultiLvlLbl val="0"/>
      </c:catAx>
      <c:valAx>
        <c:axId val="479154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05699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财政拨款支出</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304.01</c:v>
                </c:pt>
                <c:pt idx="1">
                  <c:v>643.85</c:v>
                </c:pt>
              </c:numCache>
            </c:numRef>
          </c:val>
        </c:ser>
        <c:dLbls>
          <c:showLegendKey val="0"/>
          <c:showVal val="0"/>
          <c:showCatName val="0"/>
          <c:showSerName val="0"/>
          <c:showPercent val="0"/>
          <c:showBubbleSize val="0"/>
        </c:dLbls>
        <c:gapWidth val="219"/>
        <c:overlap val="-27"/>
        <c:axId val="224412220"/>
        <c:axId val="393634354"/>
      </c:barChart>
      <c:catAx>
        <c:axId val="2244122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634354"/>
        <c:crosses val="autoZero"/>
        <c:auto val="1"/>
        <c:lblAlgn val="ctr"/>
        <c:lblOffset val="100"/>
        <c:noMultiLvlLbl val="0"/>
      </c:catAx>
      <c:valAx>
        <c:axId val="3936343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4122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公务用车维护费</c:v>
                </c:pt>
                <c:pt idx="1">
                  <c:v>出国费</c:v>
                </c:pt>
                <c:pt idx="2">
                  <c:v>购车费</c:v>
                </c:pt>
                <c:pt idx="3">
                  <c:v>招待费</c:v>
                </c:pt>
              </c:strCache>
            </c:strRef>
          </c:cat>
          <c:val>
            <c:numRef>
              <c:f>Sheet1!$B$2:$B$5</c:f>
              <c:numCache>
                <c:formatCode>General</c:formatCode>
                <c:ptCount val="4"/>
                <c:pt idx="0">
                  <c:v>0.51</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8</TotalTime>
  <ScaleCrop>false</ScaleCrop>
  <LinksUpToDate>false</LinksUpToDate>
  <CharactersWithSpaces>8778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隨緣兩全其美❀</cp:lastModifiedBy>
  <cp:lastPrinted>2020-10-12T09:38:00Z</cp:lastPrinted>
  <dcterms:modified xsi:type="dcterms:W3CDTF">2020-11-13T02:39:45Z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