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杨陵区人民检察院</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2019年部门决算公开说明</w:t>
      </w: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pPr>
      <w:r>
        <w:rPr>
          <w:rFonts w:hint="eastAsia" w:ascii="黑体" w:hAnsi="宋体" w:eastAsia="黑体"/>
          <w:color w:val="000000"/>
          <w:kern w:val="0"/>
          <w:sz w:val="32"/>
          <w:szCs w:val="32"/>
        </w:rPr>
        <w:t xml:space="preserve">第一部分 </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 xml:space="preserve">第三部分 </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人民检察院是国家的法律监督机关，依法行使下列职权： </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（一）依照法律规定对有关刑事案件行使侦查权；</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（二）对刑事案件进行审查，批准或者决定是否逮捕犯罪嫌疑人；</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（三）对刑事案件进行审查，决定是否提起公诉，对决定提起公诉的案件支持公诉； </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（四）依照法律规定提起公益诉讼； </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（五）对诉讼活动实行法律监督； </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（六）对判决、裁定等生效法律文书的执行工作实行法律监督；</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（七）对监狱、看守所的执法活动实行法律监督； </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（八）法律规定的其他职权。</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经批准设立内设机构5个，分别是第一检察部、第二检察部、第三检察部、政治部和办公室。</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华文仿宋" w:hAnsi="华文仿宋" w:eastAsia="华文仿宋" w:cs="华文仿宋"/>
          <w:kern w:val="0"/>
          <w:sz w:val="32"/>
          <w:szCs w:val="32"/>
        </w:rPr>
      </w:pPr>
      <w:r>
        <w:rPr>
          <w:rFonts w:hint="eastAsia" w:ascii="仿宋_GB2312" w:hAnsi="仿宋_GB2312" w:eastAsia="仿宋_GB2312" w:cs="仿宋_GB2312"/>
          <w:sz w:val="32"/>
          <w:szCs w:val="32"/>
        </w:rPr>
        <w:t>从决算单位构成看，本部门的部门决算包括部门本级决算,</w:t>
      </w:r>
      <w:r>
        <w:rPr>
          <w:rFonts w:hint="eastAsia" w:ascii="华文仿宋" w:hAnsi="华文仿宋" w:eastAsia="华文仿宋" w:cs="华文仿宋"/>
          <w:kern w:val="0"/>
          <w:sz w:val="32"/>
          <w:szCs w:val="32"/>
        </w:rPr>
        <w:t>无二级决算单位。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华文仿宋" w:hAnsi="华文仿宋" w:eastAsia="华文仿宋" w:cs="华文仿宋"/>
                <w:kern w:val="0"/>
                <w:sz w:val="32"/>
                <w:szCs w:val="32"/>
              </w:rPr>
              <w:t>杨陵区人民检察院</w:t>
            </w:r>
            <w:r>
              <w:rPr>
                <w:rFonts w:hint="eastAsia" w:ascii="仿宋_GB2312" w:hAnsi="仿宋_GB2312" w:eastAsia="仿宋_GB2312" w:cs="仿宋_GB2312"/>
                <w:sz w:val="32"/>
                <w:szCs w:val="32"/>
              </w:rPr>
              <w:t>（本级）</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adjustRightInd w:val="0"/>
        <w:snapToGrid w:val="0"/>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截止2019年底，本部门人员编制24名，其中政法专项编制21人，事业编制3名；实有25人，其中</w:t>
      </w:r>
      <w:r>
        <w:rPr>
          <w:rFonts w:hint="eastAsia" w:ascii="仿宋_GB2312" w:hAnsi="仿宋_GB2312" w:eastAsia="仿宋_GB2312" w:cs="仿宋_GB2312"/>
          <w:sz w:val="32"/>
          <w:szCs w:val="32"/>
        </w:rPr>
        <w:t>政法专项编制</w:t>
      </w:r>
      <w:r>
        <w:rPr>
          <w:rFonts w:hint="eastAsia" w:ascii="华文仿宋" w:hAnsi="华文仿宋" w:eastAsia="华文仿宋" w:cs="华文仿宋"/>
          <w:sz w:val="32"/>
          <w:szCs w:val="32"/>
        </w:rPr>
        <w:t>23人，事业编制2人</w:t>
      </w:r>
      <w:r>
        <w:rPr>
          <w:rFonts w:hint="eastAsia" w:ascii="华文仿宋" w:hAnsi="华文仿宋" w:eastAsia="华文仿宋" w:cs="华文仿宋"/>
          <w:kern w:val="0"/>
          <w:sz w:val="32"/>
          <w:szCs w:val="32"/>
        </w:rPr>
        <w:t>。单位管理的</w:t>
      </w:r>
      <w:r>
        <w:rPr>
          <w:rFonts w:hint="eastAsia" w:ascii="华文仿宋" w:hAnsi="华文仿宋" w:eastAsia="华文仿宋" w:cs="华文仿宋"/>
          <w:sz w:val="32"/>
          <w:szCs w:val="32"/>
        </w:rPr>
        <w:t>离退休人员13人。</w:t>
      </w:r>
    </w:p>
    <w:p>
      <w:pPr>
        <w:rPr>
          <w:rFonts w:ascii="仿宋_GB2312" w:hAnsi="仿宋_GB2312" w:eastAsia="仿宋_GB2312" w:cs="仿宋_GB2312"/>
          <w:sz w:val="32"/>
          <w:szCs w:val="32"/>
        </w:rPr>
      </w:pPr>
      <w:r>
        <w:pict>
          <v:shape id="_x0000_s1026" o:spid="_x0000_s1026" o:spt="75" type="#_x0000_t75" style="position:absolute;left:0pt;margin-left:0.4pt;margin-top:25.35pt;height:261.4pt;width:411.5pt;z-index:251659264;mso-width-relative:page;mso-height-relative:page;" o:ole="t" filled="f" o:preferrelative="t" stroked="f" coordsize="21600,21600" o:gfxdata="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">
            <v:path/>
            <v:fill on="f" focussize="0,0"/>
            <v:stroke on="f" joinstyle="miter"/>
            <v:imagedata r:id="rId7" o:title=""/>
            <o:lock v:ext="edit" aspectratio="f"/>
          </v:shape>
          <o:OLEObject Type="Embed" ProgID="Excel.Sheet.8" ShapeID="_x0000_s1026" DrawAspect="Content" ObjectID="_1468075725" r:id="rId6">
            <o:LockedField>false</o:LockedField>
          </o:OLEObject>
        </w:pict>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widowControl/>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sz w:val="44"/>
          <w:szCs w:val="44"/>
        </w:rPr>
      </w:pPr>
      <w:r>
        <w:rPr>
          <w:rFonts w:ascii="黑体" w:hAnsi="宋体" w:eastAsia="黑体"/>
          <w:color w:val="000000"/>
          <w:kern w:val="0"/>
          <w:sz w:val="44"/>
          <w:szCs w:val="44"/>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4"/>
                <w:lang w:val="en-US" w:eastAsia="zh-CN"/>
              </w:rPr>
            </w:pPr>
            <w:r>
              <w:rPr>
                <w:rFonts w:hint="eastAsia" w:ascii="宋体" w:hAnsi="宋体" w:cs="宋体"/>
                <w:color w:val="000000"/>
                <w:sz w:val="24"/>
              </w:rPr>
              <w:t>本</w:t>
            </w:r>
            <w:r>
              <w:rPr>
                <w:rFonts w:hint="eastAsia" w:ascii="宋体" w:hAnsi="宋体" w:cs="宋体"/>
                <w:color w:val="000000"/>
                <w:sz w:val="24"/>
                <w:lang w:eastAsia="zh-CN"/>
              </w:rPr>
              <w:t>部门</w:t>
            </w:r>
            <w:r>
              <w:rPr>
                <w:rFonts w:hint="eastAsia" w:ascii="宋体" w:hAnsi="宋体" w:cs="宋体"/>
                <w:color w:val="000000"/>
                <w:sz w:val="24"/>
              </w:rPr>
              <w:t>无政府性基金</w:t>
            </w:r>
            <w:r>
              <w:rPr>
                <w:rFonts w:hint="eastAsia" w:ascii="宋体" w:hAnsi="宋体" w:cs="宋体"/>
                <w:color w:val="000000"/>
                <w:sz w:val="24"/>
                <w:lang w:eastAsia="zh-CN"/>
              </w:rPr>
              <w:t>收支，并已公开空表</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编制部门：杨陵区人民检察院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210"/>
              <w:jc w:val="right"/>
              <w:rPr>
                <w:rFonts w:ascii="宋体" w:hAnsi="宋体" w:cs="宋体"/>
                <w:color w:val="000000"/>
                <w:szCs w:val="21"/>
              </w:rPr>
            </w:pPr>
            <w:r>
              <w:rPr>
                <w:rFonts w:hint="eastAsia" w:ascii="宋体" w:hAnsi="宋体" w:cs="宋体"/>
                <w:color w:val="000000"/>
                <w:szCs w:val="21"/>
              </w:rPr>
              <w:t>468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529.14</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51.86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 xml:space="preserve">519.86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cs="宋体"/>
                <w:bCs/>
                <w:color w:val="000000"/>
                <w:szCs w:val="21"/>
              </w:rPr>
              <w:t>9.3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0.02</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529.16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529.16</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编制部门：杨陵区人民检察院                                           金额单位：万元</w:t>
      </w:r>
    </w:p>
    <w:tbl>
      <w:tblPr>
        <w:tblStyle w:val="7"/>
        <w:tblW w:w="8867" w:type="dxa"/>
        <w:tblInd w:w="0" w:type="dxa"/>
        <w:tblLayout w:type="fixed"/>
        <w:tblCellMar>
          <w:top w:w="15" w:type="dxa"/>
          <w:left w:w="15" w:type="dxa"/>
          <w:bottom w:w="15" w:type="dxa"/>
          <w:right w:w="15" w:type="dxa"/>
        </w:tblCellMar>
      </w:tblPr>
      <w:tblGrid>
        <w:gridCol w:w="927"/>
        <w:gridCol w:w="1461"/>
        <w:gridCol w:w="945"/>
        <w:gridCol w:w="765"/>
        <w:gridCol w:w="690"/>
        <w:gridCol w:w="630"/>
        <w:gridCol w:w="1080"/>
        <w:gridCol w:w="569"/>
        <w:gridCol w:w="990"/>
        <w:gridCol w:w="810"/>
      </w:tblGrid>
      <w:tr>
        <w:tblPrEx>
          <w:tblCellMar>
            <w:top w:w="15" w:type="dxa"/>
            <w:left w:w="15" w:type="dxa"/>
            <w:bottom w:w="15" w:type="dxa"/>
            <w:right w:w="15" w:type="dxa"/>
          </w:tblCellMar>
        </w:tblPrEx>
        <w:trPr>
          <w:trHeight w:val="439" w:hRule="atLeast"/>
        </w:trPr>
        <w:tc>
          <w:tcPr>
            <w:tcW w:w="23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461"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rPr>
            </w:pPr>
            <w:r>
              <w:rPr>
                <w:rFonts w:hint="eastAsia" w:ascii="宋体" w:hAnsi="宋体" w:cs="宋体"/>
                <w:b/>
                <w:color w:val="000000"/>
                <w:szCs w:val="21"/>
              </w:rPr>
              <w:t>其中：</w:t>
            </w:r>
          </w:p>
          <w:p>
            <w:pPr>
              <w:jc w:val="center"/>
              <w:rPr>
                <w:rFonts w:ascii="宋体" w:hAnsi="宋体" w:cs="宋体"/>
                <w:b/>
                <w:color w:val="000000"/>
                <w:szCs w:val="21"/>
              </w:rPr>
            </w:pPr>
            <w:r>
              <w:rPr>
                <w:rFonts w:hint="eastAsia" w:ascii="宋体" w:hAnsi="宋体" w:cs="宋体"/>
                <w:b/>
                <w:color w:val="000000"/>
                <w:szCs w:val="21"/>
              </w:rPr>
              <w:t>教育收费</w:t>
            </w:r>
          </w:p>
        </w:tc>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23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519.86</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468</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51.86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204</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公共安全支出</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519.86</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468</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51.86</w:t>
            </w:r>
          </w:p>
        </w:tc>
      </w:tr>
      <w:tr>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20404</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检察</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519.86</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468</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51.86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2040401</w:t>
            </w:r>
            <w:r>
              <w:rPr>
                <w:rFonts w:ascii="宋体" w:hAnsi="宋体" w:cs="宋体"/>
                <w:color w:val="000000"/>
                <w:szCs w:val="21"/>
              </w:rPr>
              <w:tab/>
            </w:r>
            <w:r>
              <w:rPr>
                <w:rFonts w:ascii="宋体" w:hAnsi="宋体" w:cs="宋体"/>
                <w:color w:val="000000"/>
                <w:szCs w:val="21"/>
              </w:rPr>
              <w:tab/>
            </w:r>
          </w:p>
        </w:tc>
        <w:tc>
          <w:tcPr>
            <w:tcW w:w="146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445.08</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445.06</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2040499</w:t>
            </w:r>
            <w:r>
              <w:rPr>
                <w:rFonts w:ascii="宋体" w:hAnsi="宋体" w:cs="宋体"/>
                <w:color w:val="000000"/>
                <w:szCs w:val="21"/>
              </w:rPr>
              <w:tab/>
            </w:r>
            <w:r>
              <w:rPr>
                <w:rFonts w:ascii="宋体" w:hAnsi="宋体" w:cs="宋体"/>
                <w:color w:val="000000"/>
                <w:szCs w:val="21"/>
              </w:rPr>
              <w:tab/>
            </w:r>
          </w:p>
        </w:tc>
        <w:tc>
          <w:tcPr>
            <w:tcW w:w="146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其他检察支出</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73.78</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21.94</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51.84</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2049901</w:t>
            </w:r>
            <w:r>
              <w:rPr>
                <w:rFonts w:ascii="宋体" w:hAnsi="宋体" w:cs="宋体"/>
                <w:color w:val="000000"/>
                <w:szCs w:val="21"/>
              </w:rPr>
              <w:tab/>
            </w:r>
          </w:p>
        </w:tc>
        <w:tc>
          <w:tcPr>
            <w:tcW w:w="146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其他公共安全支出</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6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6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6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6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6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6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6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6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6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6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编制部门：杨陵区人民检察院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376"/>
        <w:gridCol w:w="1098"/>
        <w:gridCol w:w="986"/>
        <w:gridCol w:w="1077"/>
        <w:gridCol w:w="1109"/>
        <w:gridCol w:w="908"/>
        <w:gridCol w:w="1345"/>
      </w:tblGrid>
      <w:tr>
        <w:tblPrEx>
          <w:tblCellMar>
            <w:top w:w="15" w:type="dxa"/>
            <w:left w:w="15" w:type="dxa"/>
            <w:bottom w:w="15" w:type="dxa"/>
            <w:right w:w="15" w:type="dxa"/>
          </w:tblCellMar>
        </w:tblPrEx>
        <w:trPr>
          <w:trHeight w:val="372" w:hRule="atLeast"/>
        </w:trPr>
        <w:tc>
          <w:tcPr>
            <w:tcW w:w="237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0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37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529.14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450.81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78.32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204</w:t>
            </w: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公共安全支出</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529.14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450.81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78.32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20404</w:t>
            </w: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检察</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529.14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450.81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78.32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2040401</w:t>
            </w:r>
            <w:r>
              <w:rPr>
                <w:rFonts w:ascii="宋体" w:hAnsi="宋体" w:cs="宋体"/>
                <w:color w:val="000000"/>
                <w:szCs w:val="21"/>
              </w:rPr>
              <w:tab/>
            </w: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450.81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450.81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2040499</w:t>
            </w:r>
            <w:r>
              <w:rPr>
                <w:rFonts w:ascii="宋体" w:hAnsi="宋体" w:cs="宋体"/>
                <w:color w:val="000000"/>
                <w:szCs w:val="21"/>
              </w:rPr>
              <w:tab/>
            </w: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其他检察支出</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77.32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77.32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2049901</w:t>
            </w:r>
            <w:r>
              <w:rPr>
                <w:rFonts w:ascii="宋体" w:hAnsi="宋体" w:cs="宋体"/>
                <w:color w:val="000000"/>
                <w:szCs w:val="21"/>
              </w:rPr>
              <w:tab/>
            </w: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其他公共安全支出</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编制部门：杨陵区人民检察院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468</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477.27</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编制部门：杨陵区人民检察院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ind w:right="210"/>
              <w:jc w:val="right"/>
              <w:textAlignment w:val="center"/>
              <w:rPr>
                <w:rFonts w:ascii="宋体" w:hAnsi="宋体" w:cs="宋体"/>
                <w:color w:val="000000"/>
                <w:szCs w:val="21"/>
              </w:rPr>
            </w:pPr>
            <w:r>
              <w:rPr>
                <w:rFonts w:hint="eastAsia" w:ascii="宋体" w:hAnsi="宋体" w:cs="宋体"/>
                <w:color w:val="000000"/>
                <w:kern w:val="0"/>
                <w:szCs w:val="21"/>
              </w:rPr>
              <w:t xml:space="preserve">468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477.27</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477.27</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ind w:right="211"/>
              <w:jc w:val="right"/>
              <w:rPr>
                <w:rFonts w:ascii="宋体" w:hAnsi="宋体" w:cs="宋体"/>
                <w:b/>
                <w:color w:val="000000"/>
                <w:kern w:val="0"/>
                <w:szCs w:val="21"/>
              </w:rPr>
            </w:pPr>
            <w:r>
              <w:rPr>
                <w:rFonts w:hint="eastAsia" w:ascii="宋体" w:hAnsi="宋体" w:cs="宋体"/>
                <w:b/>
                <w:color w:val="000000"/>
                <w:kern w:val="0"/>
                <w:szCs w:val="21"/>
              </w:rPr>
              <w:t>9.3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0.02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0.02</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ascii="宋体" w:hAnsi="宋体" w:cs="宋体"/>
                <w:b/>
                <w:color w:val="000000"/>
                <w:kern w:val="0"/>
                <w:szCs w:val="21"/>
              </w:rPr>
              <w:t xml:space="preserve">       </w:t>
            </w:r>
            <w:r>
              <w:rPr>
                <w:rFonts w:hint="eastAsia" w:ascii="宋体" w:hAnsi="宋体" w:cs="宋体"/>
                <w:b/>
                <w:color w:val="000000"/>
                <w:kern w:val="0"/>
                <w:szCs w:val="21"/>
              </w:rPr>
              <w:t>9.3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ind w:right="211"/>
              <w:jc w:val="right"/>
              <w:rPr>
                <w:rFonts w:ascii="宋体" w:hAnsi="宋体" w:cs="宋体"/>
                <w:b/>
                <w:color w:val="000000"/>
                <w:kern w:val="0"/>
                <w:szCs w:val="21"/>
              </w:rPr>
            </w:pPr>
            <w:r>
              <w:rPr>
                <w:rFonts w:hint="eastAsia" w:ascii="宋体" w:hAnsi="宋体" w:cs="宋体"/>
                <w:b/>
                <w:color w:val="000000"/>
                <w:kern w:val="0"/>
                <w:szCs w:val="21"/>
              </w:rPr>
              <w:t>477.29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477.29</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477.29</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编制部门：杨陵区人民检察院                                           金额单位：万元</w:t>
      </w:r>
    </w:p>
    <w:tbl>
      <w:tblPr>
        <w:tblStyle w:val="7"/>
        <w:tblW w:w="8777" w:type="dxa"/>
        <w:tblInd w:w="0" w:type="dxa"/>
        <w:tblLayout w:type="fixed"/>
        <w:tblCellMar>
          <w:top w:w="15" w:type="dxa"/>
          <w:left w:w="15" w:type="dxa"/>
          <w:bottom w:w="15" w:type="dxa"/>
          <w:right w:w="15" w:type="dxa"/>
        </w:tblCellMar>
      </w:tblPr>
      <w:tblGrid>
        <w:gridCol w:w="1170"/>
        <w:gridCol w:w="1713"/>
        <w:gridCol w:w="990"/>
        <w:gridCol w:w="860"/>
        <w:gridCol w:w="935"/>
        <w:gridCol w:w="1039"/>
        <w:gridCol w:w="1020"/>
        <w:gridCol w:w="1050"/>
      </w:tblGrid>
      <w:tr>
        <w:tblPrEx>
          <w:tblCellMar>
            <w:top w:w="15" w:type="dxa"/>
            <w:left w:w="15" w:type="dxa"/>
            <w:bottom w:w="15" w:type="dxa"/>
            <w:right w:w="15" w:type="dxa"/>
          </w:tblCellMar>
        </w:tblPrEx>
        <w:trPr>
          <w:trHeight w:val="414" w:hRule="atLeast"/>
        </w:trPr>
        <w:tc>
          <w:tcPr>
            <w:tcW w:w="28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83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8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79"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ascii="宋体" w:hAnsi="宋体" w:cs="宋体"/>
                <w:color w:val="000000"/>
                <w:szCs w:val="21"/>
              </w:rPr>
              <w:t>204</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公共安全支出</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477.27</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450.79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407.22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43.57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26.49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ascii="宋体" w:hAnsi="宋体" w:cs="宋体"/>
                <w:color w:val="000000"/>
                <w:szCs w:val="21"/>
              </w:rPr>
              <w:t>20404</w:t>
            </w:r>
          </w:p>
        </w:tc>
        <w:tc>
          <w:tcPr>
            <w:tcW w:w="171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检察</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476.27</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407.22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43.57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26.49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2040401</w:t>
            </w:r>
          </w:p>
        </w:tc>
        <w:tc>
          <w:tcPr>
            <w:tcW w:w="171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450.78</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450.79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407.22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43.57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2040499</w:t>
            </w:r>
          </w:p>
        </w:tc>
        <w:tc>
          <w:tcPr>
            <w:tcW w:w="171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其他检察支出</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25.49</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25.49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578"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20499</w:t>
            </w:r>
          </w:p>
        </w:tc>
        <w:tc>
          <w:tcPr>
            <w:tcW w:w="171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其他公共安全支出</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2049901</w:t>
            </w:r>
          </w:p>
        </w:tc>
        <w:tc>
          <w:tcPr>
            <w:tcW w:w="171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其他公共安全支出</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1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1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1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1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1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1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1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1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1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编制部门：杨陵区人民检察院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450.79</w:t>
            </w:r>
          </w:p>
        </w:tc>
        <w:tc>
          <w:tcPr>
            <w:tcW w:w="1437"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407.22</w:t>
            </w:r>
          </w:p>
        </w:tc>
        <w:tc>
          <w:tcPr>
            <w:tcW w:w="136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43.57</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387.71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387.71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119.49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119.49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144.79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144.79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ascii="宋体" w:hAnsi="宋体" w:cs="宋体"/>
                <w:color w:val="000000"/>
                <w:szCs w:val="21"/>
              </w:rPr>
              <w:t>30203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77.34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77.34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ascii="宋体" w:hAnsi="宋体" w:cs="宋体"/>
                <w:color w:val="000000"/>
                <w:szCs w:val="21"/>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6.11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6.11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ascii="宋体" w:hAnsi="宋体" w:cs="宋体"/>
                <w:color w:val="000000"/>
                <w:szCs w:val="21"/>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39.97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39.97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40.61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40.61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ascii="宋体" w:hAnsi="宋体" w:cs="宋体"/>
                <w:color w:val="000000"/>
                <w:kern w:val="0"/>
                <w:szCs w:val="21"/>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0.22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0.22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4.29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4.29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30208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取暖费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0.33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0.33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30209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物业管理费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1.02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2.13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2.13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0.5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30231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公务用车运行维护费</w:t>
            </w:r>
          </w:p>
          <w:p>
            <w:pPr>
              <w:jc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0.02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其他交通费用</w:t>
            </w:r>
          </w:p>
          <w:p>
            <w:pPr>
              <w:jc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13.24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13.24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其他商品和服务支出</w:t>
            </w:r>
          </w:p>
          <w:p>
            <w:pPr>
              <w:jc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1.81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1．81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ascii="宋体" w:hAnsi="宋体" w:cs="宋体"/>
                <w:color w:val="000000"/>
                <w:szCs w:val="21"/>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19.52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19.52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30304</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抚恤金</w:t>
            </w:r>
          </w:p>
          <w:p>
            <w:pPr>
              <w:jc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17.37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17.37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生活补助</w:t>
            </w:r>
          </w:p>
          <w:p>
            <w:pPr>
              <w:jc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0.88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0.88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奖励金</w:t>
            </w:r>
          </w:p>
          <w:p>
            <w:pPr>
              <w:jc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1.28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310</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资本性支出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2.96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2.96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31002</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办公设备购置</w:t>
            </w:r>
          </w:p>
          <w:p>
            <w:pPr>
              <w:jc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1.52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1.52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31003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专用设备购置</w:t>
            </w:r>
          </w:p>
          <w:p>
            <w:pPr>
              <w:jc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1.45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1.45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20.36</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6.27</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14.09</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14.09</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1.2</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18.98</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6</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12.98</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12.98</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1.14</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jc w:val="cente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编制部门：杨陵区人民检察院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spacing w:line="580" w:lineRule="exact"/>
        <w:ind w:firstLine="640" w:firstLineChars="200"/>
        <w:jc w:val="left"/>
        <w:rPr>
          <w:rFonts w:ascii="仿宋_GB2312" w:hAnsi="宋体" w:eastAsia="仿宋_GB2312" w:cs="仿宋_GB2312"/>
          <w:color w:val="353535"/>
          <w:kern w:val="0"/>
          <w:sz w:val="32"/>
          <w:szCs w:val="32"/>
        </w:rPr>
      </w:pPr>
      <w:r>
        <w:rPr>
          <w:rFonts w:hint="eastAsia" w:ascii="仿宋_GB2312" w:hAnsi="宋体" w:eastAsia="仿宋_GB2312" w:cs="仿宋_GB2312"/>
          <w:kern w:val="0"/>
          <w:sz w:val="32"/>
          <w:szCs w:val="32"/>
        </w:rPr>
        <w:t>杨陵区人民检察院</w:t>
      </w:r>
      <w:r>
        <w:rPr>
          <w:rFonts w:ascii="仿宋_GB2312" w:hAnsi="宋体" w:eastAsia="仿宋_GB2312" w:cs="仿宋_GB2312"/>
          <w:kern w:val="0"/>
          <w:sz w:val="32"/>
          <w:szCs w:val="32"/>
        </w:rPr>
        <w:t>201</w:t>
      </w:r>
      <w:r>
        <w:rPr>
          <w:rFonts w:hint="eastAsia" w:ascii="仿宋_GB2312" w:hAnsi="宋体" w:eastAsia="仿宋_GB2312" w:cs="仿宋_GB2312"/>
          <w:kern w:val="0"/>
          <w:sz w:val="32"/>
          <w:szCs w:val="32"/>
        </w:rPr>
        <w:t>9年总收入519.86万元，较上年618.32万元减少98.46万元，减少了15.92%，主要原因是</w:t>
      </w:r>
      <w:r>
        <w:rPr>
          <w:rFonts w:hint="eastAsia" w:ascii="仿宋_GB2312" w:hAnsi="宋体" w:eastAsia="仿宋_GB2312" w:cs="仿宋_GB2312"/>
          <w:color w:val="353535"/>
          <w:kern w:val="0"/>
          <w:sz w:val="32"/>
          <w:szCs w:val="32"/>
        </w:rPr>
        <w:t>人员转隶及压缩办公经费开支。</w:t>
      </w:r>
    </w:p>
    <w:p>
      <w:pPr>
        <w:widowControl/>
        <w:spacing w:line="580" w:lineRule="exact"/>
        <w:ind w:firstLine="420" w:firstLineChars="200"/>
        <w:jc w:val="left"/>
        <w:rPr>
          <w:rFonts w:ascii="仿宋_GB2312" w:hAnsi="宋体" w:eastAsia="仿宋_GB2312" w:cs="仿宋_GB2312"/>
          <w:color w:val="353535"/>
          <w:kern w:val="0"/>
          <w:sz w:val="32"/>
          <w:szCs w:val="32"/>
        </w:rPr>
      </w:pPr>
      <w:r>
        <w:drawing>
          <wp:anchor distT="0" distB="0" distL="114300" distR="114300" simplePos="0" relativeHeight="251660288" behindDoc="0" locked="0" layoutInCell="1" allowOverlap="1">
            <wp:simplePos x="0" y="0"/>
            <wp:positionH relativeFrom="column">
              <wp:posOffset>273685</wp:posOffset>
            </wp:positionH>
            <wp:positionV relativeFrom="paragraph">
              <wp:posOffset>158750</wp:posOffset>
            </wp:positionV>
            <wp:extent cx="4572000" cy="2743200"/>
            <wp:effectExtent l="0" t="0" r="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widowControl/>
        <w:spacing w:line="580" w:lineRule="exact"/>
        <w:ind w:firstLine="640" w:firstLineChars="200"/>
        <w:jc w:val="left"/>
        <w:rPr>
          <w:rFonts w:ascii="仿宋_GB2312" w:hAnsi="宋体" w:eastAsia="仿宋_GB2312" w:cs="仿宋_GB2312"/>
          <w:color w:val="353535"/>
          <w:kern w:val="0"/>
          <w:sz w:val="32"/>
          <w:szCs w:val="32"/>
        </w:rPr>
      </w:pPr>
    </w:p>
    <w:p>
      <w:pPr>
        <w:widowControl/>
        <w:spacing w:line="580" w:lineRule="exact"/>
        <w:ind w:firstLine="640" w:firstLineChars="200"/>
        <w:jc w:val="left"/>
        <w:rPr>
          <w:rFonts w:ascii="仿宋_GB2312" w:hAnsi="宋体" w:eastAsia="仿宋_GB2312" w:cs="仿宋_GB2312"/>
          <w:color w:val="353535"/>
          <w:kern w:val="0"/>
          <w:sz w:val="32"/>
          <w:szCs w:val="32"/>
        </w:rPr>
      </w:pPr>
    </w:p>
    <w:p>
      <w:pPr>
        <w:widowControl/>
        <w:spacing w:line="580" w:lineRule="exact"/>
        <w:ind w:firstLine="640" w:firstLineChars="200"/>
        <w:jc w:val="left"/>
        <w:rPr>
          <w:rFonts w:ascii="仿宋_GB2312" w:hAnsi="宋体" w:eastAsia="仿宋_GB2312" w:cs="仿宋_GB2312"/>
          <w:color w:val="353535"/>
          <w:kern w:val="0"/>
          <w:sz w:val="32"/>
          <w:szCs w:val="32"/>
        </w:rPr>
      </w:pPr>
    </w:p>
    <w:p>
      <w:pPr>
        <w:widowControl/>
        <w:spacing w:line="580" w:lineRule="exact"/>
        <w:ind w:firstLine="640" w:firstLineChars="200"/>
        <w:jc w:val="left"/>
        <w:rPr>
          <w:rFonts w:ascii="仿宋_GB2312" w:hAnsi="宋体" w:eastAsia="仿宋_GB2312" w:cs="仿宋_GB2312"/>
          <w:color w:val="353535"/>
          <w:kern w:val="0"/>
          <w:sz w:val="32"/>
          <w:szCs w:val="32"/>
        </w:rPr>
      </w:pPr>
    </w:p>
    <w:p>
      <w:pPr>
        <w:widowControl/>
        <w:spacing w:line="580" w:lineRule="exact"/>
        <w:ind w:firstLine="640" w:firstLineChars="200"/>
        <w:jc w:val="left"/>
        <w:rPr>
          <w:rFonts w:ascii="仿宋_GB2312" w:hAnsi="宋体" w:eastAsia="仿宋_GB2312" w:cs="仿宋_GB2312"/>
          <w:color w:val="353535"/>
          <w:kern w:val="0"/>
          <w:sz w:val="32"/>
          <w:szCs w:val="32"/>
        </w:rPr>
      </w:pPr>
    </w:p>
    <w:p>
      <w:pPr>
        <w:widowControl/>
        <w:spacing w:line="580" w:lineRule="exact"/>
        <w:ind w:firstLine="640" w:firstLineChars="200"/>
        <w:jc w:val="left"/>
        <w:rPr>
          <w:rFonts w:ascii="仿宋_GB2312" w:hAnsi="宋体" w:eastAsia="仿宋_GB2312" w:cs="仿宋_GB2312"/>
          <w:color w:val="353535"/>
          <w:kern w:val="0"/>
          <w:sz w:val="32"/>
          <w:szCs w:val="32"/>
        </w:rPr>
      </w:pPr>
    </w:p>
    <w:p>
      <w:pPr>
        <w:widowControl/>
        <w:spacing w:line="580" w:lineRule="exact"/>
        <w:ind w:firstLine="640" w:firstLineChars="200"/>
        <w:jc w:val="left"/>
        <w:rPr>
          <w:rFonts w:ascii="仿宋_GB2312" w:hAnsi="宋体" w:eastAsia="仿宋_GB2312" w:cs="仿宋_GB2312"/>
          <w:color w:val="353535"/>
          <w:kern w:val="0"/>
          <w:sz w:val="32"/>
          <w:szCs w:val="32"/>
        </w:rPr>
      </w:pPr>
    </w:p>
    <w:p>
      <w:pPr>
        <w:widowControl/>
        <w:spacing w:line="58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w:t>
      </w:r>
      <w:r>
        <w:rPr>
          <w:rFonts w:ascii="仿宋_GB2312" w:hAnsi="宋体" w:eastAsia="仿宋_GB2312" w:cs="仿宋_GB2312"/>
          <w:kern w:val="0"/>
          <w:sz w:val="32"/>
          <w:szCs w:val="32"/>
        </w:rPr>
        <w:t>01</w:t>
      </w:r>
      <w:r>
        <w:rPr>
          <w:rFonts w:hint="eastAsia" w:ascii="仿宋_GB2312" w:hAnsi="宋体" w:eastAsia="仿宋_GB2312" w:cs="仿宋_GB2312"/>
          <w:kern w:val="0"/>
          <w:sz w:val="32"/>
          <w:szCs w:val="32"/>
        </w:rPr>
        <w:t>9年总支出529.14万元，较上年609.02万元减少79.88万元，减少13.12%，主要原因是</w:t>
      </w:r>
      <w:r>
        <w:rPr>
          <w:rFonts w:hint="eastAsia" w:ascii="仿宋_GB2312" w:hAnsi="宋体" w:eastAsia="仿宋_GB2312" w:cs="仿宋_GB2312"/>
          <w:color w:val="353535"/>
          <w:kern w:val="0"/>
          <w:sz w:val="32"/>
          <w:szCs w:val="32"/>
        </w:rPr>
        <w:t>人员转隶及压缩办公经费开支。</w:t>
      </w:r>
    </w:p>
    <w:p>
      <w:pPr>
        <w:widowControl/>
        <w:spacing w:line="580" w:lineRule="exact"/>
        <w:ind w:firstLine="640" w:firstLineChars="200"/>
        <w:jc w:val="left"/>
        <w:rPr>
          <w:rFonts w:ascii="仿宋_GB2312" w:hAnsi="宋体" w:eastAsia="仿宋_GB2312" w:cs="仿宋_GB2312"/>
          <w:color w:val="353535"/>
          <w:kern w:val="0"/>
          <w:sz w:val="32"/>
          <w:szCs w:val="32"/>
        </w:rPr>
      </w:pPr>
    </w:p>
    <w:p>
      <w:pPr>
        <w:widowControl/>
        <w:spacing w:line="580" w:lineRule="exact"/>
        <w:ind w:firstLine="420" w:firstLineChars="200"/>
        <w:jc w:val="left"/>
        <w:rPr>
          <w:rFonts w:ascii="仿宋_GB2312" w:hAnsi="宋体" w:eastAsia="仿宋_GB2312" w:cs="仿宋_GB2312"/>
          <w:color w:val="353535"/>
          <w:kern w:val="0"/>
          <w:sz w:val="32"/>
          <w:szCs w:val="32"/>
        </w:rPr>
      </w:pPr>
      <w:r>
        <w:drawing>
          <wp:anchor distT="0" distB="0" distL="114300" distR="114300" simplePos="0" relativeHeight="251661312" behindDoc="0" locked="0" layoutInCell="1" allowOverlap="1">
            <wp:simplePos x="0" y="0"/>
            <wp:positionH relativeFrom="column">
              <wp:posOffset>264160</wp:posOffset>
            </wp:positionH>
            <wp:positionV relativeFrom="paragraph">
              <wp:posOffset>-368300</wp:posOffset>
            </wp:positionV>
            <wp:extent cx="4572000" cy="2743200"/>
            <wp:effectExtent l="0" t="0" r="0" b="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widowControl/>
        <w:spacing w:line="580" w:lineRule="exact"/>
        <w:ind w:firstLine="640" w:firstLineChars="200"/>
        <w:jc w:val="left"/>
        <w:rPr>
          <w:rFonts w:ascii="仿宋_GB2312" w:hAnsi="宋体" w:eastAsia="仿宋_GB2312" w:cs="仿宋_GB2312"/>
          <w:color w:val="353535"/>
          <w:kern w:val="0"/>
          <w:sz w:val="32"/>
          <w:szCs w:val="32"/>
        </w:rPr>
      </w:pPr>
    </w:p>
    <w:p>
      <w:pPr>
        <w:widowControl/>
        <w:spacing w:line="580" w:lineRule="exact"/>
        <w:ind w:firstLine="640" w:firstLineChars="200"/>
        <w:jc w:val="left"/>
        <w:rPr>
          <w:rFonts w:ascii="仿宋_GB2312" w:hAnsi="宋体" w:eastAsia="仿宋_GB2312" w:cs="仿宋_GB2312"/>
          <w:color w:val="353535"/>
          <w:kern w:val="0"/>
          <w:sz w:val="32"/>
          <w:szCs w:val="32"/>
        </w:rPr>
      </w:pPr>
    </w:p>
    <w:p>
      <w:pPr>
        <w:widowControl/>
        <w:spacing w:line="580" w:lineRule="exact"/>
        <w:ind w:firstLine="640" w:firstLineChars="200"/>
        <w:jc w:val="left"/>
        <w:rPr>
          <w:rFonts w:ascii="仿宋_GB2312" w:hAnsi="宋体" w:eastAsia="仿宋_GB2312" w:cs="仿宋_GB2312"/>
          <w:color w:val="353535"/>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kern w:val="0"/>
          <w:sz w:val="32"/>
          <w:szCs w:val="32"/>
        </w:rPr>
        <w:t>杨陵区人民检察院</w:t>
      </w:r>
      <w:r>
        <w:rPr>
          <w:rFonts w:ascii="仿宋_GB2312" w:hAnsi="宋体" w:eastAsia="仿宋_GB2312" w:cs="仿宋_GB2312"/>
          <w:kern w:val="0"/>
          <w:sz w:val="32"/>
          <w:szCs w:val="32"/>
        </w:rPr>
        <w:t>201</w:t>
      </w:r>
      <w:r>
        <w:rPr>
          <w:rFonts w:hint="eastAsia" w:ascii="仿宋_GB2312" w:hAnsi="宋体" w:eastAsia="仿宋_GB2312" w:cs="仿宋_GB2312"/>
          <w:kern w:val="0"/>
          <w:sz w:val="32"/>
          <w:szCs w:val="32"/>
        </w:rPr>
        <w:t>9年收入合计519.86万元，</w:t>
      </w:r>
      <w:r>
        <w:rPr>
          <w:rFonts w:ascii="仿宋_GB2312" w:hAnsi="宋体" w:eastAsia="仿宋_GB2312" w:cs="仿宋_GB2312"/>
          <w:color w:val="000000"/>
          <w:kern w:val="0"/>
          <w:sz w:val="32"/>
          <w:szCs w:val="32"/>
        </w:rPr>
        <w:t>其中：财政拨款收入</w:t>
      </w:r>
      <w:r>
        <w:rPr>
          <w:rFonts w:hint="eastAsia" w:ascii="仿宋_GB2312" w:hAnsi="宋体" w:eastAsia="仿宋_GB2312" w:cs="仿宋_GB2312"/>
          <w:color w:val="000000"/>
          <w:kern w:val="0"/>
          <w:sz w:val="32"/>
          <w:szCs w:val="32"/>
        </w:rPr>
        <w:t>468万元，</w:t>
      </w:r>
      <w:r>
        <w:rPr>
          <w:rFonts w:ascii="仿宋_GB2312" w:hAnsi="宋体" w:eastAsia="仿宋_GB2312" w:cs="仿宋_GB2312"/>
          <w:color w:val="000000"/>
          <w:kern w:val="0"/>
          <w:sz w:val="32"/>
          <w:szCs w:val="32"/>
        </w:rPr>
        <w:t>占</w:t>
      </w:r>
      <w:r>
        <w:rPr>
          <w:rFonts w:hint="eastAsia" w:ascii="仿宋_GB2312" w:hAnsi="宋体" w:eastAsia="仿宋_GB2312" w:cs="仿宋_GB2312"/>
          <w:color w:val="000000"/>
          <w:kern w:val="0"/>
          <w:sz w:val="32"/>
          <w:szCs w:val="32"/>
        </w:rPr>
        <w:t>90</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rPr>
        <w:t>51.86</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420" w:firstLineChars="200"/>
        <w:jc w:val="left"/>
        <w:rPr>
          <w:rFonts w:ascii="仿宋_GB2312" w:hAnsi="宋体" w:eastAsia="仿宋_GB2312" w:cs="仿宋_GB2312"/>
          <w:color w:val="000000"/>
          <w:kern w:val="0"/>
          <w:sz w:val="32"/>
          <w:szCs w:val="32"/>
        </w:rPr>
      </w:pPr>
      <w:r>
        <w:drawing>
          <wp:inline distT="0" distB="0" distL="0" distR="0">
            <wp:extent cx="4572000" cy="27432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jc w:val="left"/>
        <w:rPr>
          <w:rFonts w:ascii="仿宋_GB2312" w:hAnsi="宋体" w:eastAsia="仿宋_GB2312" w:cs="仿宋_GB2312"/>
          <w:kern w:val="0"/>
          <w:sz w:val="32"/>
          <w:szCs w:val="32"/>
        </w:rPr>
      </w:pP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rPr>
        <w:t>529.14</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450.81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85.2</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78.32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14.8</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p>
    <w:p>
      <w:pPr>
        <w:widowControl/>
        <w:ind w:firstLine="420" w:firstLineChars="200"/>
        <w:jc w:val="left"/>
        <w:rPr>
          <w:rFonts w:ascii="仿宋_GB2312" w:hAnsi="宋体" w:eastAsia="仿宋_GB2312" w:cs="仿宋_GB2312"/>
          <w:color w:val="000000"/>
          <w:kern w:val="0"/>
          <w:sz w:val="32"/>
          <w:szCs w:val="32"/>
        </w:rPr>
      </w:pPr>
      <w:r>
        <w:drawing>
          <wp:inline distT="0" distB="0" distL="0" distR="0">
            <wp:extent cx="4572000" cy="27432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420" w:firstLineChars="200"/>
        <w:jc w:val="left"/>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ascii="仿宋_GB2312" w:hAnsi="宋体" w:eastAsia="仿宋_GB2312" w:cs="仿宋_GB2312"/>
          <w:color w:val="353535"/>
          <w:kern w:val="0"/>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收入468万元，较上年615.93万元减少147.93万元，主要原因：</w:t>
      </w:r>
      <w:r>
        <w:rPr>
          <w:rFonts w:hint="eastAsia" w:ascii="仿宋_GB2312" w:hAnsi="宋体" w:eastAsia="仿宋_GB2312" w:cs="仿宋_GB2312"/>
          <w:color w:val="353535"/>
          <w:kern w:val="0"/>
          <w:sz w:val="32"/>
          <w:szCs w:val="32"/>
        </w:rPr>
        <w:t>人员转隶及压缩办公经费开支。</w:t>
      </w:r>
    </w:p>
    <w:p>
      <w:pPr>
        <w:widowControl/>
        <w:ind w:firstLine="420" w:firstLineChars="200"/>
        <w:jc w:val="left"/>
        <w:rPr>
          <w:rFonts w:ascii="仿宋_GB2312" w:hAnsi="宋体" w:eastAsia="仿宋_GB2312" w:cs="仿宋_GB2312"/>
          <w:color w:val="353535"/>
          <w:kern w:val="0"/>
          <w:sz w:val="32"/>
          <w:szCs w:val="32"/>
        </w:rPr>
      </w:pPr>
      <w:r>
        <w:drawing>
          <wp:inline distT="0" distB="0" distL="0" distR="0">
            <wp:extent cx="4572000" cy="27432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jc w:val="left"/>
        <w:rPr>
          <w:rFonts w:ascii="仿宋_GB2312" w:hAnsi="仿宋" w:eastAsia="仿宋_GB2312"/>
          <w:sz w:val="32"/>
          <w:szCs w:val="32"/>
        </w:rPr>
      </w:pP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支出477.27万元，较上年606.63万元减少129.36万元，主要原因：</w:t>
      </w:r>
      <w:r>
        <w:rPr>
          <w:rFonts w:hint="eastAsia" w:ascii="仿宋_GB2312" w:hAnsi="宋体" w:eastAsia="仿宋_GB2312" w:cs="仿宋_GB2312"/>
          <w:color w:val="353535"/>
          <w:kern w:val="0"/>
          <w:sz w:val="32"/>
          <w:szCs w:val="32"/>
        </w:rPr>
        <w:t>人员转隶及压缩办公经费开支。</w:t>
      </w:r>
    </w:p>
    <w:p>
      <w:pPr>
        <w:widowControl/>
        <w:ind w:firstLine="420" w:firstLineChars="200"/>
        <w:jc w:val="left"/>
        <w:rPr>
          <w:rFonts w:ascii="仿宋_GB2312" w:hAnsi="仿宋" w:eastAsia="仿宋_GB2312"/>
          <w:sz w:val="32"/>
          <w:szCs w:val="32"/>
        </w:rPr>
      </w:pPr>
      <w:r>
        <w:drawing>
          <wp:inline distT="0" distB="0" distL="0" distR="0">
            <wp:extent cx="4572000" cy="274320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ind w:firstLine="640" w:firstLineChars="200"/>
        <w:jc w:val="left"/>
        <w:rPr>
          <w:rFonts w:ascii="仿宋_GB2312" w:hAnsi="仿宋" w:eastAsia="仿宋_GB2312"/>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rPr>
        <w:t>477.27</w:t>
      </w:r>
      <w:r>
        <w:rPr>
          <w:rFonts w:ascii="仿宋_GB2312" w:hAnsi="宋体" w:eastAsia="仿宋_GB2312" w:cs="仿宋_GB2312"/>
          <w:color w:val="000000"/>
          <w:kern w:val="0"/>
          <w:sz w:val="32"/>
          <w:szCs w:val="32"/>
        </w:rPr>
        <w:t xml:space="preserve"> 万元，占本年支出合 </w:t>
      </w:r>
    </w:p>
    <w:p>
      <w:pPr>
        <w:widowControl/>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计的</w:t>
      </w:r>
      <w:r>
        <w:rPr>
          <w:rFonts w:hint="eastAsia" w:ascii="仿宋_GB2312" w:hAnsi="宋体" w:eastAsia="仿宋_GB2312" w:cs="仿宋_GB2312"/>
          <w:color w:val="000000"/>
          <w:kern w:val="0"/>
          <w:sz w:val="32"/>
          <w:szCs w:val="32"/>
        </w:rPr>
        <w:t>90.2</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减少129.36</w:t>
      </w:r>
      <w:r>
        <w:rPr>
          <w:rFonts w:ascii="仿宋_GB2312" w:hAnsi="宋体" w:eastAsia="仿宋_GB2312" w:cs="仿宋_GB2312"/>
          <w:color w:val="000000"/>
          <w:kern w:val="0"/>
          <w:sz w:val="32"/>
          <w:szCs w:val="32"/>
        </w:rPr>
        <w:t>万元，增</w:t>
      </w:r>
      <w:r>
        <w:rPr>
          <w:rFonts w:hint="eastAsia" w:ascii="仿宋_GB2312" w:hAnsi="宋体" w:eastAsia="仿宋_GB2312" w:cs="仿宋_GB2312"/>
          <w:color w:val="000000"/>
          <w:kern w:val="0"/>
          <w:sz w:val="32"/>
          <w:szCs w:val="32"/>
        </w:rPr>
        <w:t>减少21.32</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宋体" w:eastAsia="仿宋_GB2312" w:cs="仿宋_GB2312"/>
          <w:color w:val="353535"/>
          <w:kern w:val="0"/>
          <w:sz w:val="32"/>
          <w:szCs w:val="32"/>
        </w:rPr>
        <w:t>人员转隶及压缩办公经费开支</w:t>
      </w:r>
      <w:r>
        <w:rPr>
          <w:rFonts w:hint="eastAsia" w:ascii="仿宋_GB2312" w:hAnsi="宋体" w:eastAsia="仿宋_GB2312" w:cs="仿宋_GB2312"/>
          <w:color w:val="000000"/>
          <w:kern w:val="0"/>
          <w:sz w:val="32"/>
          <w:szCs w:val="32"/>
        </w:rPr>
        <w:t>。</w:t>
      </w:r>
    </w:p>
    <w:p>
      <w:pPr>
        <w:widowControl/>
        <w:jc w:val="left"/>
        <w:rPr>
          <w:rFonts w:ascii="仿宋_GB2312" w:hAnsi="宋体" w:eastAsia="仿宋_GB2312" w:cs="仿宋_GB2312"/>
          <w:color w:val="000000"/>
          <w:kern w:val="0"/>
          <w:sz w:val="32"/>
          <w:szCs w:val="32"/>
        </w:rPr>
      </w:pPr>
    </w:p>
    <w:p>
      <w:pPr>
        <w:widowControl/>
        <w:jc w:val="left"/>
        <w:rPr>
          <w:rFonts w:ascii="仿宋_GB2312" w:hAnsi="宋体" w:eastAsia="仿宋_GB2312" w:cs="仿宋_GB2312"/>
          <w:color w:val="000000"/>
          <w:kern w:val="0"/>
          <w:sz w:val="32"/>
          <w:szCs w:val="32"/>
        </w:rPr>
      </w:pPr>
      <w:r>
        <w:drawing>
          <wp:inline distT="0" distB="0" distL="0" distR="0">
            <wp:extent cx="4572000" cy="27432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年财政拨款支出年初预算</w:t>
      </w:r>
      <w:r>
        <w:rPr>
          <w:rFonts w:hint="eastAsia" w:ascii="仿宋_GB2312" w:hAnsi="宋体" w:eastAsia="仿宋_GB2312" w:cs="仿宋_GB2312"/>
          <w:color w:val="000000"/>
          <w:kern w:val="0"/>
          <w:sz w:val="32"/>
          <w:szCs w:val="32"/>
        </w:rPr>
        <w:t>493.93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477.27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96.63</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pPr>
      <w:r>
        <w:rPr>
          <w:rFonts w:ascii="仿宋_GB2312" w:hAnsi="宋体" w:eastAsia="仿宋_GB2312" w:cs="仿宋_GB2312"/>
          <w:b/>
          <w:color w:val="000000"/>
          <w:kern w:val="0"/>
          <w:sz w:val="32"/>
          <w:szCs w:val="32"/>
        </w:rPr>
        <w:t>1.</w:t>
      </w:r>
      <w:r>
        <w:rPr>
          <w:rFonts w:hint="eastAsia"/>
        </w:rPr>
        <w:t xml:space="preserve"> </w:t>
      </w:r>
      <w:r>
        <w:rPr>
          <w:rFonts w:hint="eastAsia" w:ascii="仿宋_GB2312" w:hAnsi="宋体" w:eastAsia="仿宋_GB2312" w:cs="仿宋_GB2312"/>
          <w:b/>
          <w:color w:val="000000"/>
          <w:kern w:val="0"/>
          <w:sz w:val="32"/>
          <w:szCs w:val="32"/>
        </w:rPr>
        <w:t>公共安全支出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检察</w:t>
      </w:r>
      <w:r>
        <w:rPr>
          <w:rFonts w:ascii="仿宋_GB2312" w:hAnsi="宋体" w:eastAsia="仿宋_GB2312" w:cs="仿宋_GB2312"/>
          <w:b/>
          <w:color w:val="000000"/>
          <w:kern w:val="0"/>
          <w:sz w:val="32"/>
          <w:szCs w:val="32"/>
        </w:rPr>
        <w:t xml:space="preserve">（款）行政运行（项）。 </w:t>
      </w:r>
    </w:p>
    <w:p>
      <w:pPr>
        <w:widowControl/>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 xml:space="preserve"> </w:t>
      </w:r>
      <w:r>
        <w:rPr>
          <w:rFonts w:ascii="仿宋_GB2312" w:hAnsi="宋体" w:eastAsia="仿宋_GB2312" w:cs="仿宋_GB2312"/>
          <w:color w:val="000000"/>
          <w:kern w:val="0"/>
          <w:sz w:val="32"/>
          <w:szCs w:val="32"/>
        </w:rPr>
        <w:t xml:space="preserve">  年初预算为462.93万元，支出决算为450.79万元，完成年初预算的97.38%，决算数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预算数基本</w:t>
      </w:r>
      <w:r>
        <w:rPr>
          <w:rFonts w:hint="eastAsia" w:ascii="仿宋_GB2312" w:hAnsi="宋体" w:eastAsia="仿宋_GB2312" w:cs="仿宋_GB2312"/>
          <w:color w:val="000000"/>
          <w:kern w:val="0"/>
          <w:sz w:val="32"/>
          <w:szCs w:val="32"/>
        </w:rPr>
        <w:t>持平。</w:t>
      </w:r>
    </w:p>
    <w:p>
      <w:pPr>
        <w:widowControl/>
        <w:ind w:firstLine="640" w:firstLineChars="200"/>
        <w:jc w:val="left"/>
        <w:rPr>
          <w:rFonts w:ascii="仿宋_GB2312" w:hAnsi="宋体" w:eastAsia="仿宋_GB2312" w:cs="仿宋_GB2312"/>
          <w:b/>
          <w:color w:val="000000"/>
          <w:kern w:val="0"/>
          <w:sz w:val="32"/>
          <w:szCs w:val="32"/>
        </w:rPr>
      </w:pPr>
      <w:r>
        <w:rPr>
          <w:rFonts w:ascii="仿宋_GB2312" w:hAnsi="宋体" w:eastAsia="仿宋_GB2312" w:cs="仿宋_GB2312"/>
          <w:color w:val="000000"/>
          <w:kern w:val="0"/>
          <w:sz w:val="32"/>
          <w:szCs w:val="32"/>
        </w:rPr>
        <w:t>2.</w:t>
      </w:r>
      <w:r>
        <w:rPr>
          <w:rFonts w:hint="eastAsia" w:ascii="仿宋_GB2312" w:hAnsi="宋体" w:eastAsia="仿宋_GB2312" w:cs="仿宋_GB2312"/>
          <w:b/>
          <w:color w:val="000000"/>
          <w:kern w:val="0"/>
          <w:sz w:val="32"/>
          <w:szCs w:val="32"/>
        </w:rPr>
        <w:t xml:space="preserve"> 公共安全支出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检察</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其他检察支出</w:t>
      </w:r>
      <w:r>
        <w:rPr>
          <w:rFonts w:ascii="仿宋_GB2312" w:hAnsi="宋体" w:eastAsia="仿宋_GB2312" w:cs="仿宋_GB2312"/>
          <w:b/>
          <w:color w:val="000000"/>
          <w:kern w:val="0"/>
          <w:sz w:val="32"/>
          <w:szCs w:val="32"/>
        </w:rPr>
        <w:t>（项）</w:t>
      </w:r>
    </w:p>
    <w:p>
      <w:pPr>
        <w:widowControl/>
        <w:ind w:firstLine="66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年</w:t>
      </w:r>
      <w:r>
        <w:rPr>
          <w:rFonts w:ascii="仿宋_GB2312" w:hAnsi="宋体" w:eastAsia="仿宋_GB2312" w:cs="仿宋_GB2312"/>
          <w:color w:val="000000"/>
          <w:kern w:val="0"/>
          <w:sz w:val="32"/>
          <w:szCs w:val="32"/>
        </w:rPr>
        <w:t>初预算为</w:t>
      </w:r>
      <w:r>
        <w:rPr>
          <w:rFonts w:hint="eastAsia" w:ascii="仿宋_GB2312" w:hAnsi="宋体" w:eastAsia="仿宋_GB2312" w:cs="仿宋_GB2312"/>
          <w:color w:val="000000"/>
          <w:kern w:val="0"/>
          <w:sz w:val="32"/>
          <w:szCs w:val="32"/>
        </w:rPr>
        <w:t>5</w:t>
      </w:r>
      <w:r>
        <w:rPr>
          <w:rFonts w:ascii="仿宋_GB2312" w:hAnsi="宋体" w:eastAsia="仿宋_GB2312" w:cs="仿宋_GB2312"/>
          <w:color w:val="000000"/>
          <w:kern w:val="0"/>
          <w:sz w:val="32"/>
          <w:szCs w:val="32"/>
        </w:rPr>
        <w:t>万元，支出决算为25.49万元，完成年初预算的</w:t>
      </w:r>
      <w:r>
        <w:rPr>
          <w:rFonts w:hint="eastAsia" w:ascii="仿宋_GB2312" w:hAnsi="宋体" w:eastAsia="仿宋_GB2312" w:cs="仿宋_GB2312"/>
          <w:color w:val="000000"/>
          <w:kern w:val="0"/>
          <w:sz w:val="32"/>
          <w:szCs w:val="32"/>
        </w:rPr>
        <w:t>127.45</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决算数大于预算数的主要原因是年初中省资金未纳入预算。</w:t>
      </w:r>
    </w:p>
    <w:p>
      <w:pPr>
        <w:widowControl/>
        <w:ind w:firstLine="640"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 xml:space="preserve"> 公共安全支出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其他公共安全支出</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其他公共安全支出察支出</w:t>
      </w:r>
      <w:r>
        <w:rPr>
          <w:rFonts w:ascii="仿宋_GB2312" w:hAnsi="宋体" w:eastAsia="仿宋_GB2312" w:cs="仿宋_GB2312"/>
          <w:b/>
          <w:color w:val="000000"/>
          <w:kern w:val="0"/>
          <w:sz w:val="32"/>
          <w:szCs w:val="32"/>
        </w:rPr>
        <w:t>（项）</w:t>
      </w:r>
    </w:p>
    <w:p>
      <w:pPr>
        <w:widowControl/>
        <w:ind w:firstLine="66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年</w:t>
      </w:r>
      <w:r>
        <w:rPr>
          <w:rFonts w:ascii="仿宋_GB2312" w:hAnsi="宋体" w:eastAsia="仿宋_GB2312" w:cs="仿宋_GB2312"/>
          <w:color w:val="000000"/>
          <w:kern w:val="0"/>
          <w:sz w:val="32"/>
          <w:szCs w:val="32"/>
        </w:rPr>
        <w:t>初预算为1万元，支出决算为1万元，完成年初预算的100%</w:t>
      </w:r>
      <w:r>
        <w:rPr>
          <w:rFonts w:hint="eastAsia" w:ascii="仿宋_GB2312" w:hAnsi="宋体" w:eastAsia="仿宋_GB2312" w:cs="仿宋_GB2312"/>
          <w:color w:val="000000"/>
          <w:kern w:val="0"/>
          <w:sz w:val="36"/>
          <w:szCs w:val="36"/>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年一般公共预算财政拨款基本支出450.79万元，包括：人员经费支出407.22万元和公用经费支出43.57万元。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人员经费407.22</w:t>
      </w:r>
      <w:r>
        <w:rPr>
          <w:rFonts w:ascii="仿宋_GB2312" w:hAnsi="宋体" w:eastAsia="仿宋_GB2312" w:cs="仿宋_GB2312"/>
          <w:color w:val="000000"/>
          <w:kern w:val="0"/>
          <w:sz w:val="32"/>
          <w:szCs w:val="32"/>
        </w:rPr>
        <w:t>万元，主要包括基本工资</w:t>
      </w:r>
      <w:r>
        <w:rPr>
          <w:rFonts w:hint="eastAsia" w:ascii="仿宋_GB2312" w:hAnsi="宋体" w:eastAsia="仿宋_GB2312" w:cs="仿宋_GB2312"/>
          <w:color w:val="000000"/>
          <w:kern w:val="0"/>
          <w:sz w:val="32"/>
          <w:szCs w:val="32"/>
        </w:rPr>
        <w:t>119.49万元、津贴补贴144.79万元、奖金77.34万元、绩效工资6.11万元、住房公积金39.97万元、抚恤金17.37万元、生活补助0.88万元、奖励金1.28万元。</w:t>
      </w:r>
    </w:p>
    <w:p>
      <w:pPr>
        <w:ind w:firstLine="643" w:firstLineChars="200"/>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公用经费43.57</w:t>
      </w:r>
      <w:r>
        <w:rPr>
          <w:rFonts w:ascii="仿宋_GB2312" w:hAnsi="宋体" w:eastAsia="仿宋_GB2312" w:cs="仿宋_GB2312"/>
          <w:color w:val="000000"/>
          <w:kern w:val="0"/>
          <w:sz w:val="32"/>
          <w:szCs w:val="32"/>
        </w:rPr>
        <w:t>万元，主要包括办公费</w:t>
      </w:r>
      <w:r>
        <w:rPr>
          <w:rFonts w:hint="eastAsia" w:ascii="仿宋_GB2312" w:hAnsi="宋体" w:eastAsia="仿宋_GB2312" w:cs="仿宋_GB2312"/>
          <w:color w:val="000000"/>
          <w:kern w:val="0"/>
          <w:sz w:val="32"/>
          <w:szCs w:val="32"/>
        </w:rPr>
        <w:t>2万元、印刷费0.04万元、水费0.22万元、电费4.90万元、邮电费4.29万元、取暖费0.33万元、物业管理费1.1万元、差旅费1.02万元、维修（护）费2.13万元、公务接待费6万元、劳务费0.5万元、工会经费3万元、公务用车运行维护费0.02万元、其他交通费用</w:t>
      </w:r>
    </w:p>
    <w:p>
      <w:pPr>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13.24万元、其他商品和服务支出1.81万元、办公设备购置</w:t>
      </w:r>
    </w:p>
    <w:p>
      <w:pPr>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1.52万元、专用设备购置1.45万元。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rPr>
        <w:t>20.36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18.98万元，</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rPr>
        <w:t>93.22</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减少1.38万元，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规范车辆维修、油料费管理制度，压减开支。</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费支出0万元，占0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12.98</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68</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rPr>
        <w:t>6</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32</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t xml:space="preserve"> </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14.09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12.98</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92%，决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减少1.11万元，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规范车辆维修、油料费管理制度，压减开支。</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rPr>
        <w:t>113批次，881人次，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6.27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6</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96%，决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减少0.27万元，与预算数基本持平。</w:t>
      </w:r>
      <w:r>
        <w:rPr>
          <w:rFonts w:ascii="仿宋_GB2312" w:hAnsi="宋体" w:eastAsia="仿宋_GB2312" w:cs="仿宋_GB2312"/>
          <w:color w:val="000000"/>
          <w:kern w:val="0"/>
          <w:sz w:val="32"/>
          <w:szCs w:val="32"/>
        </w:rPr>
        <w:t xml:space="preserve"> </w:t>
      </w:r>
    </w:p>
    <w:p>
      <w:pPr>
        <w:widowControl/>
        <w:ind w:firstLine="643" w:firstLineChars="200"/>
        <w:jc w:val="left"/>
        <w:rPr>
          <w:rFonts w:ascii="仿宋_GB2312" w:hAnsi="宋体" w:eastAsia="仿宋_GB2312" w:cs="仿宋_GB2312"/>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1.2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1.14</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96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减少0.06万元，与预算数基本持平。</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spacing w:line="360" w:lineRule="auto"/>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 xml:space="preserve"> </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r>
        <w:rPr>
          <w:rFonts w:hint="eastAsia" w:ascii="楷体_GB2312" w:hAnsi="宋体" w:eastAsia="楷体_GB2312" w:cs="楷体_GB2312"/>
          <w:b/>
          <w:color w:val="000000"/>
          <w:kern w:val="0"/>
          <w:sz w:val="32"/>
          <w:szCs w:val="32"/>
        </w:rPr>
        <w:t xml:space="preserve">     </w:t>
      </w:r>
    </w:p>
    <w:p>
      <w:pPr>
        <w:widowControl/>
        <w:ind w:firstLine="640" w:firstLineChars="200"/>
        <w:jc w:val="left"/>
      </w:pPr>
      <w:r>
        <w:rPr>
          <w:rFonts w:hint="eastAsia" w:ascii="仿宋_GB2312" w:hAnsi="仿宋_GB2312" w:eastAsia="仿宋_GB2312" w:cs="仿宋_GB2312"/>
          <w:sz w:val="32"/>
          <w:szCs w:val="32"/>
        </w:rPr>
        <w:t>示例：根据预算绩效管理要求，本部门组织对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rPr>
        <w:t>26.49</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ascii="仿宋_GB2312" w:hAnsi="仿宋_GB2312" w:eastAsia="仿宋_GB2312" w:cs="仿宋_GB2312"/>
          <w:color w:val="000000"/>
          <w:kern w:val="0"/>
          <w:sz w:val="31"/>
          <w:szCs w:val="31"/>
          <w:highlight w:val="none"/>
        </w:rPr>
      </w:pPr>
      <w:r>
        <w:rPr>
          <w:rFonts w:hint="eastAsia" w:ascii="仿宋_GB2312" w:hAnsi="仿宋_GB2312" w:eastAsia="仿宋_GB2312" w:cs="仿宋_GB2312"/>
          <w:color w:val="000000"/>
          <w:kern w:val="0"/>
          <w:sz w:val="31"/>
          <w:szCs w:val="31"/>
        </w:rPr>
        <w:t>中省转移支付资金项目绩效自评综述：根据年初设定的绩效目标，项目自评得分</w:t>
      </w:r>
      <w:r>
        <w:rPr>
          <w:rFonts w:ascii="仿宋_GB2312" w:hAnsi="仿宋_GB2312" w:eastAsia="仿宋_GB2312" w:cs="仿宋_GB2312"/>
          <w:color w:val="000000"/>
          <w:kern w:val="0"/>
          <w:sz w:val="31"/>
          <w:szCs w:val="31"/>
        </w:rPr>
        <w:t>100</w:t>
      </w:r>
      <w:r>
        <w:rPr>
          <w:rFonts w:hint="eastAsia" w:ascii="仿宋_GB2312" w:hAnsi="仿宋_GB2312" w:eastAsia="仿宋_GB2312" w:cs="仿宋_GB2312"/>
          <w:color w:val="000000"/>
          <w:kern w:val="0"/>
          <w:sz w:val="31"/>
          <w:szCs w:val="31"/>
        </w:rPr>
        <w:t>分。项目全年预算数25.49万元，执行数</w:t>
      </w:r>
      <w:r>
        <w:rPr>
          <w:rFonts w:ascii="仿宋_GB2312" w:hAnsi="仿宋_GB2312" w:eastAsia="仿宋_GB2312" w:cs="仿宋_GB2312"/>
          <w:color w:val="000000"/>
          <w:kern w:val="0"/>
          <w:sz w:val="31"/>
          <w:szCs w:val="31"/>
        </w:rPr>
        <w:t xml:space="preserve"> </w:t>
      </w:r>
      <w:r>
        <w:rPr>
          <w:rFonts w:hint="eastAsia" w:ascii="仿宋_GB2312" w:hAnsi="仿宋_GB2312" w:eastAsia="仿宋_GB2312" w:cs="仿宋_GB2312"/>
          <w:color w:val="000000"/>
          <w:kern w:val="0"/>
          <w:sz w:val="31"/>
          <w:szCs w:val="31"/>
        </w:rPr>
        <w:t>25.49万元，完成预算的</w:t>
      </w:r>
      <w:r>
        <w:rPr>
          <w:rFonts w:ascii="仿宋_GB2312" w:hAnsi="仿宋_GB2312" w:eastAsia="仿宋_GB2312" w:cs="仿宋_GB2312"/>
          <w:color w:val="000000"/>
          <w:kern w:val="0"/>
          <w:sz w:val="31"/>
          <w:szCs w:val="31"/>
        </w:rPr>
        <w:t>100%</w:t>
      </w:r>
      <w:r>
        <w:rPr>
          <w:rFonts w:hint="eastAsia"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highlight w:val="none"/>
        </w:rPr>
        <w:t>通过项目实施更好的进行检察业务，更加便捷的服务群众。发现的问题及原因：专业设备购置速度较慢，其原因是采购不及时。下一步改进措施：及时制定采购计划，尽快进行采购项目的落实。</w:t>
      </w:r>
    </w:p>
    <w:p>
      <w:pPr>
        <w:widowControl/>
        <w:ind w:firstLine="620" w:firstLineChars="200"/>
        <w:jc w:val="left"/>
        <w:rPr>
          <w:highlight w:val="none"/>
        </w:rPr>
      </w:pPr>
      <w:r>
        <w:rPr>
          <w:rFonts w:hint="eastAsia" w:ascii="仿宋_GB2312" w:hAnsi="仿宋_GB2312" w:eastAsia="仿宋_GB2312" w:cs="仿宋_GB2312"/>
          <w:color w:val="000000"/>
          <w:kern w:val="0"/>
          <w:sz w:val="31"/>
          <w:szCs w:val="31"/>
        </w:rPr>
        <w:t>扫黑除恶资金项目绩效自评综述：根据年初设定的绩效目标，项目自评得分</w:t>
      </w:r>
      <w:r>
        <w:rPr>
          <w:rFonts w:ascii="仿宋_GB2312" w:hAnsi="仿宋_GB2312" w:eastAsia="仿宋_GB2312" w:cs="仿宋_GB2312"/>
          <w:color w:val="000000"/>
          <w:kern w:val="0"/>
          <w:sz w:val="31"/>
          <w:szCs w:val="31"/>
        </w:rPr>
        <w:t>100</w:t>
      </w:r>
      <w:r>
        <w:rPr>
          <w:rFonts w:hint="eastAsia" w:ascii="仿宋_GB2312" w:hAnsi="仿宋_GB2312" w:eastAsia="仿宋_GB2312" w:cs="仿宋_GB2312"/>
          <w:color w:val="000000"/>
          <w:kern w:val="0"/>
          <w:sz w:val="31"/>
          <w:szCs w:val="31"/>
        </w:rPr>
        <w:t>分。项目全年预算数1万元，执行数1万元，完成预算的</w:t>
      </w:r>
      <w:r>
        <w:rPr>
          <w:rFonts w:ascii="仿宋_GB2312" w:hAnsi="仿宋_GB2312" w:eastAsia="仿宋_GB2312" w:cs="仿宋_GB2312"/>
          <w:color w:val="000000"/>
          <w:kern w:val="0"/>
          <w:sz w:val="31"/>
          <w:szCs w:val="31"/>
        </w:rPr>
        <w:t>100%</w:t>
      </w:r>
      <w:r>
        <w:rPr>
          <w:rFonts w:hint="eastAsia"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highlight w:val="none"/>
        </w:rPr>
        <w:t>进一步推动平安杨陵、法治杨陵建设，为全区无黑无恶贡献力量。发现的问题及原因：宣传氛围营造的有待加强，其原因是宣传途径较为单一。下一步改进措施：拓宽宣传渠道，充分运用新媒体加强宣传。</w:t>
      </w:r>
    </w:p>
    <w:p>
      <w:pPr>
        <w:rPr>
          <w:rFonts w:ascii="楷体" w:hAnsi="楷体" w:eastAsia="楷体" w:cs="楷体"/>
          <w:sz w:val="32"/>
          <w:szCs w:val="32"/>
        </w:rPr>
      </w:pPr>
    </w:p>
    <w:p>
      <w:pPr>
        <w:rPr>
          <w:rFonts w:ascii="楷体" w:hAnsi="楷体" w:eastAsia="楷体" w:cs="楷体"/>
          <w:sz w:val="32"/>
          <w:szCs w:val="32"/>
        </w:rPr>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p>
    <w:p>
      <w:pPr>
        <w:widowControl/>
        <w:spacing w:line="480" w:lineRule="exact"/>
        <w:jc w:val="center"/>
        <w:rPr>
          <w:rFonts w:ascii="黑体" w:hAnsi="黑体" w:eastAsia="黑体" w:cs="楷体"/>
          <w:sz w:val="32"/>
          <w:szCs w:val="32"/>
        </w:rPr>
      </w:pPr>
      <w:bookmarkStart w:id="0" w:name="_MON_1663935779"/>
      <w:bookmarkEnd w:id="0"/>
      <w:r>
        <w:rPr>
          <w:rFonts w:hint="eastAsia" w:ascii="黑体" w:hAnsi="黑体" w:eastAsia="黑体" w:cs="楷体"/>
          <w:sz w:val="32"/>
          <w:szCs w:val="32"/>
        </w:rPr>
        <w:t>区级预算（项目）绩效目标自评表</w:t>
      </w:r>
    </w:p>
    <w:p>
      <w:pPr>
        <w:widowControl/>
        <w:spacing w:line="480" w:lineRule="exact"/>
        <w:jc w:val="center"/>
        <w:rPr>
          <w:rFonts w:ascii="楷体" w:hAnsi="楷体" w:eastAsia="楷体" w:cs="楷体"/>
          <w:sz w:val="28"/>
          <w:szCs w:val="28"/>
        </w:rPr>
      </w:pPr>
      <w:r>
        <w:rPr>
          <w:rFonts w:hint="eastAsia" w:ascii="楷体" w:hAnsi="楷体" w:eastAsia="楷体" w:cs="楷体"/>
          <w:sz w:val="28"/>
          <w:szCs w:val="28"/>
        </w:rPr>
        <w:t>（</w:t>
      </w:r>
      <w:r>
        <w:rPr>
          <w:rFonts w:ascii="楷体" w:hAnsi="楷体" w:eastAsia="楷体" w:cs="楷体"/>
          <w:sz w:val="28"/>
          <w:szCs w:val="28"/>
        </w:rPr>
        <w:t>2019</w:t>
      </w:r>
      <w:r>
        <w:rPr>
          <w:rFonts w:hint="eastAsia" w:ascii="楷体" w:hAnsi="楷体" w:eastAsia="楷体" w:cs="楷体"/>
          <w:sz w:val="28"/>
          <w:szCs w:val="28"/>
        </w:rPr>
        <w:t>年）</w:t>
      </w:r>
    </w:p>
    <w:tbl>
      <w:tblPr>
        <w:tblStyle w:val="7"/>
        <w:tblW w:w="9622" w:type="dxa"/>
        <w:tblInd w:w="95" w:type="dxa"/>
        <w:tblLayout w:type="autofit"/>
        <w:tblCellMar>
          <w:top w:w="0" w:type="dxa"/>
          <w:left w:w="108" w:type="dxa"/>
          <w:bottom w:w="0" w:type="dxa"/>
          <w:right w:w="108" w:type="dxa"/>
        </w:tblCellMar>
      </w:tblPr>
      <w:tblGrid>
        <w:gridCol w:w="817"/>
        <w:gridCol w:w="780"/>
        <w:gridCol w:w="713"/>
        <w:gridCol w:w="397"/>
        <w:gridCol w:w="1329"/>
        <w:gridCol w:w="1343"/>
        <w:gridCol w:w="1276"/>
        <w:gridCol w:w="1386"/>
        <w:gridCol w:w="924"/>
        <w:gridCol w:w="657"/>
      </w:tblGrid>
      <w:tr>
        <w:tblPrEx>
          <w:tblCellMar>
            <w:top w:w="0" w:type="dxa"/>
            <w:left w:w="108" w:type="dxa"/>
            <w:bottom w:w="0" w:type="dxa"/>
            <w:right w:w="108" w:type="dxa"/>
          </w:tblCellMar>
        </w:tblPrEx>
        <w:trPr>
          <w:trHeight w:val="319" w:hRule="atLeast"/>
        </w:trPr>
        <w:tc>
          <w:tcPr>
            <w:tcW w:w="231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专项（项目）名称</w:t>
            </w:r>
          </w:p>
        </w:tc>
        <w:tc>
          <w:tcPr>
            <w:tcW w:w="7312" w:type="dxa"/>
            <w:gridSpan w:val="7"/>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中省转移支付资金项目</w:t>
            </w:r>
          </w:p>
        </w:tc>
      </w:tr>
      <w:tr>
        <w:tblPrEx>
          <w:tblCellMar>
            <w:top w:w="0" w:type="dxa"/>
            <w:left w:w="108" w:type="dxa"/>
            <w:bottom w:w="0" w:type="dxa"/>
            <w:right w:w="108" w:type="dxa"/>
          </w:tblCellMar>
        </w:tblPrEx>
        <w:trPr>
          <w:trHeight w:val="319" w:hRule="atLeast"/>
        </w:trPr>
        <w:tc>
          <w:tcPr>
            <w:tcW w:w="231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区级主管部门</w:t>
            </w:r>
          </w:p>
        </w:tc>
        <w:tc>
          <w:tcPr>
            <w:tcW w:w="3069"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杨陵区人民检察院</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实施单位</w:t>
            </w:r>
          </w:p>
        </w:tc>
        <w:tc>
          <w:tcPr>
            <w:tcW w:w="2967"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杨陵区人民检察院</w:t>
            </w:r>
          </w:p>
        </w:tc>
      </w:tr>
      <w:tr>
        <w:tblPrEx>
          <w:tblCellMar>
            <w:top w:w="0" w:type="dxa"/>
            <w:left w:w="108" w:type="dxa"/>
            <w:bottom w:w="0" w:type="dxa"/>
            <w:right w:w="108" w:type="dxa"/>
          </w:tblCellMar>
        </w:tblPrEx>
        <w:trPr>
          <w:trHeight w:val="485" w:hRule="atLeast"/>
        </w:trPr>
        <w:tc>
          <w:tcPr>
            <w:tcW w:w="231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726"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全年预算数（</w:t>
            </w:r>
            <w:r>
              <w:rPr>
                <w:rFonts w:ascii="宋体" w:hAnsi="宋体" w:cs="宋体"/>
                <w:color w:val="000000"/>
                <w:kern w:val="0"/>
                <w:sz w:val="20"/>
                <w:szCs w:val="20"/>
              </w:rPr>
              <w:t>A</w:t>
            </w:r>
            <w:r>
              <w:rPr>
                <w:rFonts w:hint="eastAsia" w:ascii="宋体" w:hAnsi="宋体" w:cs="宋体"/>
                <w:color w:val="000000"/>
                <w:kern w:val="0"/>
                <w:sz w:val="20"/>
                <w:szCs w:val="20"/>
              </w:rPr>
              <w:t>）</w:t>
            </w:r>
          </w:p>
        </w:tc>
        <w:tc>
          <w:tcPr>
            <w:tcW w:w="266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全年执行数（</w:t>
            </w:r>
            <w:r>
              <w:rPr>
                <w:rFonts w:ascii="宋体" w:hAnsi="宋体" w:cs="宋体"/>
                <w:color w:val="000000"/>
                <w:kern w:val="0"/>
                <w:sz w:val="20"/>
                <w:szCs w:val="20"/>
              </w:rPr>
              <w:t>B</w:t>
            </w:r>
            <w:r>
              <w:rPr>
                <w:rFonts w:hint="eastAsia" w:ascii="宋体" w:hAnsi="宋体" w:cs="宋体"/>
                <w:color w:val="000000"/>
                <w:kern w:val="0"/>
                <w:sz w:val="20"/>
                <w:szCs w:val="20"/>
              </w:rPr>
              <w:t>）</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执行率（</w:t>
            </w:r>
            <w:r>
              <w:rPr>
                <w:rFonts w:ascii="宋体" w:hAnsi="宋体" w:cs="宋体"/>
                <w:color w:val="000000"/>
                <w:kern w:val="0"/>
                <w:sz w:val="20"/>
                <w:szCs w:val="20"/>
              </w:rPr>
              <w:t>B/A)</w:t>
            </w:r>
          </w:p>
        </w:tc>
      </w:tr>
      <w:tr>
        <w:tblPrEx>
          <w:tblCellMar>
            <w:top w:w="0" w:type="dxa"/>
            <w:left w:w="108" w:type="dxa"/>
            <w:bottom w:w="0" w:type="dxa"/>
            <w:right w:w="108" w:type="dxa"/>
          </w:tblCellMar>
        </w:tblPrEx>
        <w:trPr>
          <w:trHeight w:val="319" w:hRule="atLeast"/>
        </w:trPr>
        <w:tc>
          <w:tcPr>
            <w:tcW w:w="23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26"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年度资金总额：</w:t>
            </w:r>
          </w:p>
        </w:tc>
        <w:tc>
          <w:tcPr>
            <w:tcW w:w="1343" w:type="dxa"/>
            <w:tcBorders>
              <w:top w:val="nil"/>
              <w:left w:val="nil"/>
              <w:bottom w:val="single" w:color="auto" w:sz="4" w:space="0"/>
              <w:right w:val="single" w:color="auto" w:sz="4" w:space="0"/>
            </w:tcBorders>
            <w:vAlign w:val="center"/>
          </w:tcPr>
          <w:p>
            <w:pPr>
              <w:widowControl/>
              <w:jc w:val="center"/>
              <w:rPr>
                <w:rFonts w:hint="default" w:asci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170</w:t>
            </w:r>
          </w:p>
        </w:tc>
        <w:tc>
          <w:tcPr>
            <w:tcW w:w="2662"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25.49</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lang w:val="en-US" w:eastAsia="zh-CN"/>
              </w:rPr>
              <w:t>14.99</w:t>
            </w:r>
            <w:r>
              <w:rPr>
                <w:rFonts w:ascii="宋体" w:hAnsi="宋体" w:cs="宋体"/>
                <w:color w:val="000000"/>
                <w:kern w:val="0"/>
                <w:sz w:val="20"/>
                <w:szCs w:val="20"/>
              </w:rPr>
              <w:t>%</w:t>
            </w:r>
          </w:p>
        </w:tc>
      </w:tr>
      <w:tr>
        <w:tblPrEx>
          <w:tblCellMar>
            <w:top w:w="0" w:type="dxa"/>
            <w:left w:w="108" w:type="dxa"/>
            <w:bottom w:w="0" w:type="dxa"/>
            <w:right w:w="108" w:type="dxa"/>
          </w:tblCellMar>
        </w:tblPrEx>
        <w:trPr>
          <w:trHeight w:val="319" w:hRule="atLeast"/>
        </w:trPr>
        <w:tc>
          <w:tcPr>
            <w:tcW w:w="23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26"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其中：区级财政资金</w:t>
            </w:r>
          </w:p>
        </w:tc>
        <w:tc>
          <w:tcPr>
            <w:tcW w:w="1343" w:type="dxa"/>
            <w:tcBorders>
              <w:top w:val="nil"/>
              <w:left w:val="nil"/>
              <w:bottom w:val="single" w:color="auto" w:sz="4" w:space="0"/>
              <w:right w:val="single" w:color="auto" w:sz="4" w:space="0"/>
            </w:tcBorders>
            <w:vAlign w:val="center"/>
          </w:tcPr>
          <w:p>
            <w:pPr>
              <w:widowControl/>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170</w:t>
            </w:r>
          </w:p>
        </w:tc>
        <w:tc>
          <w:tcPr>
            <w:tcW w:w="2662"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25.49</w:t>
            </w:r>
            <w:bookmarkStart w:id="2" w:name="_GoBack"/>
            <w:bookmarkEnd w:id="2"/>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lang w:val="en-US" w:eastAsia="zh-CN"/>
              </w:rPr>
              <w:t>14.99</w:t>
            </w:r>
            <w:r>
              <w:rPr>
                <w:rFonts w:ascii="宋体" w:hAnsi="宋体" w:cs="宋体"/>
                <w:color w:val="000000"/>
                <w:kern w:val="0"/>
                <w:sz w:val="20"/>
                <w:szCs w:val="20"/>
              </w:rPr>
              <w:t>%</w:t>
            </w:r>
          </w:p>
        </w:tc>
      </w:tr>
      <w:tr>
        <w:tblPrEx>
          <w:tblCellMar>
            <w:top w:w="0" w:type="dxa"/>
            <w:left w:w="108" w:type="dxa"/>
            <w:bottom w:w="0" w:type="dxa"/>
            <w:right w:w="108" w:type="dxa"/>
          </w:tblCellMar>
        </w:tblPrEx>
        <w:trPr>
          <w:trHeight w:val="319" w:hRule="atLeast"/>
        </w:trPr>
        <w:tc>
          <w:tcPr>
            <w:tcW w:w="23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26"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其他资金</w:t>
            </w:r>
          </w:p>
        </w:tc>
        <w:tc>
          <w:tcPr>
            <w:tcW w:w="13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662"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58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81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年度总体目标</w:t>
            </w:r>
          </w:p>
        </w:tc>
        <w:tc>
          <w:tcPr>
            <w:tcW w:w="4562" w:type="dxa"/>
            <w:gridSpan w:val="5"/>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年初设定目标</w:t>
            </w:r>
          </w:p>
        </w:tc>
        <w:tc>
          <w:tcPr>
            <w:tcW w:w="4243"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全年实际完成情况</w:t>
            </w:r>
          </w:p>
        </w:tc>
      </w:tr>
      <w:tr>
        <w:tblPrEx>
          <w:tblCellMar>
            <w:top w:w="0" w:type="dxa"/>
            <w:left w:w="108" w:type="dxa"/>
            <w:bottom w:w="0" w:type="dxa"/>
            <w:right w:w="108" w:type="dxa"/>
          </w:tblCellMar>
        </w:tblPrEx>
        <w:trPr>
          <w:trHeight w:val="1297"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4562" w:type="dxa"/>
            <w:gridSpan w:val="5"/>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认真履行法律监督职责，服务好杨陵经济社会发展。</w:t>
            </w:r>
          </w:p>
          <w:p>
            <w:pPr>
              <w:widowControl/>
              <w:jc w:val="center"/>
              <w:rPr>
                <w:rFonts w:ascii="宋体" w:cs="宋体"/>
                <w:color w:val="000000"/>
                <w:kern w:val="0"/>
                <w:sz w:val="18"/>
                <w:szCs w:val="18"/>
              </w:rPr>
            </w:pPr>
          </w:p>
        </w:tc>
        <w:tc>
          <w:tcPr>
            <w:tcW w:w="4243"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rPr>
            </w:pPr>
            <w:r>
              <w:rPr>
                <w:rFonts w:hint="eastAsia" w:ascii="宋体" w:cs="宋体"/>
                <w:color w:val="000000"/>
                <w:kern w:val="0"/>
                <w:sz w:val="18"/>
                <w:szCs w:val="18"/>
              </w:rPr>
              <w:t>认真履行批捕、起诉职能，加强刑事法律监督、民事行政审判监督和公益诉讼工作，较好完成了年度</w:t>
            </w:r>
          </w:p>
          <w:p>
            <w:pPr>
              <w:widowControl/>
              <w:rPr>
                <w:rFonts w:ascii="宋体" w:cs="宋体"/>
                <w:color w:val="000000"/>
                <w:kern w:val="0"/>
                <w:sz w:val="18"/>
                <w:szCs w:val="18"/>
              </w:rPr>
            </w:pPr>
            <w:r>
              <w:rPr>
                <w:rFonts w:hint="eastAsia" w:ascii="宋体" w:cs="宋体"/>
                <w:color w:val="000000"/>
                <w:kern w:val="0"/>
                <w:sz w:val="18"/>
                <w:szCs w:val="18"/>
              </w:rPr>
              <w:t>目标任务。</w:t>
            </w:r>
          </w:p>
        </w:tc>
      </w:tr>
      <w:tr>
        <w:tblPrEx>
          <w:tblCellMar>
            <w:top w:w="0" w:type="dxa"/>
            <w:left w:w="108" w:type="dxa"/>
            <w:bottom w:w="0" w:type="dxa"/>
            <w:right w:w="108" w:type="dxa"/>
          </w:tblCellMar>
        </w:tblPrEx>
        <w:trPr>
          <w:trHeight w:val="522" w:hRule="atLeast"/>
        </w:trPr>
        <w:tc>
          <w:tcPr>
            <w:tcW w:w="817"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绩效指标</w:t>
            </w:r>
          </w:p>
        </w:tc>
        <w:tc>
          <w:tcPr>
            <w:tcW w:w="7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一级</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1110"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二级指标</w:t>
            </w: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三级指标</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年度指标值</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全年完成值</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未完成原因和改进措施</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产</w:t>
            </w:r>
            <w:r>
              <w:rPr>
                <w:rFonts w:ascii="宋体" w:cs="宋体"/>
                <w:kern w:val="0"/>
                <w:sz w:val="20"/>
                <w:szCs w:val="20"/>
              </w:rPr>
              <w:br w:type="textWrapping"/>
            </w:r>
            <w:r>
              <w:rPr>
                <w:rFonts w:hint="eastAsia" w:ascii="宋体" w:hAnsi="宋体" w:cs="宋体"/>
                <w:kern w:val="0"/>
                <w:sz w:val="20"/>
                <w:szCs w:val="20"/>
              </w:rPr>
              <w:t>出</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11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数量指标</w:t>
            </w: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办理批捕案件</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60</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70</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办理起诉案件</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80</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115</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办理公益诉讼案件</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30</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41</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质量指标</w:t>
            </w: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捕后不诉</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无</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无</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无罪判决</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无</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无</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公益诉讼建议回复率</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17"/>
                <w:szCs w:val="17"/>
              </w:rPr>
            </w:pPr>
            <w:r>
              <w:rPr>
                <w:rFonts w:hint="eastAsia"/>
                <w:color w:val="000000"/>
                <w:sz w:val="17"/>
                <w:szCs w:val="17"/>
              </w:rPr>
              <w:t>≧</w:t>
            </w:r>
            <w:r>
              <w:rPr>
                <w:rFonts w:ascii="Courier New" w:hAnsi="Courier New" w:cs="Courier New"/>
                <w:color w:val="000000"/>
                <w:sz w:val="17"/>
                <w:szCs w:val="17"/>
              </w:rPr>
              <w:t>90%</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color w:val="000000"/>
                <w:sz w:val="17"/>
                <w:szCs w:val="17"/>
              </w:rPr>
              <w:t>≧</w:t>
            </w:r>
            <w:r>
              <w:rPr>
                <w:rFonts w:ascii="Courier New" w:hAnsi="Courier New" w:cs="Courier New"/>
                <w:color w:val="000000"/>
                <w:sz w:val="17"/>
                <w:szCs w:val="17"/>
              </w:rPr>
              <w:t>9</w:t>
            </w:r>
            <w:r>
              <w:rPr>
                <w:rFonts w:hint="eastAsia" w:ascii="Courier New" w:hAnsi="Courier New" w:cs="Courier New"/>
                <w:color w:val="000000"/>
                <w:sz w:val="17"/>
                <w:szCs w:val="17"/>
              </w:rPr>
              <w:t>2</w:t>
            </w:r>
            <w:r>
              <w:rPr>
                <w:rFonts w:ascii="Courier New" w:hAnsi="Courier New" w:cs="Courier New"/>
                <w:color w:val="000000"/>
                <w:sz w:val="17"/>
                <w:szCs w:val="17"/>
              </w:rPr>
              <w:t>%</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时效指标</w:t>
            </w: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批捕案件</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法定时限</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法定时限</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起诉案件</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法定时限</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法定时限</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3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成本指标</w:t>
            </w: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2"/>
                <w:szCs w:val="12"/>
              </w:rPr>
            </w:pPr>
          </w:p>
        </w:tc>
      </w:tr>
      <w:tr>
        <w:tblPrEx>
          <w:tblCellMar>
            <w:top w:w="0" w:type="dxa"/>
            <w:left w:w="108" w:type="dxa"/>
            <w:bottom w:w="0" w:type="dxa"/>
            <w:right w:w="108" w:type="dxa"/>
          </w:tblCellMar>
        </w:tblPrEx>
        <w:trPr>
          <w:trHeight w:val="27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2"/>
                <w:szCs w:val="12"/>
              </w:rPr>
            </w:pP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1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公众安全感</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明显提高</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明显提高</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672"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法律监督能力和水平</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逐步提高</w:t>
            </w:r>
          </w:p>
        </w:tc>
        <w:tc>
          <w:tcPr>
            <w:tcW w:w="138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逐步提高</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4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6"/>
                <w:szCs w:val="16"/>
              </w:rPr>
            </w:pPr>
            <w:r>
              <w:rPr>
                <w:rFonts w:hint="eastAsia" w:ascii="宋体" w:hAnsi="宋体" w:cs="宋体"/>
                <w:kern w:val="0"/>
                <w:sz w:val="16"/>
                <w:szCs w:val="16"/>
              </w:rPr>
              <w:t>满意度指标</w:t>
            </w:r>
          </w:p>
        </w:tc>
        <w:tc>
          <w:tcPr>
            <w:tcW w:w="1110"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6"/>
                <w:szCs w:val="16"/>
              </w:rPr>
            </w:pPr>
            <w:r>
              <w:rPr>
                <w:rFonts w:hint="eastAsia" w:ascii="宋体" w:hAnsi="宋体" w:cs="宋体"/>
                <w:kern w:val="0"/>
                <w:sz w:val="16"/>
                <w:szCs w:val="16"/>
              </w:rPr>
              <w:t>服务对象满意度指标</w:t>
            </w:r>
          </w:p>
        </w:tc>
        <w:tc>
          <w:tcPr>
            <w:tcW w:w="2672" w:type="dxa"/>
            <w:gridSpan w:val="2"/>
            <w:tcBorders>
              <w:top w:val="single" w:color="auto" w:sz="4" w:space="0"/>
              <w:left w:val="nil"/>
              <w:bottom w:val="single" w:color="auto" w:sz="4" w:space="0"/>
              <w:right w:val="single" w:color="auto" w:sz="4" w:space="0"/>
            </w:tcBorders>
            <w:vAlign w:val="center"/>
          </w:tcPr>
          <w:p>
            <w:pPr>
              <w:ind w:firstLine="630" w:firstLineChars="350"/>
              <w:rPr>
                <w:rFonts w:ascii="宋体" w:hAnsi="宋体" w:cs="宋体"/>
                <w:color w:val="000000"/>
                <w:sz w:val="18"/>
                <w:szCs w:val="18"/>
              </w:rPr>
            </w:pPr>
            <w:r>
              <w:rPr>
                <w:rFonts w:hint="eastAsia"/>
                <w:color w:val="000000"/>
                <w:sz w:val="18"/>
                <w:szCs w:val="18"/>
              </w:rPr>
              <w:t>群众满意度</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7"/>
                <w:szCs w:val="17"/>
              </w:rPr>
              <w:t>≧</w:t>
            </w:r>
            <w:r>
              <w:rPr>
                <w:rFonts w:ascii="Courier New" w:hAnsi="Courier New" w:cs="Courier New"/>
                <w:color w:val="000000"/>
                <w:sz w:val="17"/>
                <w:szCs w:val="17"/>
              </w:rPr>
              <w:t>95%</w:t>
            </w:r>
          </w:p>
        </w:tc>
        <w:tc>
          <w:tcPr>
            <w:tcW w:w="138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7"/>
                <w:szCs w:val="17"/>
              </w:rPr>
              <w:t>≧</w:t>
            </w:r>
            <w:r>
              <w:rPr>
                <w:rFonts w:ascii="Courier New" w:hAnsi="Courier New" w:cs="Courier New"/>
                <w:color w:val="000000"/>
                <w:sz w:val="17"/>
                <w:szCs w:val="17"/>
              </w:rPr>
              <w:t>9</w:t>
            </w:r>
            <w:r>
              <w:rPr>
                <w:rFonts w:hint="eastAsia" w:ascii="Courier New" w:hAnsi="Courier New" w:cs="Courier New"/>
                <w:color w:val="000000"/>
                <w:sz w:val="17"/>
                <w:szCs w:val="17"/>
              </w:rPr>
              <w:t>8</w:t>
            </w:r>
            <w:r>
              <w:rPr>
                <w:rFonts w:ascii="Courier New" w:hAnsi="Courier New" w:cs="Courier New"/>
                <w:color w:val="000000"/>
                <w:sz w:val="17"/>
                <w:szCs w:val="17"/>
              </w:rPr>
              <w:t>%</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70" w:hRule="atLeast"/>
        </w:trPr>
        <w:tc>
          <w:tcPr>
            <w:tcW w:w="9622" w:type="dxa"/>
            <w:gridSpan w:val="10"/>
            <w:tcBorders>
              <w:top w:val="nil"/>
              <w:left w:val="nil"/>
              <w:bottom w:val="nil"/>
              <w:right w:val="nil"/>
            </w:tcBorders>
            <w:vAlign w:val="bottom"/>
          </w:tcPr>
          <w:p>
            <w:pPr>
              <w:widowControl/>
              <w:jc w:val="left"/>
              <w:rPr>
                <w:rFonts w:ascii="宋体" w:cs="宋体"/>
                <w:color w:val="000000"/>
                <w:kern w:val="0"/>
                <w:sz w:val="18"/>
                <w:szCs w:val="18"/>
              </w:rPr>
            </w:pPr>
            <w:r>
              <w:rPr>
                <w:rFonts w:hint="eastAsia" w:ascii="宋体" w:hAnsi="宋体" w:cs="宋体"/>
                <w:color w:val="000000"/>
                <w:kern w:val="0"/>
                <w:sz w:val="18"/>
                <w:szCs w:val="18"/>
              </w:rPr>
              <w:t>注：</w:t>
            </w:r>
            <w:r>
              <w:rPr>
                <w:rFonts w:ascii="宋体" w:hAnsi="宋体" w:cs="宋体"/>
                <w:color w:val="000000"/>
                <w:kern w:val="0"/>
                <w:sz w:val="18"/>
                <w:szCs w:val="18"/>
              </w:rPr>
              <w:t>1.</w:t>
            </w:r>
            <w:r>
              <w:rPr>
                <w:rFonts w:hint="eastAsia" w:ascii="宋体" w:hAnsi="宋体" w:cs="宋体"/>
                <w:color w:val="000000"/>
                <w:kern w:val="0"/>
                <w:sz w:val="18"/>
                <w:szCs w:val="18"/>
              </w:rPr>
              <w:t>其他资金包括和财政资金共同投入到同一项目的自有资金、社会资金，以及以前年度的结转结余资金等。</w:t>
            </w:r>
          </w:p>
        </w:tc>
      </w:tr>
      <w:tr>
        <w:tblPrEx>
          <w:tblCellMar>
            <w:top w:w="0" w:type="dxa"/>
            <w:left w:w="108" w:type="dxa"/>
            <w:bottom w:w="0" w:type="dxa"/>
            <w:right w:w="108" w:type="dxa"/>
          </w:tblCellMar>
        </w:tblPrEx>
        <w:trPr>
          <w:trHeight w:val="540" w:hRule="atLeast"/>
        </w:trPr>
        <w:tc>
          <w:tcPr>
            <w:tcW w:w="9622" w:type="dxa"/>
            <w:gridSpan w:val="10"/>
            <w:tcBorders>
              <w:top w:val="nil"/>
              <w:left w:val="nil"/>
              <w:bottom w:val="nil"/>
              <w:right w:val="nil"/>
            </w:tcBorders>
            <w:vAlign w:val="bottom"/>
          </w:tcPr>
          <w:p>
            <w:pPr>
              <w:widowControl/>
              <w:jc w:val="left"/>
              <w:rPr>
                <w:rFonts w:ascii="宋体" w:cs="宋体"/>
                <w:color w:val="000000"/>
                <w:kern w:val="0"/>
                <w:sz w:val="18"/>
                <w:szCs w:val="18"/>
              </w:rPr>
            </w:pPr>
            <w:r>
              <w:rPr>
                <w:rFonts w:ascii="宋体" w:hAnsi="宋体" w:cs="宋体"/>
                <w:color w:val="000000"/>
                <w:kern w:val="0"/>
                <w:sz w:val="18"/>
                <w:szCs w:val="18"/>
              </w:rPr>
              <w:t xml:space="preserve">    2.</w:t>
            </w:r>
            <w:r>
              <w:rPr>
                <w:rFonts w:hint="eastAsia" w:ascii="宋体" w:hAnsi="宋体" w:cs="宋体"/>
                <w:color w:val="000000"/>
                <w:kern w:val="0"/>
                <w:sz w:val="18"/>
                <w:szCs w:val="18"/>
              </w:rPr>
              <w:t>定量指标，资金使用单位填写本地区实际完成数。财政和主管部门汇总时，对绝对值直接累加计算，相对值按照资金额度加权平均计算。</w:t>
            </w:r>
          </w:p>
        </w:tc>
      </w:tr>
      <w:tr>
        <w:tblPrEx>
          <w:tblCellMar>
            <w:top w:w="0" w:type="dxa"/>
            <w:left w:w="108" w:type="dxa"/>
            <w:bottom w:w="0" w:type="dxa"/>
            <w:right w:w="108" w:type="dxa"/>
          </w:tblCellMar>
        </w:tblPrEx>
        <w:trPr>
          <w:gridAfter w:val="1"/>
          <w:wAfter w:w="657" w:type="dxa"/>
          <w:trHeight w:val="510" w:hRule="atLeast"/>
        </w:trPr>
        <w:tc>
          <w:tcPr>
            <w:tcW w:w="8965" w:type="dxa"/>
            <w:gridSpan w:val="9"/>
            <w:tcBorders>
              <w:top w:val="nil"/>
              <w:left w:val="nil"/>
              <w:bottom w:val="nil"/>
              <w:right w:val="nil"/>
            </w:tcBorders>
            <w:vAlign w:val="bottom"/>
          </w:tcPr>
          <w:p>
            <w:pPr>
              <w:widowControl/>
              <w:ind w:firstLine="345"/>
              <w:jc w:val="left"/>
              <w:rPr>
                <w:rFonts w:asci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定性指标根据指标完成情况分为：全部或基本达成预期指标、部分达成预期指标并具有一定效果、未达成预期指标且效果较差三档，分别按照</w:t>
            </w:r>
            <w:r>
              <w:rPr>
                <w:rFonts w:ascii="宋体" w:hAnsi="宋体" w:cs="宋体"/>
                <w:color w:val="000000"/>
                <w:kern w:val="0"/>
                <w:sz w:val="18"/>
                <w:szCs w:val="18"/>
              </w:rPr>
              <w:t>100%-80%</w:t>
            </w:r>
            <w:r>
              <w:rPr>
                <w:rFonts w:hint="eastAsia" w:ascii="宋体" w:hAnsi="宋体" w:cs="宋体"/>
                <w:color w:val="000000"/>
                <w:kern w:val="0"/>
                <w:sz w:val="18"/>
                <w:szCs w:val="18"/>
              </w:rPr>
              <w:t>（含）、</w:t>
            </w:r>
            <w:r>
              <w:rPr>
                <w:rFonts w:ascii="宋体" w:hAnsi="宋体" w:cs="宋体"/>
                <w:color w:val="000000"/>
                <w:kern w:val="0"/>
                <w:sz w:val="18"/>
                <w:szCs w:val="18"/>
              </w:rPr>
              <w:t>80%-60%</w:t>
            </w:r>
            <w:r>
              <w:rPr>
                <w:rFonts w:hint="eastAsia" w:ascii="宋体" w:hAnsi="宋体" w:cs="宋体"/>
                <w:color w:val="000000"/>
                <w:kern w:val="0"/>
                <w:sz w:val="18"/>
                <w:szCs w:val="18"/>
              </w:rPr>
              <w:t>（含）、</w:t>
            </w:r>
            <w:r>
              <w:rPr>
                <w:rFonts w:ascii="宋体" w:hAnsi="宋体" w:cs="宋体"/>
                <w:color w:val="000000"/>
                <w:kern w:val="0"/>
                <w:sz w:val="18"/>
                <w:szCs w:val="18"/>
              </w:rPr>
              <w:t>60-0%</w:t>
            </w:r>
            <w:r>
              <w:rPr>
                <w:rFonts w:hint="eastAsia" w:ascii="宋体" w:hAnsi="宋体" w:cs="宋体"/>
                <w:color w:val="000000"/>
                <w:kern w:val="0"/>
                <w:sz w:val="18"/>
                <w:szCs w:val="18"/>
              </w:rPr>
              <w:t>合理填写完成比例。</w:t>
            </w:r>
          </w:p>
          <w:p>
            <w:pPr>
              <w:widowControl/>
              <w:spacing w:line="480" w:lineRule="exact"/>
              <w:jc w:val="center"/>
              <w:rPr>
                <w:rFonts w:ascii="黑体" w:hAnsi="黑体" w:eastAsia="黑体" w:cs="楷体"/>
                <w:sz w:val="32"/>
                <w:szCs w:val="32"/>
              </w:rPr>
            </w:pPr>
            <w:r>
              <w:rPr>
                <w:rFonts w:hint="eastAsia" w:ascii="黑体" w:hAnsi="黑体" w:eastAsia="黑体" w:cs="楷体"/>
                <w:sz w:val="32"/>
                <w:szCs w:val="32"/>
              </w:rPr>
              <w:t>区级预算（项目）绩效目标自评表</w:t>
            </w:r>
          </w:p>
          <w:p>
            <w:pPr>
              <w:widowControl/>
              <w:spacing w:line="480" w:lineRule="exact"/>
              <w:jc w:val="center"/>
              <w:rPr>
                <w:rFonts w:ascii="楷体" w:hAnsi="楷体" w:eastAsia="楷体" w:cs="楷体"/>
                <w:sz w:val="28"/>
                <w:szCs w:val="28"/>
              </w:rPr>
            </w:pPr>
            <w:r>
              <w:rPr>
                <w:rFonts w:hint="eastAsia" w:ascii="楷体" w:hAnsi="楷体" w:eastAsia="楷体" w:cs="楷体"/>
                <w:sz w:val="28"/>
                <w:szCs w:val="28"/>
              </w:rPr>
              <w:t>（</w:t>
            </w:r>
            <w:r>
              <w:rPr>
                <w:rFonts w:ascii="楷体" w:hAnsi="楷体" w:eastAsia="楷体" w:cs="楷体"/>
                <w:sz w:val="28"/>
                <w:szCs w:val="28"/>
              </w:rPr>
              <w:t>2019</w:t>
            </w:r>
            <w:r>
              <w:rPr>
                <w:rFonts w:hint="eastAsia" w:ascii="楷体" w:hAnsi="楷体" w:eastAsia="楷体" w:cs="楷体"/>
                <w:sz w:val="28"/>
                <w:szCs w:val="28"/>
              </w:rPr>
              <w:t>年）</w:t>
            </w:r>
          </w:p>
        </w:tc>
      </w:tr>
    </w:tbl>
    <w:tbl>
      <w:tblPr>
        <w:tblStyle w:val="7"/>
        <w:tblpPr w:leftFromText="180" w:rightFromText="180" w:vertAnchor="text" w:horzAnchor="margin" w:tblpY="137"/>
        <w:tblW w:w="9300" w:type="dxa"/>
        <w:tblInd w:w="0" w:type="dxa"/>
        <w:tblLayout w:type="autofit"/>
        <w:tblCellMar>
          <w:top w:w="0" w:type="dxa"/>
          <w:left w:w="108" w:type="dxa"/>
          <w:bottom w:w="0" w:type="dxa"/>
          <w:right w:w="108" w:type="dxa"/>
        </w:tblCellMar>
      </w:tblPr>
      <w:tblGrid>
        <w:gridCol w:w="560"/>
        <w:gridCol w:w="560"/>
        <w:gridCol w:w="1040"/>
        <w:gridCol w:w="153"/>
        <w:gridCol w:w="1827"/>
        <w:gridCol w:w="1180"/>
        <w:gridCol w:w="1320"/>
        <w:gridCol w:w="1140"/>
        <w:gridCol w:w="1520"/>
      </w:tblGrid>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专项（项目）名称</w:t>
            </w:r>
          </w:p>
        </w:tc>
        <w:tc>
          <w:tcPr>
            <w:tcW w:w="7140" w:type="dxa"/>
            <w:gridSpan w:val="6"/>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扫黑除恶专项资金项目</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区级主管部门</w:t>
            </w:r>
          </w:p>
        </w:tc>
        <w:tc>
          <w:tcPr>
            <w:tcW w:w="316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杨陵区人民检察院</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实施单位</w:t>
            </w:r>
          </w:p>
        </w:tc>
        <w:tc>
          <w:tcPr>
            <w:tcW w:w="26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杨陵区人民检察院</w:t>
            </w:r>
          </w:p>
        </w:tc>
      </w:tr>
      <w:tr>
        <w:tblPrEx>
          <w:tblCellMar>
            <w:top w:w="0" w:type="dxa"/>
            <w:left w:w="108" w:type="dxa"/>
            <w:bottom w:w="0" w:type="dxa"/>
            <w:right w:w="108" w:type="dxa"/>
          </w:tblCellMar>
        </w:tblPrEx>
        <w:trPr>
          <w:trHeight w:val="660" w:hRule="atLeast"/>
        </w:trPr>
        <w:tc>
          <w:tcPr>
            <w:tcW w:w="216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98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全年预算数（</w:t>
            </w:r>
            <w:r>
              <w:rPr>
                <w:rFonts w:ascii="宋体" w:hAnsi="宋体" w:cs="宋体"/>
                <w:color w:val="000000"/>
                <w:kern w:val="0"/>
                <w:sz w:val="20"/>
                <w:szCs w:val="20"/>
              </w:rPr>
              <w:t>A</w:t>
            </w:r>
            <w:r>
              <w:rPr>
                <w:rFonts w:hint="eastAsia" w:ascii="宋体" w:hAnsi="宋体" w:cs="宋体"/>
                <w:color w:val="000000"/>
                <w:kern w:val="0"/>
                <w:sz w:val="20"/>
                <w:szCs w:val="20"/>
              </w:rPr>
              <w:t>）</w:t>
            </w:r>
          </w:p>
        </w:tc>
        <w:tc>
          <w:tcPr>
            <w:tcW w:w="24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全年执行数（</w:t>
            </w:r>
            <w:r>
              <w:rPr>
                <w:rFonts w:ascii="宋体" w:hAnsi="宋体" w:cs="宋体"/>
                <w:color w:val="000000"/>
                <w:kern w:val="0"/>
                <w:sz w:val="20"/>
                <w:szCs w:val="20"/>
              </w:rPr>
              <w:t>B</w:t>
            </w:r>
            <w:r>
              <w:rPr>
                <w:rFonts w:hint="eastAsia" w:ascii="宋体" w:hAnsi="宋体" w:cs="宋体"/>
                <w:color w:val="000000"/>
                <w:kern w:val="0"/>
                <w:sz w:val="20"/>
                <w:szCs w:val="20"/>
              </w:rPr>
              <w:t>）</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执行率（</w:t>
            </w:r>
            <w:r>
              <w:rPr>
                <w:rFonts w:ascii="宋体" w:hAnsi="宋体" w:cs="宋体"/>
                <w:color w:val="000000"/>
                <w:kern w:val="0"/>
                <w:sz w:val="20"/>
                <w:szCs w:val="20"/>
              </w:rPr>
              <w:t>B/A)</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年度资金总额：</w:t>
            </w:r>
          </w:p>
        </w:tc>
        <w:tc>
          <w:tcPr>
            <w:tcW w:w="11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1</w:t>
            </w:r>
          </w:p>
        </w:tc>
        <w:tc>
          <w:tcPr>
            <w:tcW w:w="24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1</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其中：区级财政资金</w:t>
            </w:r>
          </w:p>
        </w:tc>
        <w:tc>
          <w:tcPr>
            <w:tcW w:w="11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1</w:t>
            </w:r>
          </w:p>
        </w:tc>
        <w:tc>
          <w:tcPr>
            <w:tcW w:w="24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1</w:t>
            </w:r>
          </w:p>
        </w:tc>
        <w:tc>
          <w:tcPr>
            <w:tcW w:w="1520" w:type="dxa"/>
            <w:tcBorders>
              <w:top w:val="nil"/>
              <w:left w:val="nil"/>
              <w:bottom w:val="single" w:color="auto" w:sz="4" w:space="0"/>
              <w:right w:val="single" w:color="auto" w:sz="4" w:space="0"/>
            </w:tcBorders>
            <w:vAlign w:val="center"/>
          </w:tcPr>
          <w:p>
            <w:pPr>
              <w:widowControl/>
              <w:tabs>
                <w:tab w:val="left" w:pos="397"/>
              </w:tabs>
              <w:jc w:val="left"/>
              <w:rPr>
                <w:rFonts w:asci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rPr>
              <w:tab/>
            </w:r>
            <w:r>
              <w:rPr>
                <w:rFonts w:ascii="宋体" w:hAnsi="宋体" w:cs="宋体"/>
                <w:color w:val="000000"/>
                <w:kern w:val="0"/>
                <w:sz w:val="20"/>
                <w:szCs w:val="20"/>
              </w:rPr>
              <w:t>100%</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其他资金</w:t>
            </w:r>
          </w:p>
        </w:tc>
        <w:tc>
          <w:tcPr>
            <w:tcW w:w="11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4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5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5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年度总体目标</w:t>
            </w:r>
          </w:p>
        </w:tc>
        <w:tc>
          <w:tcPr>
            <w:tcW w:w="4760" w:type="dxa"/>
            <w:gridSpan w:val="5"/>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年初设定目标</w:t>
            </w:r>
          </w:p>
        </w:tc>
        <w:tc>
          <w:tcPr>
            <w:tcW w:w="3980"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全年实际完成情况</w:t>
            </w:r>
          </w:p>
        </w:tc>
      </w:tr>
      <w:tr>
        <w:tblPrEx>
          <w:tblCellMar>
            <w:top w:w="0" w:type="dxa"/>
            <w:left w:w="108" w:type="dxa"/>
            <w:bottom w:w="0" w:type="dxa"/>
            <w:right w:w="108" w:type="dxa"/>
          </w:tblCellMar>
        </w:tblPrEx>
        <w:trPr>
          <w:trHeight w:val="540"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4760"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目标</w:t>
            </w:r>
            <w:r>
              <w:rPr>
                <w:rFonts w:ascii="宋体" w:hAnsi="宋体" w:cs="宋体"/>
                <w:color w:val="000000"/>
                <w:kern w:val="0"/>
                <w:sz w:val="20"/>
                <w:szCs w:val="20"/>
              </w:rPr>
              <w:t>1</w:t>
            </w:r>
            <w:r>
              <w:rPr>
                <w:rFonts w:hint="eastAsia" w:ascii="宋体" w:hAnsi="宋体" w:cs="宋体"/>
                <w:color w:val="000000"/>
                <w:kern w:val="0"/>
                <w:sz w:val="20"/>
                <w:szCs w:val="20"/>
              </w:rPr>
              <w:t>：黑恶势力违法犯罪特别是农村涉黑涉恶问题得到根本遏制；目标</w:t>
            </w:r>
            <w:r>
              <w:rPr>
                <w:rFonts w:ascii="宋体" w:hAnsi="宋体" w:cs="宋体"/>
                <w:color w:val="000000"/>
                <w:kern w:val="0"/>
                <w:sz w:val="20"/>
                <w:szCs w:val="20"/>
              </w:rPr>
              <w:t>2</w:t>
            </w:r>
            <w:r>
              <w:rPr>
                <w:rFonts w:hint="eastAsia" w:ascii="宋体" w:hAnsi="宋体" w:cs="宋体"/>
                <w:color w:val="000000"/>
                <w:kern w:val="0"/>
                <w:sz w:val="20"/>
                <w:szCs w:val="20"/>
              </w:rPr>
              <w:t>：重点行业、重点领域管理得到明显加强；</w:t>
            </w:r>
          </w:p>
        </w:tc>
        <w:tc>
          <w:tcPr>
            <w:tcW w:w="398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目标</w:t>
            </w:r>
            <w:r>
              <w:rPr>
                <w:rFonts w:ascii="宋体" w:hAnsi="宋体" w:cs="宋体"/>
                <w:color w:val="000000"/>
                <w:kern w:val="0"/>
                <w:sz w:val="20"/>
                <w:szCs w:val="20"/>
              </w:rPr>
              <w:t>1</w:t>
            </w:r>
            <w:r>
              <w:rPr>
                <w:rFonts w:hint="eastAsia" w:ascii="宋体" w:hAnsi="宋体" w:cs="宋体"/>
                <w:color w:val="000000"/>
                <w:kern w:val="0"/>
                <w:sz w:val="20"/>
                <w:szCs w:val="20"/>
              </w:rPr>
              <w:t>：黑恶势力违法犯罪特别是农村涉黑涉恶问题得到根本遏制；目标</w:t>
            </w:r>
            <w:r>
              <w:rPr>
                <w:rFonts w:ascii="宋体" w:hAnsi="宋体" w:cs="宋体"/>
                <w:color w:val="000000"/>
                <w:kern w:val="0"/>
                <w:sz w:val="20"/>
                <w:szCs w:val="20"/>
              </w:rPr>
              <w:t>2</w:t>
            </w:r>
            <w:r>
              <w:rPr>
                <w:rFonts w:hint="eastAsia" w:ascii="宋体" w:hAnsi="宋体" w:cs="宋体"/>
                <w:color w:val="000000"/>
                <w:kern w:val="0"/>
                <w:sz w:val="20"/>
                <w:szCs w:val="20"/>
              </w:rPr>
              <w:t>：重点行业、重点领域管理得到明显加强；目标</w:t>
            </w:r>
            <w:r>
              <w:rPr>
                <w:rFonts w:ascii="宋体" w:hAnsi="宋体" w:cs="宋体"/>
                <w:color w:val="000000"/>
                <w:kern w:val="0"/>
                <w:sz w:val="20"/>
                <w:szCs w:val="20"/>
              </w:rPr>
              <w:t>3</w:t>
            </w:r>
            <w:r>
              <w:rPr>
                <w:rFonts w:hint="eastAsia" w:ascii="宋体" w:hAnsi="宋体" w:cs="宋体"/>
                <w:color w:val="000000"/>
                <w:kern w:val="0"/>
                <w:sz w:val="20"/>
                <w:szCs w:val="20"/>
              </w:rPr>
              <w:t>：黑恶势力“保护伞”得以铲除，基层组织建设环境明显优化；目标</w:t>
            </w:r>
            <w:r>
              <w:rPr>
                <w:rFonts w:ascii="宋体" w:hAnsi="宋体" w:cs="宋体"/>
                <w:color w:val="000000"/>
                <w:kern w:val="0"/>
                <w:sz w:val="20"/>
                <w:szCs w:val="20"/>
              </w:rPr>
              <w:t>4</w:t>
            </w:r>
            <w:r>
              <w:rPr>
                <w:rFonts w:hint="eastAsia" w:ascii="宋体" w:hAnsi="宋体" w:cs="宋体"/>
                <w:color w:val="000000"/>
                <w:kern w:val="0"/>
                <w:sz w:val="20"/>
                <w:szCs w:val="20"/>
              </w:rPr>
              <w:t>：扫黑除恶工作法制化、规范化、专业化水平进一步提高。</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产</w:t>
            </w:r>
            <w:r>
              <w:rPr>
                <w:rFonts w:ascii="宋体" w:cs="宋体"/>
                <w:kern w:val="0"/>
                <w:sz w:val="20"/>
                <w:szCs w:val="20"/>
              </w:rPr>
              <w:br w:type="textWrapping"/>
            </w:r>
            <w:r>
              <w:rPr>
                <w:rFonts w:hint="eastAsia" w:ascii="宋体" w:hAnsi="宋体" w:cs="宋体"/>
                <w:kern w:val="0"/>
                <w:sz w:val="20"/>
                <w:szCs w:val="20"/>
              </w:rPr>
              <w:t>出</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19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数量指标</w:t>
            </w:r>
          </w:p>
        </w:tc>
        <w:tc>
          <w:tcPr>
            <w:tcW w:w="300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扫黑除恶投入资金量</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1</w:t>
            </w:r>
          </w:p>
        </w:tc>
        <w:tc>
          <w:tcPr>
            <w:tcW w:w="11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1</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300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支持政法部门办理案件数量</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c>
          <w:tcPr>
            <w:tcW w:w="11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1</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质量指标</w:t>
            </w:r>
          </w:p>
        </w:tc>
        <w:tc>
          <w:tcPr>
            <w:tcW w:w="300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扫黑除恶专项斗争群众知晓率</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95%</w:t>
            </w:r>
          </w:p>
        </w:tc>
        <w:tc>
          <w:tcPr>
            <w:tcW w:w="11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97%</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300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扫黑除恶专项斗争成效认可率</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85%</w:t>
            </w:r>
          </w:p>
        </w:tc>
        <w:tc>
          <w:tcPr>
            <w:tcW w:w="11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90%</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300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对黑恶势力违法犯罪特别是农村涉黑涉恶问题，以及涉黑涉恶治安乱点的整治</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整治率</w:t>
            </w:r>
            <w:r>
              <w:rPr>
                <w:rFonts w:ascii="宋体" w:hAnsi="宋体" w:cs="宋体"/>
                <w:color w:val="000000"/>
                <w:kern w:val="0"/>
                <w:sz w:val="20"/>
                <w:szCs w:val="20"/>
              </w:rPr>
              <w:t>95%</w:t>
            </w:r>
          </w:p>
        </w:tc>
        <w:tc>
          <w:tcPr>
            <w:tcW w:w="11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整治</w:t>
            </w:r>
            <w:r>
              <w:rPr>
                <w:rFonts w:ascii="宋体" w:hAnsi="宋体" w:cs="宋体"/>
                <w:color w:val="000000"/>
                <w:kern w:val="0"/>
                <w:sz w:val="20"/>
                <w:szCs w:val="20"/>
              </w:rPr>
              <w:t>97%</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3007"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保障对扫黑除恶专项斗争的经费支持</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1万</w:t>
            </w:r>
          </w:p>
        </w:tc>
        <w:tc>
          <w:tcPr>
            <w:tcW w:w="11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1万</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300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基层社会治理能力</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提升</w:t>
            </w:r>
            <w:r>
              <w:rPr>
                <w:rFonts w:ascii="宋体" w:hAnsi="宋体" w:cs="宋体"/>
                <w:color w:val="000000"/>
                <w:kern w:val="0"/>
                <w:sz w:val="20"/>
                <w:szCs w:val="20"/>
              </w:rPr>
              <w:t>90%</w:t>
            </w:r>
          </w:p>
        </w:tc>
        <w:tc>
          <w:tcPr>
            <w:tcW w:w="11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提升</w:t>
            </w:r>
            <w:r>
              <w:rPr>
                <w:rFonts w:ascii="宋体" w:hAnsi="宋体" w:cs="宋体"/>
                <w:color w:val="000000"/>
                <w:kern w:val="0"/>
                <w:sz w:val="20"/>
                <w:szCs w:val="20"/>
              </w:rPr>
              <w:t>95%</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288"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满意度指标</w:t>
            </w:r>
          </w:p>
        </w:tc>
        <w:tc>
          <w:tcPr>
            <w:tcW w:w="1193"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服务对满意度指标</w:t>
            </w:r>
          </w:p>
        </w:tc>
        <w:tc>
          <w:tcPr>
            <w:tcW w:w="300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社会公众满意度</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提升</w:t>
            </w:r>
            <w:r>
              <w:rPr>
                <w:rFonts w:ascii="宋体" w:hAnsi="宋体" w:cs="宋体"/>
                <w:color w:val="000000"/>
                <w:kern w:val="0"/>
                <w:sz w:val="20"/>
                <w:szCs w:val="20"/>
              </w:rPr>
              <w:t>90%</w:t>
            </w:r>
          </w:p>
        </w:tc>
        <w:tc>
          <w:tcPr>
            <w:tcW w:w="11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提升</w:t>
            </w:r>
            <w:r>
              <w:rPr>
                <w:rFonts w:ascii="宋体" w:hAnsi="宋体" w:cs="宋体"/>
                <w:color w:val="000000"/>
                <w:kern w:val="0"/>
                <w:sz w:val="20"/>
                <w:szCs w:val="20"/>
              </w:rPr>
              <w:t>95%</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bl>
    <w:tbl>
      <w:tblPr>
        <w:tblStyle w:val="7"/>
        <w:tblW w:w="9622" w:type="dxa"/>
        <w:tblInd w:w="95" w:type="dxa"/>
        <w:tblLayout w:type="autofit"/>
        <w:tblCellMar>
          <w:top w:w="0" w:type="dxa"/>
          <w:left w:w="108" w:type="dxa"/>
          <w:bottom w:w="0" w:type="dxa"/>
          <w:right w:w="108" w:type="dxa"/>
        </w:tblCellMar>
      </w:tblPr>
      <w:tblGrid>
        <w:gridCol w:w="8965"/>
        <w:gridCol w:w="657"/>
      </w:tblGrid>
      <w:tr>
        <w:tblPrEx>
          <w:tblCellMar>
            <w:top w:w="0" w:type="dxa"/>
            <w:left w:w="108" w:type="dxa"/>
            <w:bottom w:w="0" w:type="dxa"/>
            <w:right w:w="108" w:type="dxa"/>
          </w:tblCellMar>
        </w:tblPrEx>
        <w:trPr>
          <w:trHeight w:val="570" w:hRule="atLeast"/>
        </w:trPr>
        <w:tc>
          <w:tcPr>
            <w:tcW w:w="9622" w:type="dxa"/>
            <w:gridSpan w:val="2"/>
            <w:tcBorders>
              <w:top w:val="nil"/>
              <w:left w:val="nil"/>
              <w:bottom w:val="nil"/>
              <w:right w:val="nil"/>
            </w:tcBorders>
            <w:vAlign w:val="bottom"/>
          </w:tcPr>
          <w:p>
            <w:pPr>
              <w:widowControl/>
              <w:jc w:val="left"/>
              <w:rPr>
                <w:rFonts w:ascii="宋体" w:cs="宋体"/>
                <w:color w:val="000000"/>
                <w:kern w:val="0"/>
                <w:sz w:val="18"/>
                <w:szCs w:val="18"/>
              </w:rPr>
            </w:pPr>
            <w:r>
              <w:rPr>
                <w:rFonts w:hint="eastAsia" w:ascii="宋体" w:hAnsi="宋体" w:cs="宋体"/>
                <w:color w:val="000000"/>
                <w:kern w:val="0"/>
                <w:sz w:val="18"/>
                <w:szCs w:val="18"/>
              </w:rPr>
              <w:t>注：</w:t>
            </w:r>
            <w:r>
              <w:rPr>
                <w:rFonts w:ascii="宋体" w:hAnsi="宋体" w:cs="宋体"/>
                <w:color w:val="000000"/>
                <w:kern w:val="0"/>
                <w:sz w:val="18"/>
                <w:szCs w:val="18"/>
              </w:rPr>
              <w:t>1.</w:t>
            </w:r>
            <w:r>
              <w:rPr>
                <w:rFonts w:hint="eastAsia" w:ascii="宋体" w:hAnsi="宋体" w:cs="宋体"/>
                <w:color w:val="000000"/>
                <w:kern w:val="0"/>
                <w:sz w:val="18"/>
                <w:szCs w:val="18"/>
              </w:rPr>
              <w:t>其他资金包括和财政资金共同投入到同一项目的自有资金、社会资金，以及以前年度的结转结余资金等。</w:t>
            </w:r>
          </w:p>
        </w:tc>
      </w:tr>
      <w:tr>
        <w:tblPrEx>
          <w:tblCellMar>
            <w:top w:w="0" w:type="dxa"/>
            <w:left w:w="108" w:type="dxa"/>
            <w:bottom w:w="0" w:type="dxa"/>
            <w:right w:w="108" w:type="dxa"/>
          </w:tblCellMar>
        </w:tblPrEx>
        <w:trPr>
          <w:trHeight w:val="540" w:hRule="atLeast"/>
        </w:trPr>
        <w:tc>
          <w:tcPr>
            <w:tcW w:w="9622" w:type="dxa"/>
            <w:gridSpan w:val="2"/>
            <w:tcBorders>
              <w:top w:val="nil"/>
              <w:left w:val="nil"/>
              <w:bottom w:val="nil"/>
              <w:right w:val="nil"/>
            </w:tcBorders>
            <w:vAlign w:val="bottom"/>
          </w:tcPr>
          <w:p>
            <w:pPr>
              <w:widowControl/>
              <w:jc w:val="left"/>
              <w:rPr>
                <w:rFonts w:ascii="宋体" w:cs="宋体"/>
                <w:color w:val="000000"/>
                <w:kern w:val="0"/>
                <w:sz w:val="18"/>
                <w:szCs w:val="18"/>
              </w:rPr>
            </w:pPr>
            <w:r>
              <w:rPr>
                <w:rFonts w:ascii="宋体" w:hAnsi="宋体" w:cs="宋体"/>
                <w:color w:val="000000"/>
                <w:kern w:val="0"/>
                <w:sz w:val="18"/>
                <w:szCs w:val="18"/>
              </w:rPr>
              <w:t xml:space="preserve">    2.</w:t>
            </w:r>
            <w:r>
              <w:rPr>
                <w:rFonts w:hint="eastAsia" w:ascii="宋体" w:hAnsi="宋体" w:cs="宋体"/>
                <w:color w:val="000000"/>
                <w:kern w:val="0"/>
                <w:sz w:val="18"/>
                <w:szCs w:val="18"/>
              </w:rPr>
              <w:t>定量指标，资金使用单位填写本地区实际完成数。财政和主管部门汇总时，对绝对值直接累加计算，相对值按照资金额度加权平均计算。</w:t>
            </w:r>
          </w:p>
        </w:tc>
      </w:tr>
      <w:tr>
        <w:tblPrEx>
          <w:tblCellMar>
            <w:top w:w="0" w:type="dxa"/>
            <w:left w:w="108" w:type="dxa"/>
            <w:bottom w:w="0" w:type="dxa"/>
            <w:right w:w="108" w:type="dxa"/>
          </w:tblCellMar>
        </w:tblPrEx>
        <w:trPr>
          <w:gridAfter w:val="1"/>
          <w:wAfter w:w="657" w:type="dxa"/>
          <w:trHeight w:val="510" w:hRule="atLeast"/>
        </w:trPr>
        <w:tc>
          <w:tcPr>
            <w:tcW w:w="8965" w:type="dxa"/>
            <w:tcBorders>
              <w:top w:val="nil"/>
              <w:left w:val="nil"/>
              <w:bottom w:val="nil"/>
              <w:right w:val="nil"/>
            </w:tcBorders>
            <w:vAlign w:val="bottom"/>
          </w:tcPr>
          <w:p>
            <w:pPr>
              <w:widowControl/>
              <w:ind w:firstLine="345"/>
              <w:jc w:val="left"/>
              <w:rPr>
                <w:rFonts w:asci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定性指标根据指标完成情况分为：全部或基本达成预期指标、部分达成预期指标并具有一定效果、未达成预期指标且效果较差三档，分别按照</w:t>
            </w:r>
            <w:r>
              <w:rPr>
                <w:rFonts w:ascii="宋体" w:hAnsi="宋体" w:cs="宋体"/>
                <w:color w:val="000000"/>
                <w:kern w:val="0"/>
                <w:sz w:val="18"/>
                <w:szCs w:val="18"/>
              </w:rPr>
              <w:t>100%-80%</w:t>
            </w:r>
            <w:r>
              <w:rPr>
                <w:rFonts w:hint="eastAsia" w:ascii="宋体" w:hAnsi="宋体" w:cs="宋体"/>
                <w:color w:val="000000"/>
                <w:kern w:val="0"/>
                <w:sz w:val="18"/>
                <w:szCs w:val="18"/>
              </w:rPr>
              <w:t>（含）、</w:t>
            </w:r>
            <w:r>
              <w:rPr>
                <w:rFonts w:ascii="宋体" w:hAnsi="宋体" w:cs="宋体"/>
                <w:color w:val="000000"/>
                <w:kern w:val="0"/>
                <w:sz w:val="18"/>
                <w:szCs w:val="18"/>
              </w:rPr>
              <w:t>80%-60%</w:t>
            </w:r>
            <w:r>
              <w:rPr>
                <w:rFonts w:hint="eastAsia" w:ascii="宋体" w:hAnsi="宋体" w:cs="宋体"/>
                <w:color w:val="000000"/>
                <w:kern w:val="0"/>
                <w:sz w:val="18"/>
                <w:szCs w:val="18"/>
              </w:rPr>
              <w:t>（含）、</w:t>
            </w:r>
            <w:r>
              <w:rPr>
                <w:rFonts w:ascii="宋体" w:hAnsi="宋体" w:cs="宋体"/>
                <w:color w:val="000000"/>
                <w:kern w:val="0"/>
                <w:sz w:val="18"/>
                <w:szCs w:val="18"/>
              </w:rPr>
              <w:t>60-0%</w:t>
            </w:r>
            <w:r>
              <w:rPr>
                <w:rFonts w:hint="eastAsia" w:ascii="宋体" w:hAnsi="宋体" w:cs="宋体"/>
                <w:color w:val="000000"/>
                <w:kern w:val="0"/>
                <w:sz w:val="18"/>
                <w:szCs w:val="18"/>
              </w:rPr>
              <w:t>合理填写完成比例。</w:t>
            </w:r>
          </w:p>
        </w:tc>
      </w:tr>
    </w:tbl>
    <w:p>
      <w:pPr>
        <w:rPr>
          <w:rFonts w:ascii="楷体" w:hAnsi="楷体" w:eastAsia="楷体" w:cs="楷体"/>
          <w:sz w:val="32"/>
          <w:szCs w:val="32"/>
        </w:rPr>
        <w:sectPr>
          <w:footerReference r:id="rId4" w:type="default"/>
          <w:pgSz w:w="11906" w:h="16838"/>
          <w:pgMar w:top="1985" w:right="1588" w:bottom="2098" w:left="1474" w:header="851" w:footer="992" w:gutter="0"/>
          <w:cols w:space="0" w:num="1"/>
          <w:docGrid w:type="lines" w:linePitch="315" w:charSpace="0"/>
        </w:sectPr>
      </w:pPr>
    </w:p>
    <w:p>
      <w:pPr>
        <w:widowControl/>
        <w:spacing w:line="400" w:lineRule="exact"/>
        <w:jc w:val="center"/>
        <w:rPr>
          <w:rFonts w:ascii="楷体" w:hAnsi="楷体" w:eastAsia="楷体" w:cs="楷体"/>
          <w:sz w:val="24"/>
        </w:rPr>
      </w:pPr>
      <w:bookmarkStart w:id="1" w:name="_MON_1664256896"/>
      <w:bookmarkEnd w:id="1"/>
      <w:r>
        <w:rPr>
          <w:rFonts w:hint="eastAsia" w:ascii="楷体" w:hAnsi="楷体" w:eastAsia="楷体" w:cs="楷体"/>
          <w:sz w:val="24"/>
        </w:rPr>
        <w:t>部门整体支出绩效自评表</w:t>
      </w:r>
    </w:p>
    <w:p>
      <w:pPr>
        <w:widowControl/>
        <w:spacing w:line="400" w:lineRule="exact"/>
        <w:jc w:val="center"/>
        <w:rPr>
          <w:rFonts w:ascii="楷体" w:hAnsi="楷体" w:eastAsia="楷体" w:cs="楷体"/>
          <w:sz w:val="24"/>
        </w:rPr>
      </w:pPr>
      <w:r>
        <w:rPr>
          <w:rFonts w:hint="eastAsia" w:ascii="楷体" w:hAnsi="楷体" w:eastAsia="楷体" w:cs="楷体"/>
          <w:sz w:val="24"/>
        </w:rPr>
        <w:t>（</w:t>
      </w:r>
      <w:r>
        <w:rPr>
          <w:rFonts w:ascii="楷体" w:hAnsi="楷体" w:eastAsia="楷体" w:cs="楷体"/>
          <w:sz w:val="24"/>
        </w:rPr>
        <w:t>2019</w:t>
      </w:r>
      <w:r>
        <w:rPr>
          <w:rFonts w:hint="eastAsia" w:ascii="楷体" w:hAnsi="楷体" w:eastAsia="楷体" w:cs="楷体"/>
          <w:sz w:val="24"/>
        </w:rPr>
        <w:t>年度）</w:t>
      </w:r>
    </w:p>
    <w:tbl>
      <w:tblPr>
        <w:tblStyle w:val="7"/>
        <w:tblW w:w="15379" w:type="dxa"/>
        <w:tblInd w:w="-1096" w:type="dxa"/>
        <w:tblLayout w:type="autofit"/>
        <w:tblCellMar>
          <w:top w:w="0" w:type="dxa"/>
          <w:left w:w="108" w:type="dxa"/>
          <w:bottom w:w="0" w:type="dxa"/>
          <w:right w:w="108" w:type="dxa"/>
        </w:tblCellMar>
      </w:tblPr>
      <w:tblGrid>
        <w:gridCol w:w="637"/>
        <w:gridCol w:w="709"/>
        <w:gridCol w:w="709"/>
        <w:gridCol w:w="850"/>
        <w:gridCol w:w="1701"/>
        <w:gridCol w:w="3318"/>
        <w:gridCol w:w="1916"/>
        <w:gridCol w:w="814"/>
        <w:gridCol w:w="189"/>
        <w:gridCol w:w="546"/>
        <w:gridCol w:w="305"/>
        <w:gridCol w:w="866"/>
        <w:gridCol w:w="1544"/>
        <w:gridCol w:w="1275"/>
      </w:tblGrid>
      <w:tr>
        <w:tblPrEx>
          <w:tblCellMar>
            <w:top w:w="0" w:type="dxa"/>
            <w:left w:w="108" w:type="dxa"/>
            <w:bottom w:w="0" w:type="dxa"/>
            <w:right w:w="108" w:type="dxa"/>
          </w:tblCellMar>
        </w:tblPrEx>
        <w:trPr>
          <w:trHeight w:val="450" w:hRule="atLeast"/>
        </w:trPr>
        <w:tc>
          <w:tcPr>
            <w:tcW w:w="4606" w:type="dxa"/>
            <w:gridSpan w:val="5"/>
            <w:tcBorders>
              <w:top w:val="nil"/>
              <w:left w:val="nil"/>
              <w:bottom w:val="nil"/>
              <w:right w:val="nil"/>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填报单位:杨陵区人民</w:t>
            </w:r>
            <w:r>
              <w:rPr>
                <w:rFonts w:hint="eastAsia" w:asciiTheme="minorEastAsia" w:hAnsiTheme="minorEastAsia" w:eastAsiaTheme="minorEastAsia" w:cstheme="minorEastAsia"/>
                <w:kern w:val="0"/>
                <w:sz w:val="18"/>
                <w:szCs w:val="18"/>
                <w:lang w:eastAsia="zh-CN"/>
              </w:rPr>
              <w:t>检察</w:t>
            </w:r>
            <w:r>
              <w:rPr>
                <w:rFonts w:hint="eastAsia" w:asciiTheme="minorEastAsia" w:hAnsiTheme="minorEastAsia" w:eastAsiaTheme="minorEastAsia" w:cstheme="minorEastAsia"/>
                <w:kern w:val="0"/>
                <w:sz w:val="18"/>
                <w:szCs w:val="18"/>
              </w:rPr>
              <w:t>院</w:t>
            </w:r>
          </w:p>
        </w:tc>
        <w:tc>
          <w:tcPr>
            <w:tcW w:w="3318" w:type="dxa"/>
            <w:tcBorders>
              <w:top w:val="nil"/>
              <w:left w:val="nil"/>
              <w:bottom w:val="nil"/>
              <w:right w:val="nil"/>
            </w:tcBorders>
            <w:vAlign w:val="center"/>
          </w:tcPr>
          <w:p>
            <w:pPr>
              <w:widowControl/>
              <w:jc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自评得分：</w:t>
            </w:r>
            <w:r>
              <w:rPr>
                <w:rFonts w:hint="eastAsia" w:asciiTheme="minorEastAsia" w:hAnsiTheme="minorEastAsia" w:eastAsiaTheme="minorEastAsia" w:cstheme="minorEastAsia"/>
                <w:kern w:val="0"/>
                <w:sz w:val="18"/>
                <w:szCs w:val="18"/>
                <w:lang w:val="en-US" w:eastAsia="zh-CN"/>
              </w:rPr>
              <w:t>96</w:t>
            </w:r>
          </w:p>
        </w:tc>
        <w:tc>
          <w:tcPr>
            <w:tcW w:w="1916" w:type="dxa"/>
            <w:tcBorders>
              <w:top w:val="nil"/>
              <w:left w:val="nil"/>
              <w:bottom w:val="nil"/>
              <w:right w:val="nil"/>
            </w:tcBorders>
            <w:vAlign w:val="center"/>
          </w:tcPr>
          <w:p>
            <w:pPr>
              <w:widowControl/>
              <w:jc w:val="center"/>
              <w:rPr>
                <w:rFonts w:asciiTheme="minorEastAsia" w:hAnsiTheme="minorEastAsia" w:eastAsiaTheme="minorEastAsia" w:cstheme="minorEastAsia"/>
                <w:kern w:val="0"/>
                <w:sz w:val="18"/>
                <w:szCs w:val="18"/>
              </w:rPr>
            </w:pPr>
          </w:p>
        </w:tc>
        <w:tc>
          <w:tcPr>
            <w:tcW w:w="814" w:type="dxa"/>
            <w:tcBorders>
              <w:top w:val="nil"/>
              <w:left w:val="nil"/>
              <w:bottom w:val="nil"/>
              <w:right w:val="nil"/>
            </w:tcBorders>
            <w:vAlign w:val="center"/>
          </w:tcPr>
          <w:p>
            <w:pPr>
              <w:widowControl/>
              <w:jc w:val="center"/>
              <w:rPr>
                <w:rFonts w:asciiTheme="minorEastAsia" w:hAnsiTheme="minorEastAsia" w:eastAsiaTheme="minorEastAsia" w:cstheme="minorEastAsia"/>
                <w:kern w:val="0"/>
                <w:sz w:val="18"/>
                <w:szCs w:val="18"/>
              </w:rPr>
            </w:pPr>
          </w:p>
        </w:tc>
        <w:tc>
          <w:tcPr>
            <w:tcW w:w="735" w:type="dxa"/>
            <w:gridSpan w:val="2"/>
            <w:tcBorders>
              <w:top w:val="nil"/>
              <w:left w:val="nil"/>
              <w:bottom w:val="nil"/>
              <w:right w:val="nil"/>
            </w:tcBorders>
            <w:vAlign w:val="center"/>
          </w:tcPr>
          <w:p>
            <w:pPr>
              <w:widowControl/>
              <w:jc w:val="center"/>
              <w:rPr>
                <w:rFonts w:asciiTheme="minorEastAsia" w:hAnsiTheme="minorEastAsia" w:eastAsiaTheme="minorEastAsia" w:cstheme="minorEastAsia"/>
                <w:kern w:val="0"/>
                <w:sz w:val="18"/>
                <w:szCs w:val="18"/>
              </w:rPr>
            </w:pPr>
          </w:p>
        </w:tc>
        <w:tc>
          <w:tcPr>
            <w:tcW w:w="1171" w:type="dxa"/>
            <w:gridSpan w:val="2"/>
            <w:tcBorders>
              <w:top w:val="nil"/>
              <w:left w:val="nil"/>
              <w:bottom w:val="nil"/>
              <w:right w:val="nil"/>
            </w:tcBorders>
            <w:vAlign w:val="center"/>
          </w:tcPr>
          <w:p>
            <w:pPr>
              <w:widowControl/>
              <w:jc w:val="center"/>
              <w:rPr>
                <w:rFonts w:asciiTheme="minorEastAsia" w:hAnsiTheme="minorEastAsia" w:eastAsiaTheme="minorEastAsia" w:cstheme="minorEastAsia"/>
                <w:kern w:val="0"/>
                <w:sz w:val="18"/>
                <w:szCs w:val="18"/>
              </w:rPr>
            </w:pPr>
          </w:p>
        </w:tc>
        <w:tc>
          <w:tcPr>
            <w:tcW w:w="1544" w:type="dxa"/>
            <w:tcBorders>
              <w:top w:val="nil"/>
              <w:left w:val="nil"/>
              <w:bottom w:val="nil"/>
              <w:right w:val="nil"/>
            </w:tcBorders>
            <w:noWrap/>
            <w:vAlign w:val="center"/>
          </w:tcPr>
          <w:p>
            <w:pPr>
              <w:widowControl/>
              <w:jc w:val="left"/>
              <w:rPr>
                <w:rFonts w:asciiTheme="minorEastAsia" w:hAnsiTheme="minorEastAsia" w:eastAsiaTheme="minorEastAsia" w:cstheme="minorEastAsia"/>
                <w:kern w:val="0"/>
                <w:sz w:val="18"/>
                <w:szCs w:val="18"/>
              </w:rPr>
            </w:pPr>
          </w:p>
        </w:tc>
        <w:tc>
          <w:tcPr>
            <w:tcW w:w="1275" w:type="dxa"/>
            <w:tcBorders>
              <w:top w:val="nil"/>
              <w:left w:val="nil"/>
              <w:bottom w:val="nil"/>
              <w:right w:val="nil"/>
            </w:tcBorders>
            <w:noWrap/>
            <w:vAlign w:val="center"/>
          </w:tcPr>
          <w:p>
            <w:pPr>
              <w:widowControl/>
              <w:jc w:val="left"/>
              <w:rPr>
                <w:rFonts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427" w:hRule="atLeast"/>
        </w:trPr>
        <w:tc>
          <w:tcPr>
            <w:tcW w:w="460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（一）简要概述部门职能与职责。</w:t>
            </w:r>
          </w:p>
        </w:tc>
        <w:tc>
          <w:tcPr>
            <w:tcW w:w="10773" w:type="dxa"/>
            <w:gridSpan w:val="9"/>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杨陵区人民检察院为国家法律监督机关，</w:t>
            </w:r>
            <w:r>
              <w:rPr>
                <w:rFonts w:hint="eastAsia" w:asciiTheme="minorEastAsia" w:hAnsiTheme="minorEastAsia" w:eastAsiaTheme="minorEastAsia" w:cstheme="minorEastAsia"/>
                <w:kern w:val="0"/>
                <w:sz w:val="18"/>
                <w:szCs w:val="18"/>
                <w:lang w:eastAsia="zh-CN"/>
              </w:rPr>
              <w:t>依法开展各项检察工作，履行法律监督职能。</w:t>
            </w:r>
            <w:r>
              <w:rPr>
                <w:rFonts w:hint="eastAsia" w:asciiTheme="minorEastAsia" w:hAnsiTheme="minorEastAsia" w:eastAsiaTheme="minorEastAsia" w:cstheme="minorEastAsia"/>
                <w:color w:val="auto"/>
                <w:kern w:val="0"/>
                <w:sz w:val="18"/>
                <w:szCs w:val="18"/>
              </w:rPr>
              <w:t>主要职责是加强对侦查、刑事审判、刑罚执行及民事行政审判的检察监督。</w:t>
            </w:r>
          </w:p>
        </w:tc>
      </w:tr>
      <w:tr>
        <w:tblPrEx>
          <w:tblCellMar>
            <w:top w:w="0" w:type="dxa"/>
            <w:left w:w="108" w:type="dxa"/>
            <w:bottom w:w="0" w:type="dxa"/>
            <w:right w:w="108" w:type="dxa"/>
          </w:tblCellMar>
        </w:tblPrEx>
        <w:trPr>
          <w:trHeight w:val="573" w:hRule="atLeast"/>
        </w:trPr>
        <w:tc>
          <w:tcPr>
            <w:tcW w:w="460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（二）简要概述部门支出情况，按活动内容分类。</w:t>
            </w:r>
          </w:p>
        </w:tc>
        <w:tc>
          <w:tcPr>
            <w:tcW w:w="10773" w:type="dxa"/>
            <w:gridSpan w:val="9"/>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2019年支出合计529.14万元，其中：工资福利支出426.31万元，占80.57%；商品和服务支出83.21万元，占15.73%；对个人和家庭的补助19.62万元，占3.7%。</w:t>
            </w:r>
          </w:p>
        </w:tc>
      </w:tr>
      <w:tr>
        <w:tblPrEx>
          <w:tblCellMar>
            <w:top w:w="0" w:type="dxa"/>
            <w:left w:w="108" w:type="dxa"/>
            <w:bottom w:w="0" w:type="dxa"/>
            <w:right w:w="108" w:type="dxa"/>
          </w:tblCellMar>
        </w:tblPrEx>
        <w:trPr>
          <w:trHeight w:val="213" w:hRule="atLeast"/>
        </w:trPr>
        <w:tc>
          <w:tcPr>
            <w:tcW w:w="460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（三）简要概述当年区委区政府下达的重点工作。</w:t>
            </w:r>
          </w:p>
        </w:tc>
        <w:tc>
          <w:tcPr>
            <w:tcW w:w="10773" w:type="dxa"/>
            <w:gridSpan w:val="9"/>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590" w:hRule="atLeast"/>
        </w:trPr>
        <w:tc>
          <w:tcPr>
            <w:tcW w:w="637"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一级</w:t>
            </w:r>
            <w:r>
              <w:rPr>
                <w:rFonts w:hint="eastAsia" w:asciiTheme="minorEastAsia" w:hAnsiTheme="minorEastAsia" w:eastAsiaTheme="minorEastAsia" w:cstheme="minorEastAsia"/>
                <w:b/>
                <w:bCs/>
                <w:kern w:val="0"/>
                <w:sz w:val="18"/>
                <w:szCs w:val="18"/>
              </w:rPr>
              <w:br w:type="textWrapping"/>
            </w:r>
            <w:r>
              <w:rPr>
                <w:rFonts w:hint="eastAsia" w:asciiTheme="minorEastAsia" w:hAnsiTheme="minorEastAsia" w:eastAsiaTheme="minorEastAsia" w:cstheme="minorEastAsia"/>
                <w:b/>
                <w:bCs/>
                <w:kern w:val="0"/>
                <w:sz w:val="18"/>
                <w:szCs w:val="18"/>
              </w:rPr>
              <w:t>指标</w:t>
            </w:r>
          </w:p>
        </w:tc>
        <w:tc>
          <w:tcPr>
            <w:tcW w:w="70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二级指标</w:t>
            </w:r>
          </w:p>
        </w:tc>
        <w:tc>
          <w:tcPr>
            <w:tcW w:w="70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分值</w:t>
            </w:r>
          </w:p>
        </w:tc>
        <w:tc>
          <w:tcPr>
            <w:tcW w:w="170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指标说明</w:t>
            </w:r>
          </w:p>
        </w:tc>
        <w:tc>
          <w:tcPr>
            <w:tcW w:w="331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评分标准</w:t>
            </w:r>
          </w:p>
        </w:tc>
        <w:tc>
          <w:tcPr>
            <w:tcW w:w="19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指标值计算公式和数据获取方式</w:t>
            </w:r>
          </w:p>
        </w:tc>
        <w:tc>
          <w:tcPr>
            <w:tcW w:w="1003"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年初目标值</w:t>
            </w:r>
          </w:p>
        </w:tc>
        <w:tc>
          <w:tcPr>
            <w:tcW w:w="851"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实际完成值</w:t>
            </w:r>
          </w:p>
        </w:tc>
        <w:tc>
          <w:tcPr>
            <w:tcW w:w="86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得分</w:t>
            </w:r>
          </w:p>
        </w:tc>
        <w:tc>
          <w:tcPr>
            <w:tcW w:w="154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未完成原因分析与改进措施</w:t>
            </w:r>
          </w:p>
        </w:tc>
        <w:tc>
          <w:tcPr>
            <w:tcW w:w="12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绩效指标分析与建议</w:t>
            </w:r>
          </w:p>
        </w:tc>
      </w:tr>
      <w:tr>
        <w:tblPrEx>
          <w:tblCellMar>
            <w:top w:w="0" w:type="dxa"/>
            <w:left w:w="108" w:type="dxa"/>
            <w:bottom w:w="0" w:type="dxa"/>
            <w:right w:w="108" w:type="dxa"/>
          </w:tblCellMar>
        </w:tblPrEx>
        <w:trPr>
          <w:trHeight w:val="3218" w:hRule="atLeast"/>
        </w:trPr>
        <w:tc>
          <w:tcPr>
            <w:tcW w:w="637"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投入</w:t>
            </w: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预算执行（25分）</w:t>
            </w:r>
          </w:p>
        </w:tc>
        <w:tc>
          <w:tcPr>
            <w:tcW w:w="70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完成率</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（10分）</w:t>
            </w:r>
          </w:p>
        </w:tc>
        <w:tc>
          <w:tcPr>
            <w:tcW w:w="85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1701" w:type="dxa"/>
            <w:tcBorders>
              <w:top w:val="nil"/>
              <w:left w:val="nil"/>
              <w:bottom w:val="single" w:color="auto" w:sz="4" w:space="0"/>
              <w:right w:val="single" w:color="auto" w:sz="4" w:space="0"/>
            </w:tcBorders>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预算完成率=（预算完成数/预算数）×100%，用以反映和考核部门（单位）预算完成程度。</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预算完成数：部门（单位）本年度实际完成的预算数。</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预算数：财政部门批复的本年度部门（单位）预算数。</w:t>
            </w:r>
          </w:p>
        </w:tc>
        <w:tc>
          <w:tcPr>
            <w:tcW w:w="331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预算完成率＝100%的，得10分。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预算完成率≥95%的，得9分。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预算完成率在90%（含）和95%之间，得8分。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预算完成率在85%（含）和90%之间，得7分。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预算完成率在80%（含）和85%之间，得6分。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预算完成率在70%（含）和80%之间，得4分。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预算完成率＜70%的，得0分。</w:t>
            </w:r>
          </w:p>
        </w:tc>
        <w:tc>
          <w:tcPr>
            <w:tcW w:w="19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529.14</w:t>
            </w: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kern w:val="0"/>
                <w:sz w:val="18"/>
                <w:szCs w:val="18"/>
                <w:lang w:val="en-US" w:eastAsia="zh-CN"/>
              </w:rPr>
              <w:t>545.93</w:t>
            </w:r>
            <w:r>
              <w:rPr>
                <w:rFonts w:hint="eastAsia" w:asciiTheme="minorEastAsia" w:hAnsiTheme="minorEastAsia" w:eastAsiaTheme="minorEastAsia" w:cstheme="minorEastAsia"/>
                <w:kern w:val="0"/>
                <w:sz w:val="18"/>
                <w:szCs w:val="18"/>
              </w:rPr>
              <w:t>获取方式2019年决算数据</w:t>
            </w:r>
          </w:p>
        </w:tc>
        <w:tc>
          <w:tcPr>
            <w:tcW w:w="1003"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w:t>
            </w:r>
          </w:p>
        </w:tc>
        <w:tc>
          <w:tcPr>
            <w:tcW w:w="851"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96.92</w:t>
            </w:r>
            <w:r>
              <w:rPr>
                <w:rFonts w:hint="eastAsia" w:asciiTheme="minorEastAsia" w:hAnsiTheme="minorEastAsia" w:eastAsiaTheme="minorEastAsia" w:cstheme="minorEastAsia"/>
                <w:kern w:val="0"/>
                <w:sz w:val="18"/>
                <w:szCs w:val="18"/>
              </w:rPr>
              <w:t>%</w:t>
            </w:r>
          </w:p>
        </w:tc>
        <w:tc>
          <w:tcPr>
            <w:tcW w:w="86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val="en-US" w:eastAsia="zh-CN"/>
              </w:rPr>
              <w:t>9</w:t>
            </w:r>
          </w:p>
        </w:tc>
        <w:tc>
          <w:tcPr>
            <w:tcW w:w="154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原因是：中省转移支付奖金年初未纳入预算。</w:t>
            </w:r>
          </w:p>
        </w:tc>
        <w:tc>
          <w:tcPr>
            <w:tcW w:w="12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预算完成率绩效目标为定量指标，按要求计算，达到指标值。</w:t>
            </w:r>
          </w:p>
        </w:tc>
      </w:tr>
      <w:tr>
        <w:tblPrEx>
          <w:tblCellMar>
            <w:top w:w="0" w:type="dxa"/>
            <w:left w:w="108" w:type="dxa"/>
            <w:bottom w:w="0" w:type="dxa"/>
            <w:right w:w="108" w:type="dxa"/>
          </w:tblCellMar>
        </w:tblPrEx>
        <w:trPr>
          <w:trHeight w:val="3060" w:hRule="atLeast"/>
        </w:trPr>
        <w:tc>
          <w:tcPr>
            <w:tcW w:w="63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p>
        </w:tc>
        <w:tc>
          <w:tcPr>
            <w:tcW w:w="709"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预算调整率</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（5分）</w:t>
            </w:r>
          </w:p>
        </w:tc>
        <w:tc>
          <w:tcPr>
            <w:tcW w:w="85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170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预算调整率=（预算调整数/预算数）×100%，用以反映和考核部门（单位）预算的调整程度。</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预算调整数：部门（单位）在本年度内涉及预算的追加、追减或结构调整的资金总和（因落实国家政策、发生不可抗力、上级部门或本级党委政府临时交办而产生的调整除外）。</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预算包括一般公共预算与政府性基金预算。</w:t>
            </w:r>
          </w:p>
        </w:tc>
        <w:tc>
          <w:tcPr>
            <w:tcW w:w="3318"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预算调整率绝对值≤5%，得5分。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预算调整率绝对值＞5%的，每增加0.1个百分点扣0.1分，扣完为止。</w:t>
            </w:r>
          </w:p>
        </w:tc>
        <w:tc>
          <w:tcPr>
            <w:tcW w:w="191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536.63</w:t>
            </w: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kern w:val="0"/>
                <w:sz w:val="18"/>
                <w:szCs w:val="18"/>
                <w:lang w:val="en-US" w:eastAsia="zh-CN"/>
              </w:rPr>
              <w:t>519.86</w:t>
            </w:r>
            <w:r>
              <w:rPr>
                <w:rFonts w:hint="eastAsia" w:asciiTheme="minorEastAsia" w:hAnsiTheme="minorEastAsia" w:eastAsiaTheme="minorEastAsia" w:cstheme="minorEastAsia"/>
                <w:kern w:val="0"/>
                <w:sz w:val="18"/>
                <w:szCs w:val="18"/>
              </w:rPr>
              <w:t>获取方式2019年决算数据</w:t>
            </w:r>
          </w:p>
        </w:tc>
        <w:tc>
          <w:tcPr>
            <w:tcW w:w="1003"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w:t>
            </w:r>
          </w:p>
        </w:tc>
        <w:tc>
          <w:tcPr>
            <w:tcW w:w="851"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100%</w:t>
            </w:r>
          </w:p>
        </w:tc>
        <w:tc>
          <w:tcPr>
            <w:tcW w:w="86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154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p>
        </w:tc>
      </w:tr>
    </w:tbl>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tbl>
      <w:tblPr>
        <w:tblStyle w:val="7"/>
        <w:tblW w:w="15379" w:type="dxa"/>
        <w:tblInd w:w="-1096" w:type="dxa"/>
        <w:tblLayout w:type="autofit"/>
        <w:tblCellMar>
          <w:top w:w="0" w:type="dxa"/>
          <w:left w:w="108" w:type="dxa"/>
          <w:bottom w:w="0" w:type="dxa"/>
          <w:right w:w="108" w:type="dxa"/>
        </w:tblCellMar>
      </w:tblPr>
      <w:tblGrid>
        <w:gridCol w:w="551"/>
        <w:gridCol w:w="698"/>
        <w:gridCol w:w="666"/>
        <w:gridCol w:w="417"/>
        <w:gridCol w:w="2862"/>
        <w:gridCol w:w="2730"/>
        <w:gridCol w:w="1890"/>
        <w:gridCol w:w="840"/>
        <w:gridCol w:w="840"/>
        <w:gridCol w:w="1066"/>
        <w:gridCol w:w="1349"/>
        <w:gridCol w:w="1470"/>
      </w:tblGrid>
      <w:tr>
        <w:tblPrEx>
          <w:tblCellMar>
            <w:top w:w="0" w:type="dxa"/>
            <w:left w:w="108" w:type="dxa"/>
            <w:bottom w:w="0" w:type="dxa"/>
            <w:right w:w="108" w:type="dxa"/>
          </w:tblCellMar>
        </w:tblPrEx>
        <w:trPr>
          <w:trHeight w:val="979" w:hRule="atLeast"/>
        </w:trPr>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一级</w:t>
            </w:r>
            <w:r>
              <w:rPr>
                <w:rFonts w:hint="eastAsia" w:asciiTheme="minorEastAsia" w:hAnsiTheme="minorEastAsia" w:eastAsiaTheme="minorEastAsia" w:cstheme="minorEastAsia"/>
                <w:b/>
                <w:bCs/>
                <w:kern w:val="0"/>
                <w:sz w:val="18"/>
                <w:szCs w:val="18"/>
              </w:rPr>
              <w:br w:type="textWrapping"/>
            </w:r>
            <w:r>
              <w:rPr>
                <w:rFonts w:hint="eastAsia" w:asciiTheme="minorEastAsia" w:hAnsiTheme="minorEastAsia" w:eastAsiaTheme="minorEastAsia" w:cstheme="minorEastAsia"/>
                <w:b/>
                <w:bCs/>
                <w:kern w:val="0"/>
                <w:sz w:val="18"/>
                <w:szCs w:val="18"/>
              </w:rPr>
              <w:t>指标</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二级</w:t>
            </w:r>
            <w:r>
              <w:rPr>
                <w:rFonts w:hint="eastAsia" w:asciiTheme="minorEastAsia" w:hAnsiTheme="minorEastAsia" w:eastAsiaTheme="minorEastAsia" w:cstheme="minorEastAsia"/>
                <w:b/>
                <w:bCs/>
                <w:kern w:val="0"/>
                <w:sz w:val="18"/>
                <w:szCs w:val="18"/>
              </w:rPr>
              <w:br w:type="textWrapping"/>
            </w:r>
            <w:r>
              <w:rPr>
                <w:rFonts w:hint="eastAsia" w:asciiTheme="minorEastAsia" w:hAnsiTheme="minorEastAsia" w:eastAsiaTheme="minorEastAsia" w:cstheme="minorEastAsia"/>
                <w:b/>
                <w:bCs/>
                <w:kern w:val="0"/>
                <w:sz w:val="18"/>
                <w:szCs w:val="18"/>
              </w:rPr>
              <w:t>指标</w:t>
            </w:r>
          </w:p>
        </w:tc>
        <w:tc>
          <w:tcPr>
            <w:tcW w:w="66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三级指标</w:t>
            </w:r>
          </w:p>
        </w:tc>
        <w:tc>
          <w:tcPr>
            <w:tcW w:w="417"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分值</w:t>
            </w:r>
          </w:p>
        </w:tc>
        <w:tc>
          <w:tcPr>
            <w:tcW w:w="2862"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指标说明</w:t>
            </w:r>
          </w:p>
        </w:tc>
        <w:tc>
          <w:tcPr>
            <w:tcW w:w="273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评分标准</w:t>
            </w:r>
          </w:p>
        </w:tc>
        <w:tc>
          <w:tcPr>
            <w:tcW w:w="189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指标值计算公式和数据获取方式</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年初目标值</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实际完成值</w:t>
            </w:r>
          </w:p>
        </w:tc>
        <w:tc>
          <w:tcPr>
            <w:tcW w:w="106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得分</w:t>
            </w:r>
          </w:p>
        </w:tc>
        <w:tc>
          <w:tcPr>
            <w:tcW w:w="1349"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未完成原因分析与改进措施</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绩效指标分析与建议</w:t>
            </w:r>
          </w:p>
        </w:tc>
      </w:tr>
      <w:tr>
        <w:tblPrEx>
          <w:tblCellMar>
            <w:top w:w="0" w:type="dxa"/>
            <w:left w:w="108" w:type="dxa"/>
            <w:bottom w:w="0" w:type="dxa"/>
            <w:right w:w="108" w:type="dxa"/>
          </w:tblCellMar>
        </w:tblPrEx>
        <w:trPr>
          <w:trHeight w:val="2235" w:hRule="atLeast"/>
        </w:trPr>
        <w:tc>
          <w:tcPr>
            <w:tcW w:w="551"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投入</w:t>
            </w:r>
          </w:p>
        </w:tc>
        <w:tc>
          <w:tcPr>
            <w:tcW w:w="698" w:type="dxa"/>
            <w:vMerge w:val="restart"/>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预算执行（25分）</w:t>
            </w:r>
          </w:p>
        </w:tc>
        <w:tc>
          <w:tcPr>
            <w:tcW w:w="66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支出进度率</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（5分）</w:t>
            </w:r>
          </w:p>
        </w:tc>
        <w:tc>
          <w:tcPr>
            <w:tcW w:w="41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2862"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支出进度率=（实际支出/支出预算）×100%，用以反映和考核部门（单位）预算执行的及时性和均衡性程度。</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半年支出进度＝部门上半年实际支出/（上年结余结转+本年部门预算安排+上半年执行中追加追减）*100%。</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前三季度支出进度＝部门前三季度实际支出/（上年结余结转+本年部门预算安排+前三季度执行中追加追减）*100%。</w:t>
            </w:r>
          </w:p>
        </w:tc>
        <w:tc>
          <w:tcPr>
            <w:tcW w:w="2730"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半年进度：进度率≥45%，得2分；进度率在40%（含）和45%之间，得1分；进度率＜40%，得0分。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前三季度进度：进度率≥75%，得3分；进度率在60%（含）和75%之间，得2分；进度率＜60%，得0分。</w:t>
            </w:r>
          </w:p>
        </w:tc>
        <w:tc>
          <w:tcPr>
            <w:tcW w:w="18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集中支付系统</w:t>
            </w:r>
          </w:p>
        </w:tc>
        <w:tc>
          <w:tcPr>
            <w:tcW w:w="840"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半年进度50%；三季度进度75%</w:t>
            </w:r>
          </w:p>
        </w:tc>
        <w:tc>
          <w:tcPr>
            <w:tcW w:w="840"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半年进度</w:t>
            </w:r>
            <w:r>
              <w:rPr>
                <w:rFonts w:hint="eastAsia" w:asciiTheme="minorEastAsia" w:hAnsiTheme="minorEastAsia" w:eastAsiaTheme="minorEastAsia" w:cstheme="minorEastAsia"/>
                <w:kern w:val="0"/>
                <w:sz w:val="18"/>
                <w:szCs w:val="18"/>
                <w:lang w:val="en-US" w:eastAsia="zh-CN"/>
              </w:rPr>
              <w:t>30</w:t>
            </w:r>
            <w:r>
              <w:rPr>
                <w:rFonts w:hint="eastAsia" w:asciiTheme="minorEastAsia" w:hAnsiTheme="minorEastAsia" w:eastAsiaTheme="minorEastAsia" w:cstheme="minorEastAsia"/>
                <w:kern w:val="0"/>
                <w:sz w:val="18"/>
                <w:szCs w:val="18"/>
              </w:rPr>
              <w:t>%；三季度进度</w:t>
            </w:r>
            <w:r>
              <w:rPr>
                <w:rFonts w:hint="eastAsia" w:asciiTheme="minorEastAsia" w:hAnsiTheme="minorEastAsia" w:eastAsiaTheme="minorEastAsia" w:cstheme="minorEastAsia"/>
                <w:kern w:val="0"/>
                <w:sz w:val="18"/>
                <w:szCs w:val="18"/>
                <w:lang w:val="en-US" w:eastAsia="zh-CN"/>
              </w:rPr>
              <w:t>60</w:t>
            </w:r>
            <w:r>
              <w:rPr>
                <w:rFonts w:hint="eastAsia" w:asciiTheme="minorEastAsia" w:hAnsiTheme="minorEastAsia" w:eastAsiaTheme="minorEastAsia" w:cstheme="minorEastAsia"/>
                <w:kern w:val="0"/>
                <w:sz w:val="18"/>
                <w:szCs w:val="18"/>
              </w:rPr>
              <w:t>%</w:t>
            </w:r>
          </w:p>
        </w:tc>
        <w:tc>
          <w:tcPr>
            <w:tcW w:w="106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val="en-US" w:eastAsia="zh-CN"/>
              </w:rPr>
              <w:t>2</w:t>
            </w:r>
          </w:p>
        </w:tc>
        <w:tc>
          <w:tcPr>
            <w:tcW w:w="13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p>
        </w:tc>
        <w:tc>
          <w:tcPr>
            <w:tcW w:w="147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1530"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p>
        </w:tc>
        <w:tc>
          <w:tcPr>
            <w:tcW w:w="66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预算编制准确率（5分）</w:t>
            </w:r>
          </w:p>
        </w:tc>
        <w:tc>
          <w:tcPr>
            <w:tcW w:w="41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2862"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部门预算中除财政拨款外的其他收入预算与决算差异率。</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预算编制准确率＝其他收入决算数/其他收入预算数×100%-100%。</w:t>
            </w:r>
          </w:p>
        </w:tc>
        <w:tc>
          <w:tcPr>
            <w:tcW w:w="2730"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预算编制准确率≤20%，得5分。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预算编制准确率在20%和40%（含）之间，得3分。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预算编制准确率＞40%，得0分。</w:t>
            </w:r>
          </w:p>
        </w:tc>
        <w:tc>
          <w:tcPr>
            <w:tcW w:w="1890"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840"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w:t>
            </w:r>
          </w:p>
        </w:tc>
        <w:tc>
          <w:tcPr>
            <w:tcW w:w="84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w:t>
            </w:r>
          </w:p>
        </w:tc>
        <w:tc>
          <w:tcPr>
            <w:tcW w:w="106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13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其他收入为不可遇见的收入，因此未列入部门预算，以后要重视对其他收入的估计。</w:t>
            </w:r>
          </w:p>
        </w:tc>
        <w:tc>
          <w:tcPr>
            <w:tcW w:w="147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其他收入预算为0时，公式不成立。</w:t>
            </w:r>
          </w:p>
        </w:tc>
      </w:tr>
      <w:tr>
        <w:tblPrEx>
          <w:tblCellMar>
            <w:top w:w="0" w:type="dxa"/>
            <w:left w:w="108" w:type="dxa"/>
            <w:bottom w:w="0" w:type="dxa"/>
            <w:right w:w="108" w:type="dxa"/>
          </w:tblCellMar>
        </w:tblPrEx>
        <w:trPr>
          <w:trHeight w:val="1782" w:hRule="atLeast"/>
        </w:trPr>
        <w:tc>
          <w:tcPr>
            <w:tcW w:w="551"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过程</w:t>
            </w:r>
          </w:p>
        </w:tc>
        <w:tc>
          <w:tcPr>
            <w:tcW w:w="698" w:type="dxa"/>
            <w:vMerge w:val="restart"/>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预算管理（15分）</w:t>
            </w:r>
          </w:p>
        </w:tc>
        <w:tc>
          <w:tcPr>
            <w:tcW w:w="66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“三公经费”控制率</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（5分）</w:t>
            </w:r>
          </w:p>
        </w:tc>
        <w:tc>
          <w:tcPr>
            <w:tcW w:w="41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2862"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“三公经费”控制率=（“三公经费”实际支出数/“三公经费”预算安排数）×100%，用以反映和考核部门（单位）对“三公经费”的实际控制程度。</w:t>
            </w:r>
          </w:p>
        </w:tc>
        <w:tc>
          <w:tcPr>
            <w:tcW w:w="2730"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三公经费控制率 ≤100%，得5分，每增加0.1个百分点扣0.5分，扣完为止。</w:t>
            </w:r>
          </w:p>
        </w:tc>
        <w:tc>
          <w:tcPr>
            <w:tcW w:w="18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18.98/20.36</w:t>
            </w:r>
          </w:p>
        </w:tc>
        <w:tc>
          <w:tcPr>
            <w:tcW w:w="84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w:t>
            </w:r>
          </w:p>
        </w:tc>
        <w:tc>
          <w:tcPr>
            <w:tcW w:w="84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93.22%</w:t>
            </w:r>
          </w:p>
        </w:tc>
        <w:tc>
          <w:tcPr>
            <w:tcW w:w="106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134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规范车辆管理，减少接待人次。</w:t>
            </w:r>
          </w:p>
        </w:tc>
        <w:tc>
          <w:tcPr>
            <w:tcW w:w="147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1782"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p>
        </w:tc>
        <w:tc>
          <w:tcPr>
            <w:tcW w:w="66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资产管理规范性</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（5分）</w:t>
            </w:r>
          </w:p>
        </w:tc>
        <w:tc>
          <w:tcPr>
            <w:tcW w:w="41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2862"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部门（单位）资产管理是否规范，用以反映和考核部门（单位）资产管理情况。</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1.新增资产配置按预算执行。</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2.资产有偿使用、处置按规定程序审批。</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3.资产收益及时、足额上缴财政。</w:t>
            </w:r>
          </w:p>
        </w:tc>
        <w:tc>
          <w:tcPr>
            <w:tcW w:w="2730"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全部符合5分，有1项不符扣2分,扣完为止。</w:t>
            </w:r>
          </w:p>
        </w:tc>
        <w:tc>
          <w:tcPr>
            <w:tcW w:w="1890"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84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完全符合</w:t>
            </w:r>
          </w:p>
        </w:tc>
        <w:tc>
          <w:tcPr>
            <w:tcW w:w="84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完全符合</w:t>
            </w:r>
          </w:p>
        </w:tc>
        <w:tc>
          <w:tcPr>
            <w:tcW w:w="106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1349"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1470"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bl>
    <w:p>
      <w:pPr>
        <w:widowControl/>
        <w:jc w:val="left"/>
        <w:rPr>
          <w:rFonts w:asciiTheme="minorEastAsia" w:hAnsiTheme="minorEastAsia" w:eastAsiaTheme="minorEastAsia" w:cstheme="minorEastAsia"/>
          <w:kern w:val="0"/>
          <w:sz w:val="18"/>
          <w:szCs w:val="18"/>
        </w:rPr>
      </w:pPr>
    </w:p>
    <w:p>
      <w:pPr>
        <w:widowControl/>
        <w:jc w:val="left"/>
        <w:rPr>
          <w:rFonts w:asciiTheme="minorEastAsia" w:hAnsiTheme="minorEastAsia" w:eastAsiaTheme="minorEastAsia" w:cstheme="minorEastAsia"/>
          <w:kern w:val="0"/>
          <w:sz w:val="18"/>
          <w:szCs w:val="18"/>
        </w:rPr>
      </w:pPr>
    </w:p>
    <w:p>
      <w:pPr>
        <w:widowControl/>
        <w:jc w:val="left"/>
        <w:rPr>
          <w:rFonts w:asciiTheme="minorEastAsia" w:hAnsiTheme="minorEastAsia" w:eastAsiaTheme="minorEastAsia" w:cstheme="minorEastAsia"/>
          <w:kern w:val="0"/>
          <w:sz w:val="18"/>
          <w:szCs w:val="18"/>
        </w:rPr>
      </w:pPr>
    </w:p>
    <w:p>
      <w:pPr>
        <w:widowControl/>
        <w:jc w:val="left"/>
        <w:rPr>
          <w:rFonts w:asciiTheme="minorEastAsia" w:hAnsiTheme="minorEastAsia" w:eastAsiaTheme="minorEastAsia" w:cstheme="minorEastAsia"/>
          <w:kern w:val="0"/>
          <w:sz w:val="18"/>
          <w:szCs w:val="18"/>
        </w:rPr>
      </w:pPr>
    </w:p>
    <w:p>
      <w:pPr>
        <w:widowControl/>
        <w:jc w:val="left"/>
        <w:rPr>
          <w:rFonts w:asciiTheme="minorEastAsia" w:hAnsiTheme="minorEastAsia" w:eastAsiaTheme="minorEastAsia" w:cstheme="minorEastAsia"/>
          <w:kern w:val="0"/>
          <w:sz w:val="18"/>
          <w:szCs w:val="18"/>
        </w:rPr>
      </w:pPr>
    </w:p>
    <w:p>
      <w:pPr>
        <w:widowControl/>
        <w:jc w:val="left"/>
        <w:rPr>
          <w:rFonts w:asciiTheme="minorEastAsia" w:hAnsiTheme="minorEastAsia" w:eastAsiaTheme="minorEastAsia" w:cstheme="minorEastAsia"/>
          <w:kern w:val="0"/>
          <w:sz w:val="18"/>
          <w:szCs w:val="18"/>
        </w:rPr>
      </w:pPr>
    </w:p>
    <w:p>
      <w:pPr>
        <w:widowControl/>
        <w:jc w:val="left"/>
        <w:rPr>
          <w:rFonts w:asciiTheme="minorEastAsia" w:hAnsiTheme="minorEastAsia" w:eastAsiaTheme="minorEastAsia" w:cstheme="minorEastAsia"/>
          <w:kern w:val="0"/>
          <w:sz w:val="18"/>
          <w:szCs w:val="18"/>
        </w:rPr>
      </w:pPr>
    </w:p>
    <w:p>
      <w:pPr>
        <w:widowControl/>
        <w:jc w:val="left"/>
        <w:rPr>
          <w:rFonts w:asciiTheme="minorEastAsia" w:hAnsiTheme="minorEastAsia" w:eastAsiaTheme="minorEastAsia" w:cstheme="minorEastAsia"/>
          <w:kern w:val="0"/>
          <w:sz w:val="18"/>
          <w:szCs w:val="18"/>
        </w:rPr>
      </w:pPr>
    </w:p>
    <w:p>
      <w:pPr>
        <w:widowControl/>
        <w:jc w:val="left"/>
        <w:rPr>
          <w:rFonts w:asciiTheme="minorEastAsia" w:hAnsiTheme="minorEastAsia" w:eastAsiaTheme="minorEastAsia" w:cstheme="minorEastAsia"/>
          <w:kern w:val="0"/>
          <w:sz w:val="18"/>
          <w:szCs w:val="18"/>
        </w:rPr>
      </w:pPr>
    </w:p>
    <w:p>
      <w:pPr>
        <w:widowControl/>
        <w:jc w:val="left"/>
        <w:rPr>
          <w:rFonts w:asciiTheme="minorEastAsia" w:hAnsiTheme="minorEastAsia" w:eastAsiaTheme="minorEastAsia" w:cstheme="minorEastAsia"/>
          <w:kern w:val="0"/>
          <w:sz w:val="18"/>
          <w:szCs w:val="18"/>
        </w:rPr>
      </w:pPr>
    </w:p>
    <w:p>
      <w:pPr>
        <w:widowControl/>
        <w:jc w:val="left"/>
        <w:rPr>
          <w:rFonts w:asciiTheme="minorEastAsia" w:hAnsiTheme="minorEastAsia" w:eastAsiaTheme="minorEastAsia" w:cstheme="minorEastAsia"/>
          <w:kern w:val="0"/>
          <w:sz w:val="18"/>
          <w:szCs w:val="18"/>
        </w:rPr>
      </w:pPr>
    </w:p>
    <w:p>
      <w:pPr>
        <w:widowControl/>
        <w:jc w:val="left"/>
        <w:rPr>
          <w:rFonts w:asciiTheme="minorEastAsia" w:hAnsiTheme="minorEastAsia" w:eastAsiaTheme="minorEastAsia" w:cstheme="minorEastAsia"/>
          <w:kern w:val="0"/>
          <w:sz w:val="18"/>
          <w:szCs w:val="18"/>
        </w:rPr>
      </w:pPr>
    </w:p>
    <w:p>
      <w:pPr>
        <w:widowControl/>
        <w:jc w:val="left"/>
        <w:rPr>
          <w:rFonts w:asciiTheme="minorEastAsia" w:hAnsiTheme="minorEastAsia" w:eastAsiaTheme="minorEastAsia" w:cstheme="minorEastAsia"/>
          <w:kern w:val="0"/>
          <w:sz w:val="18"/>
          <w:szCs w:val="18"/>
        </w:rPr>
      </w:pPr>
    </w:p>
    <w:p>
      <w:pPr>
        <w:widowControl/>
        <w:jc w:val="left"/>
        <w:rPr>
          <w:rFonts w:asciiTheme="minorEastAsia" w:hAnsiTheme="minorEastAsia" w:eastAsiaTheme="minorEastAsia" w:cstheme="minorEastAsia"/>
          <w:kern w:val="0"/>
          <w:sz w:val="18"/>
          <w:szCs w:val="18"/>
        </w:rPr>
      </w:pPr>
    </w:p>
    <w:tbl>
      <w:tblPr>
        <w:tblStyle w:val="7"/>
        <w:tblW w:w="15268" w:type="dxa"/>
        <w:tblInd w:w="-985" w:type="dxa"/>
        <w:tblLayout w:type="autofit"/>
        <w:tblCellMar>
          <w:top w:w="0" w:type="dxa"/>
          <w:left w:w="108" w:type="dxa"/>
          <w:bottom w:w="0" w:type="dxa"/>
          <w:right w:w="108" w:type="dxa"/>
        </w:tblCellMar>
      </w:tblPr>
      <w:tblGrid>
        <w:gridCol w:w="560"/>
        <w:gridCol w:w="666"/>
        <w:gridCol w:w="666"/>
        <w:gridCol w:w="417"/>
        <w:gridCol w:w="2774"/>
        <w:gridCol w:w="2730"/>
        <w:gridCol w:w="1890"/>
        <w:gridCol w:w="840"/>
        <w:gridCol w:w="840"/>
        <w:gridCol w:w="1057"/>
        <w:gridCol w:w="1358"/>
        <w:gridCol w:w="1470"/>
      </w:tblGrid>
      <w:tr>
        <w:tblPrEx>
          <w:tblCellMar>
            <w:top w:w="0" w:type="dxa"/>
            <w:left w:w="108" w:type="dxa"/>
            <w:bottom w:w="0" w:type="dxa"/>
            <w:right w:w="108" w:type="dxa"/>
          </w:tblCellMar>
        </w:tblPrEx>
        <w:trPr>
          <w:trHeight w:val="720" w:hRule="atLeast"/>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一级</w:t>
            </w:r>
            <w:r>
              <w:rPr>
                <w:rFonts w:hint="eastAsia" w:asciiTheme="minorEastAsia" w:hAnsiTheme="minorEastAsia" w:eastAsiaTheme="minorEastAsia" w:cstheme="minorEastAsia"/>
                <w:b/>
                <w:bCs/>
                <w:kern w:val="0"/>
                <w:sz w:val="18"/>
                <w:szCs w:val="18"/>
              </w:rPr>
              <w:br w:type="textWrapping"/>
            </w:r>
            <w:r>
              <w:rPr>
                <w:rFonts w:hint="eastAsia" w:asciiTheme="minorEastAsia" w:hAnsiTheme="minorEastAsia" w:eastAsiaTheme="minorEastAsia" w:cstheme="minorEastAsia"/>
                <w:b/>
                <w:bCs/>
                <w:kern w:val="0"/>
                <w:sz w:val="18"/>
                <w:szCs w:val="18"/>
              </w:rPr>
              <w:t>指标</w:t>
            </w:r>
          </w:p>
        </w:tc>
        <w:tc>
          <w:tcPr>
            <w:tcW w:w="66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二级</w:t>
            </w:r>
            <w:r>
              <w:rPr>
                <w:rFonts w:hint="eastAsia" w:asciiTheme="minorEastAsia" w:hAnsiTheme="minorEastAsia" w:eastAsiaTheme="minorEastAsia" w:cstheme="minorEastAsia"/>
                <w:b/>
                <w:bCs/>
                <w:kern w:val="0"/>
                <w:sz w:val="18"/>
                <w:szCs w:val="18"/>
              </w:rPr>
              <w:br w:type="textWrapping"/>
            </w:r>
            <w:r>
              <w:rPr>
                <w:rFonts w:hint="eastAsia" w:asciiTheme="minorEastAsia" w:hAnsiTheme="minorEastAsia" w:eastAsiaTheme="minorEastAsia" w:cstheme="minorEastAsia"/>
                <w:b/>
                <w:bCs/>
                <w:kern w:val="0"/>
                <w:sz w:val="18"/>
                <w:szCs w:val="18"/>
              </w:rPr>
              <w:t>指标</w:t>
            </w:r>
          </w:p>
        </w:tc>
        <w:tc>
          <w:tcPr>
            <w:tcW w:w="66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三级指标</w:t>
            </w:r>
          </w:p>
        </w:tc>
        <w:tc>
          <w:tcPr>
            <w:tcW w:w="417"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分值</w:t>
            </w:r>
          </w:p>
        </w:tc>
        <w:tc>
          <w:tcPr>
            <w:tcW w:w="277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指标说明</w:t>
            </w:r>
          </w:p>
        </w:tc>
        <w:tc>
          <w:tcPr>
            <w:tcW w:w="273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评分标准</w:t>
            </w:r>
          </w:p>
        </w:tc>
        <w:tc>
          <w:tcPr>
            <w:tcW w:w="189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指标值计算公式和数据获取方式</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年初目标值</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实际完成值</w:t>
            </w:r>
          </w:p>
        </w:tc>
        <w:tc>
          <w:tcPr>
            <w:tcW w:w="1057"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得分</w:t>
            </w:r>
          </w:p>
        </w:tc>
        <w:tc>
          <w:tcPr>
            <w:tcW w:w="1358"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未完成原因分析与改进措施</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绩效指标分析与建议</w:t>
            </w:r>
          </w:p>
        </w:tc>
      </w:tr>
      <w:tr>
        <w:tblPrEx>
          <w:tblCellMar>
            <w:top w:w="0" w:type="dxa"/>
            <w:left w:w="108" w:type="dxa"/>
            <w:bottom w:w="0" w:type="dxa"/>
            <w:right w:w="108" w:type="dxa"/>
          </w:tblCellMar>
        </w:tblPrEx>
        <w:trPr>
          <w:trHeight w:val="2880" w:hRule="atLeast"/>
        </w:trPr>
        <w:tc>
          <w:tcPr>
            <w:tcW w:w="560"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过程</w:t>
            </w:r>
          </w:p>
        </w:tc>
        <w:tc>
          <w:tcPr>
            <w:tcW w:w="66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预算管理（15分）</w:t>
            </w:r>
          </w:p>
        </w:tc>
        <w:tc>
          <w:tcPr>
            <w:tcW w:w="66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资金使用合规性</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（5分）</w:t>
            </w:r>
          </w:p>
        </w:tc>
        <w:tc>
          <w:tcPr>
            <w:tcW w:w="41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277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部门（单位）使用预算资金是否符合相关的预算财务管理制度的规定，用以反映和考核部门（单位）预算资金的规范运行情况。</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1.符合国家财经法规和财务管理制度规定以及有关专项资金管理办法的规定；</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2.资金的拨付有完整的审批程序和手续；</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3.重大项目开支经过评估论证；</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4.符合部门预算批复的用途；</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5.不存在截留、挤占、挪用、虚列支出等情况。</w:t>
            </w:r>
          </w:p>
        </w:tc>
        <w:tc>
          <w:tcPr>
            <w:tcW w:w="2730"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全部符合5分,有1项不符扣2分。</w:t>
            </w:r>
          </w:p>
        </w:tc>
        <w:tc>
          <w:tcPr>
            <w:tcW w:w="1890"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84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w:t>
            </w:r>
          </w:p>
        </w:tc>
        <w:tc>
          <w:tcPr>
            <w:tcW w:w="840"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　</w:t>
            </w:r>
          </w:p>
        </w:tc>
        <w:tc>
          <w:tcPr>
            <w:tcW w:w="105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1358"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1470"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2135" w:hRule="atLeast"/>
        </w:trPr>
        <w:tc>
          <w:tcPr>
            <w:tcW w:w="560"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效果</w:t>
            </w: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履职尽责（60分）</w:t>
            </w:r>
          </w:p>
        </w:tc>
        <w:tc>
          <w:tcPr>
            <w:tcW w:w="66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项目产出</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（40分）</w:t>
            </w:r>
          </w:p>
        </w:tc>
        <w:tc>
          <w:tcPr>
            <w:tcW w:w="41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40</w:t>
            </w:r>
          </w:p>
        </w:tc>
        <w:tc>
          <w:tcPr>
            <w:tcW w:w="277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2730" w:type="dxa"/>
            <w:vMerge w:val="restart"/>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1.若为定性指标，根据“三档”原则分别按照指标分值的100-80%（含）、80-50%（含）、50-10%来记分；</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1890"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840"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100%</w:t>
            </w:r>
          </w:p>
        </w:tc>
        <w:tc>
          <w:tcPr>
            <w:tcW w:w="84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w:t>
            </w:r>
          </w:p>
        </w:tc>
        <w:tc>
          <w:tcPr>
            <w:tcW w:w="105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40</w:t>
            </w:r>
          </w:p>
        </w:tc>
        <w:tc>
          <w:tcPr>
            <w:tcW w:w="1358"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1470"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163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p>
        </w:tc>
        <w:tc>
          <w:tcPr>
            <w:tcW w:w="66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项目效益</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（20分）</w:t>
            </w:r>
          </w:p>
        </w:tc>
        <w:tc>
          <w:tcPr>
            <w:tcW w:w="41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w:t>
            </w:r>
          </w:p>
        </w:tc>
        <w:tc>
          <w:tcPr>
            <w:tcW w:w="277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2730"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p>
        </w:tc>
        <w:tc>
          <w:tcPr>
            <w:tcW w:w="1890"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840"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100%</w:t>
            </w:r>
          </w:p>
        </w:tc>
        <w:tc>
          <w:tcPr>
            <w:tcW w:w="84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w:t>
            </w:r>
          </w:p>
        </w:tc>
        <w:tc>
          <w:tcPr>
            <w:tcW w:w="105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w:t>
            </w:r>
          </w:p>
        </w:tc>
        <w:tc>
          <w:tcPr>
            <w:tcW w:w="1358"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1470"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bl>
    <w:p>
      <w:pPr>
        <w:widowControl/>
        <w:jc w:val="left"/>
        <w:rPr>
          <w:rFonts w:asciiTheme="minorEastAsia" w:hAnsiTheme="minorEastAsia" w:eastAsiaTheme="minorEastAsia" w:cstheme="minorEastAsia"/>
          <w:kern w:val="0"/>
          <w:sz w:val="18"/>
          <w:szCs w:val="18"/>
        </w:rPr>
      </w:pPr>
    </w:p>
    <w:p>
      <w:pPr>
        <w:widowControl/>
        <w:jc w:val="left"/>
        <w:rPr>
          <w:rFonts w:asciiTheme="minorEastAsia" w:hAnsiTheme="minorEastAsia" w:eastAsiaTheme="minorEastAsia" w:cstheme="minorEastAsia"/>
          <w:kern w:val="0"/>
          <w:sz w:val="18"/>
          <w:szCs w:val="18"/>
        </w:rPr>
      </w:pPr>
    </w:p>
    <w:p>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备注：</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1.“项目产出”和“项目效果”直接细化成部门年初绩效目标中的指标，并根据重要程度赋权。</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p>
      <w:pPr>
        <w:widowControl/>
        <w:jc w:val="left"/>
        <w:rPr>
          <w:rFonts w:asciiTheme="minorEastAsia" w:hAnsiTheme="minorEastAsia" w:eastAsiaTheme="minorEastAsia" w:cstheme="minorEastAsia"/>
          <w:sz w:val="18"/>
          <w:szCs w:val="18"/>
        </w:rPr>
      </w:pPr>
    </w:p>
    <w:p>
      <w:pPr>
        <w:tabs>
          <w:tab w:val="left" w:pos="2160"/>
        </w:tabs>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b/>
      </w:r>
    </w:p>
    <w:p>
      <w:pPr>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45.6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43.57</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96</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减少2.03万元，主要原因：努力压缩办公费用。</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截至2019年末，本部门机关及所属单位共有车辆4辆；单价50万元以上的通用设备0台（套）；单价100万元以上的专用设备0台（套）。201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5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5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G/Ys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dkb9i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315"/>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30AB3"/>
    <w:rsid w:val="00050E89"/>
    <w:rsid w:val="000F0A7B"/>
    <w:rsid w:val="00133307"/>
    <w:rsid w:val="0013582E"/>
    <w:rsid w:val="001414F5"/>
    <w:rsid w:val="00146787"/>
    <w:rsid w:val="00157975"/>
    <w:rsid w:val="00164001"/>
    <w:rsid w:val="001759E0"/>
    <w:rsid w:val="001C36C8"/>
    <w:rsid w:val="001D7568"/>
    <w:rsid w:val="0020680E"/>
    <w:rsid w:val="00213E2E"/>
    <w:rsid w:val="002141C1"/>
    <w:rsid w:val="002424C8"/>
    <w:rsid w:val="00242723"/>
    <w:rsid w:val="002474D0"/>
    <w:rsid w:val="00255155"/>
    <w:rsid w:val="002A7893"/>
    <w:rsid w:val="002B20B9"/>
    <w:rsid w:val="002E135A"/>
    <w:rsid w:val="002E51DA"/>
    <w:rsid w:val="00315C9C"/>
    <w:rsid w:val="00321FDF"/>
    <w:rsid w:val="003364E9"/>
    <w:rsid w:val="00382478"/>
    <w:rsid w:val="003A1A94"/>
    <w:rsid w:val="003B3E5A"/>
    <w:rsid w:val="003C3B2B"/>
    <w:rsid w:val="003F4285"/>
    <w:rsid w:val="00452E2E"/>
    <w:rsid w:val="004A2B91"/>
    <w:rsid w:val="004B6D6E"/>
    <w:rsid w:val="004D5188"/>
    <w:rsid w:val="004F72AF"/>
    <w:rsid w:val="00520706"/>
    <w:rsid w:val="00544279"/>
    <w:rsid w:val="00551577"/>
    <w:rsid w:val="00584ABD"/>
    <w:rsid w:val="005974D3"/>
    <w:rsid w:val="005B1A8B"/>
    <w:rsid w:val="005C5F47"/>
    <w:rsid w:val="00644EE0"/>
    <w:rsid w:val="006C6D72"/>
    <w:rsid w:val="006D1C2C"/>
    <w:rsid w:val="00720566"/>
    <w:rsid w:val="00736514"/>
    <w:rsid w:val="00742C01"/>
    <w:rsid w:val="00750D67"/>
    <w:rsid w:val="00762A35"/>
    <w:rsid w:val="00791523"/>
    <w:rsid w:val="007918D5"/>
    <w:rsid w:val="007B21C8"/>
    <w:rsid w:val="007B5FC4"/>
    <w:rsid w:val="00813F4A"/>
    <w:rsid w:val="0081668F"/>
    <w:rsid w:val="0081763D"/>
    <w:rsid w:val="0083168B"/>
    <w:rsid w:val="00833463"/>
    <w:rsid w:val="00865F8B"/>
    <w:rsid w:val="0089219A"/>
    <w:rsid w:val="008A7667"/>
    <w:rsid w:val="008B64D8"/>
    <w:rsid w:val="008F38AB"/>
    <w:rsid w:val="009072CA"/>
    <w:rsid w:val="009162A1"/>
    <w:rsid w:val="009330BD"/>
    <w:rsid w:val="0095336D"/>
    <w:rsid w:val="009B18D0"/>
    <w:rsid w:val="00A578B5"/>
    <w:rsid w:val="00A66BD4"/>
    <w:rsid w:val="00A67BFD"/>
    <w:rsid w:val="00A753E7"/>
    <w:rsid w:val="00AC07D5"/>
    <w:rsid w:val="00AD2FFB"/>
    <w:rsid w:val="00AF7313"/>
    <w:rsid w:val="00B80654"/>
    <w:rsid w:val="00B85C1E"/>
    <w:rsid w:val="00B92C82"/>
    <w:rsid w:val="00BC1AC3"/>
    <w:rsid w:val="00BD1144"/>
    <w:rsid w:val="00C15BDF"/>
    <w:rsid w:val="00C15DBD"/>
    <w:rsid w:val="00C511AA"/>
    <w:rsid w:val="00C61A3D"/>
    <w:rsid w:val="00C768FD"/>
    <w:rsid w:val="00CC00B7"/>
    <w:rsid w:val="00CE1821"/>
    <w:rsid w:val="00CE7E7D"/>
    <w:rsid w:val="00D47A36"/>
    <w:rsid w:val="00D56475"/>
    <w:rsid w:val="00DA2BAD"/>
    <w:rsid w:val="00DB3721"/>
    <w:rsid w:val="00DE6388"/>
    <w:rsid w:val="00DF0103"/>
    <w:rsid w:val="00DF564D"/>
    <w:rsid w:val="00E25322"/>
    <w:rsid w:val="00E2784B"/>
    <w:rsid w:val="00E41D25"/>
    <w:rsid w:val="00E55037"/>
    <w:rsid w:val="00E8111E"/>
    <w:rsid w:val="00EE47D1"/>
    <w:rsid w:val="00F12FB1"/>
    <w:rsid w:val="00FA5640"/>
    <w:rsid w:val="0137528E"/>
    <w:rsid w:val="013B79AC"/>
    <w:rsid w:val="01511B13"/>
    <w:rsid w:val="01861E52"/>
    <w:rsid w:val="01FD6CD9"/>
    <w:rsid w:val="01FE2A2D"/>
    <w:rsid w:val="030748A5"/>
    <w:rsid w:val="031653CD"/>
    <w:rsid w:val="035861BB"/>
    <w:rsid w:val="03655C8E"/>
    <w:rsid w:val="03761738"/>
    <w:rsid w:val="04407C19"/>
    <w:rsid w:val="04462596"/>
    <w:rsid w:val="04DD4188"/>
    <w:rsid w:val="05125422"/>
    <w:rsid w:val="0521161C"/>
    <w:rsid w:val="069378C1"/>
    <w:rsid w:val="07262DBD"/>
    <w:rsid w:val="07564CEB"/>
    <w:rsid w:val="079946F3"/>
    <w:rsid w:val="079E5C92"/>
    <w:rsid w:val="0837639B"/>
    <w:rsid w:val="085E1DEC"/>
    <w:rsid w:val="088D3E31"/>
    <w:rsid w:val="08ED413A"/>
    <w:rsid w:val="08EE4240"/>
    <w:rsid w:val="090E74B0"/>
    <w:rsid w:val="0A102765"/>
    <w:rsid w:val="0A5D677E"/>
    <w:rsid w:val="0A816F9D"/>
    <w:rsid w:val="0AD239FB"/>
    <w:rsid w:val="0AEC3AA0"/>
    <w:rsid w:val="0AF613B1"/>
    <w:rsid w:val="0B724068"/>
    <w:rsid w:val="0BC64432"/>
    <w:rsid w:val="0C177F5A"/>
    <w:rsid w:val="0C3442DD"/>
    <w:rsid w:val="0C6C1D6D"/>
    <w:rsid w:val="0CE87379"/>
    <w:rsid w:val="0D5455C1"/>
    <w:rsid w:val="0D875583"/>
    <w:rsid w:val="0D9A734D"/>
    <w:rsid w:val="0DAE34C4"/>
    <w:rsid w:val="0E6C5A0B"/>
    <w:rsid w:val="0E9A1A3A"/>
    <w:rsid w:val="0EA2284D"/>
    <w:rsid w:val="0EB65C8C"/>
    <w:rsid w:val="0ED95E85"/>
    <w:rsid w:val="0F00665F"/>
    <w:rsid w:val="0F1401A1"/>
    <w:rsid w:val="0F58357A"/>
    <w:rsid w:val="0F7E3F28"/>
    <w:rsid w:val="0F88438B"/>
    <w:rsid w:val="0FBD7714"/>
    <w:rsid w:val="10826ED7"/>
    <w:rsid w:val="10D80CB4"/>
    <w:rsid w:val="10DB23D3"/>
    <w:rsid w:val="10DB72DA"/>
    <w:rsid w:val="10DE75EE"/>
    <w:rsid w:val="1100134B"/>
    <w:rsid w:val="11467F57"/>
    <w:rsid w:val="117C520E"/>
    <w:rsid w:val="119561D1"/>
    <w:rsid w:val="11961994"/>
    <w:rsid w:val="121250ED"/>
    <w:rsid w:val="12252FA1"/>
    <w:rsid w:val="123644F5"/>
    <w:rsid w:val="123B3315"/>
    <w:rsid w:val="12575056"/>
    <w:rsid w:val="125E2600"/>
    <w:rsid w:val="126C32D9"/>
    <w:rsid w:val="12D8572D"/>
    <w:rsid w:val="12DD015D"/>
    <w:rsid w:val="12E82038"/>
    <w:rsid w:val="132E46A0"/>
    <w:rsid w:val="13AD462A"/>
    <w:rsid w:val="13C21D68"/>
    <w:rsid w:val="143A572E"/>
    <w:rsid w:val="14411117"/>
    <w:rsid w:val="147D384B"/>
    <w:rsid w:val="148B192E"/>
    <w:rsid w:val="14A57132"/>
    <w:rsid w:val="14F52375"/>
    <w:rsid w:val="150B62AC"/>
    <w:rsid w:val="1586116E"/>
    <w:rsid w:val="159508D7"/>
    <w:rsid w:val="1606258B"/>
    <w:rsid w:val="165859ED"/>
    <w:rsid w:val="16764D15"/>
    <w:rsid w:val="16CE71A5"/>
    <w:rsid w:val="16FC2217"/>
    <w:rsid w:val="17305732"/>
    <w:rsid w:val="174C00B9"/>
    <w:rsid w:val="17667FA3"/>
    <w:rsid w:val="17871519"/>
    <w:rsid w:val="17E63E66"/>
    <w:rsid w:val="18BB4AD7"/>
    <w:rsid w:val="19080768"/>
    <w:rsid w:val="195B2375"/>
    <w:rsid w:val="198B14BF"/>
    <w:rsid w:val="19E46A8B"/>
    <w:rsid w:val="1AE025D1"/>
    <w:rsid w:val="1AF502BC"/>
    <w:rsid w:val="1B4A3FDA"/>
    <w:rsid w:val="1B524C98"/>
    <w:rsid w:val="1B631B90"/>
    <w:rsid w:val="1B842F96"/>
    <w:rsid w:val="1BFC7455"/>
    <w:rsid w:val="1C2B1112"/>
    <w:rsid w:val="1C5E2F73"/>
    <w:rsid w:val="1CA12133"/>
    <w:rsid w:val="1CAA445A"/>
    <w:rsid w:val="1CAB65DD"/>
    <w:rsid w:val="1D136F80"/>
    <w:rsid w:val="1D6E0C0D"/>
    <w:rsid w:val="1DF01E3B"/>
    <w:rsid w:val="1E3F0047"/>
    <w:rsid w:val="1E3F692A"/>
    <w:rsid w:val="1E4F2342"/>
    <w:rsid w:val="1EB669CA"/>
    <w:rsid w:val="1EDE6401"/>
    <w:rsid w:val="1EE01897"/>
    <w:rsid w:val="1EEB1D23"/>
    <w:rsid w:val="1F1C35AD"/>
    <w:rsid w:val="1F330C8F"/>
    <w:rsid w:val="1FE83697"/>
    <w:rsid w:val="1FF376C5"/>
    <w:rsid w:val="200574C9"/>
    <w:rsid w:val="207B60C6"/>
    <w:rsid w:val="20875244"/>
    <w:rsid w:val="21090679"/>
    <w:rsid w:val="21A87320"/>
    <w:rsid w:val="21C43440"/>
    <w:rsid w:val="21E1436C"/>
    <w:rsid w:val="21FC22B3"/>
    <w:rsid w:val="221C15BB"/>
    <w:rsid w:val="224F14A6"/>
    <w:rsid w:val="22B90FB9"/>
    <w:rsid w:val="22C652FB"/>
    <w:rsid w:val="23453B7B"/>
    <w:rsid w:val="2385713E"/>
    <w:rsid w:val="23C05708"/>
    <w:rsid w:val="24022EB7"/>
    <w:rsid w:val="240446F9"/>
    <w:rsid w:val="244C3B75"/>
    <w:rsid w:val="24571F77"/>
    <w:rsid w:val="249F695A"/>
    <w:rsid w:val="2546365E"/>
    <w:rsid w:val="25551EE6"/>
    <w:rsid w:val="25980E2E"/>
    <w:rsid w:val="25D72464"/>
    <w:rsid w:val="25E908B6"/>
    <w:rsid w:val="25EA3CBD"/>
    <w:rsid w:val="25EA6CF9"/>
    <w:rsid w:val="262420BF"/>
    <w:rsid w:val="266820F7"/>
    <w:rsid w:val="26ED21E8"/>
    <w:rsid w:val="26F20529"/>
    <w:rsid w:val="273C3F77"/>
    <w:rsid w:val="2752581D"/>
    <w:rsid w:val="27E13861"/>
    <w:rsid w:val="28860E64"/>
    <w:rsid w:val="28ED6903"/>
    <w:rsid w:val="28FC14BB"/>
    <w:rsid w:val="29785A6B"/>
    <w:rsid w:val="2A1559F7"/>
    <w:rsid w:val="2A24527B"/>
    <w:rsid w:val="2A343333"/>
    <w:rsid w:val="2A441613"/>
    <w:rsid w:val="2A656DEB"/>
    <w:rsid w:val="2A744645"/>
    <w:rsid w:val="2A905544"/>
    <w:rsid w:val="2B036B94"/>
    <w:rsid w:val="2B200C52"/>
    <w:rsid w:val="2B20471C"/>
    <w:rsid w:val="2B457048"/>
    <w:rsid w:val="2C1C5A95"/>
    <w:rsid w:val="2CE11CF6"/>
    <w:rsid w:val="2D1B775D"/>
    <w:rsid w:val="2D1F3974"/>
    <w:rsid w:val="2D244791"/>
    <w:rsid w:val="2DA10E4B"/>
    <w:rsid w:val="2DB52EF2"/>
    <w:rsid w:val="2DF11927"/>
    <w:rsid w:val="2E045758"/>
    <w:rsid w:val="2E473BBE"/>
    <w:rsid w:val="2E7D5686"/>
    <w:rsid w:val="2E8978C5"/>
    <w:rsid w:val="2EE142DA"/>
    <w:rsid w:val="2FAA353F"/>
    <w:rsid w:val="2FDF1E8E"/>
    <w:rsid w:val="308A6DBD"/>
    <w:rsid w:val="308E4009"/>
    <w:rsid w:val="30906222"/>
    <w:rsid w:val="316716C5"/>
    <w:rsid w:val="31987ED1"/>
    <w:rsid w:val="31AA6038"/>
    <w:rsid w:val="31B353EF"/>
    <w:rsid w:val="321002AE"/>
    <w:rsid w:val="32EB6052"/>
    <w:rsid w:val="334C4558"/>
    <w:rsid w:val="33534B5B"/>
    <w:rsid w:val="336E1300"/>
    <w:rsid w:val="33887EE3"/>
    <w:rsid w:val="33905681"/>
    <w:rsid w:val="33A95B6B"/>
    <w:rsid w:val="33D37C9F"/>
    <w:rsid w:val="33D454DC"/>
    <w:rsid w:val="342C57F2"/>
    <w:rsid w:val="34677C61"/>
    <w:rsid w:val="34761244"/>
    <w:rsid w:val="356C0CAA"/>
    <w:rsid w:val="35770FA2"/>
    <w:rsid w:val="35973A96"/>
    <w:rsid w:val="35AC2A6A"/>
    <w:rsid w:val="35D21C49"/>
    <w:rsid w:val="3624307C"/>
    <w:rsid w:val="362C1E1A"/>
    <w:rsid w:val="36387405"/>
    <w:rsid w:val="36727B14"/>
    <w:rsid w:val="36837883"/>
    <w:rsid w:val="36E94324"/>
    <w:rsid w:val="37793F6E"/>
    <w:rsid w:val="379B7D63"/>
    <w:rsid w:val="37E43A12"/>
    <w:rsid w:val="385200FE"/>
    <w:rsid w:val="38881C4F"/>
    <w:rsid w:val="38887B41"/>
    <w:rsid w:val="38A1444F"/>
    <w:rsid w:val="39017441"/>
    <w:rsid w:val="3943210C"/>
    <w:rsid w:val="39BB04D9"/>
    <w:rsid w:val="39FC655F"/>
    <w:rsid w:val="3A476120"/>
    <w:rsid w:val="3A974F06"/>
    <w:rsid w:val="3AA84F1A"/>
    <w:rsid w:val="3AB317F1"/>
    <w:rsid w:val="3ABF3462"/>
    <w:rsid w:val="3AF41A0B"/>
    <w:rsid w:val="3B121AD1"/>
    <w:rsid w:val="3B2352D0"/>
    <w:rsid w:val="3B25062C"/>
    <w:rsid w:val="3B55750B"/>
    <w:rsid w:val="3B7334B4"/>
    <w:rsid w:val="3B84257F"/>
    <w:rsid w:val="3BA63253"/>
    <w:rsid w:val="3BAE11F7"/>
    <w:rsid w:val="3BD537DF"/>
    <w:rsid w:val="3C1B4508"/>
    <w:rsid w:val="3C2436EA"/>
    <w:rsid w:val="3C876904"/>
    <w:rsid w:val="3CF87BA8"/>
    <w:rsid w:val="3CFD0D2E"/>
    <w:rsid w:val="3D025410"/>
    <w:rsid w:val="3D070217"/>
    <w:rsid w:val="3D243B25"/>
    <w:rsid w:val="3D636894"/>
    <w:rsid w:val="3D7B7E68"/>
    <w:rsid w:val="3E366E24"/>
    <w:rsid w:val="3E530C2B"/>
    <w:rsid w:val="3EBA2897"/>
    <w:rsid w:val="3F393FED"/>
    <w:rsid w:val="3F5222B3"/>
    <w:rsid w:val="3FA66324"/>
    <w:rsid w:val="408E32BD"/>
    <w:rsid w:val="40911F3F"/>
    <w:rsid w:val="409C6833"/>
    <w:rsid w:val="40BB0393"/>
    <w:rsid w:val="40D2230D"/>
    <w:rsid w:val="411540DC"/>
    <w:rsid w:val="41603979"/>
    <w:rsid w:val="417B0138"/>
    <w:rsid w:val="41937277"/>
    <w:rsid w:val="419B71BB"/>
    <w:rsid w:val="419E482E"/>
    <w:rsid w:val="41CF436B"/>
    <w:rsid w:val="41E27AFF"/>
    <w:rsid w:val="42081FF3"/>
    <w:rsid w:val="421F5C8B"/>
    <w:rsid w:val="42B52987"/>
    <w:rsid w:val="42CB5BBF"/>
    <w:rsid w:val="4330585C"/>
    <w:rsid w:val="437F2666"/>
    <w:rsid w:val="446E0C9D"/>
    <w:rsid w:val="44743C84"/>
    <w:rsid w:val="447732D2"/>
    <w:rsid w:val="45227D19"/>
    <w:rsid w:val="454C04C6"/>
    <w:rsid w:val="4551292A"/>
    <w:rsid w:val="45E92CD7"/>
    <w:rsid w:val="4619368A"/>
    <w:rsid w:val="46330105"/>
    <w:rsid w:val="4656257D"/>
    <w:rsid w:val="467E060E"/>
    <w:rsid w:val="46C80571"/>
    <w:rsid w:val="46FD4A4B"/>
    <w:rsid w:val="471F2499"/>
    <w:rsid w:val="47440EBF"/>
    <w:rsid w:val="477A5145"/>
    <w:rsid w:val="4856319D"/>
    <w:rsid w:val="48DA181B"/>
    <w:rsid w:val="48F73BAF"/>
    <w:rsid w:val="496D423B"/>
    <w:rsid w:val="498F3DE9"/>
    <w:rsid w:val="49D2175C"/>
    <w:rsid w:val="4A0B1219"/>
    <w:rsid w:val="4A21530A"/>
    <w:rsid w:val="4A5358C1"/>
    <w:rsid w:val="4AA06CCB"/>
    <w:rsid w:val="4AAC3D82"/>
    <w:rsid w:val="4ABF2FC8"/>
    <w:rsid w:val="4AF254C6"/>
    <w:rsid w:val="4B061522"/>
    <w:rsid w:val="4B19276C"/>
    <w:rsid w:val="4B6077EC"/>
    <w:rsid w:val="4C0E340D"/>
    <w:rsid w:val="4C175670"/>
    <w:rsid w:val="4C894D17"/>
    <w:rsid w:val="4D145ACF"/>
    <w:rsid w:val="4D226D2C"/>
    <w:rsid w:val="4D6E0FDF"/>
    <w:rsid w:val="4D736917"/>
    <w:rsid w:val="4DAD4456"/>
    <w:rsid w:val="4E361DED"/>
    <w:rsid w:val="4E4F5C84"/>
    <w:rsid w:val="4EA25D45"/>
    <w:rsid w:val="4EA910F0"/>
    <w:rsid w:val="4EE4307A"/>
    <w:rsid w:val="4F2C762E"/>
    <w:rsid w:val="4F4F2485"/>
    <w:rsid w:val="4F8A33CF"/>
    <w:rsid w:val="4FAD53C8"/>
    <w:rsid w:val="4FD72966"/>
    <w:rsid w:val="4FF067EB"/>
    <w:rsid w:val="5051294B"/>
    <w:rsid w:val="505E6810"/>
    <w:rsid w:val="50A9511A"/>
    <w:rsid w:val="50D32154"/>
    <w:rsid w:val="512A6728"/>
    <w:rsid w:val="512B4C96"/>
    <w:rsid w:val="5153143F"/>
    <w:rsid w:val="515E2E4E"/>
    <w:rsid w:val="517C7180"/>
    <w:rsid w:val="51FF3004"/>
    <w:rsid w:val="521044F1"/>
    <w:rsid w:val="52141EEC"/>
    <w:rsid w:val="52572379"/>
    <w:rsid w:val="52BD1D40"/>
    <w:rsid w:val="52D712BF"/>
    <w:rsid w:val="53077E03"/>
    <w:rsid w:val="530A40A2"/>
    <w:rsid w:val="53195119"/>
    <w:rsid w:val="532E0996"/>
    <w:rsid w:val="53674E98"/>
    <w:rsid w:val="53FB2075"/>
    <w:rsid w:val="54484449"/>
    <w:rsid w:val="544D4CA0"/>
    <w:rsid w:val="546D536B"/>
    <w:rsid w:val="548E064D"/>
    <w:rsid w:val="54F12DEE"/>
    <w:rsid w:val="5546665E"/>
    <w:rsid w:val="555D2C06"/>
    <w:rsid w:val="55645102"/>
    <w:rsid w:val="559732A5"/>
    <w:rsid w:val="55DE0A54"/>
    <w:rsid w:val="55EF2B92"/>
    <w:rsid w:val="56223C63"/>
    <w:rsid w:val="56561AED"/>
    <w:rsid w:val="56614A49"/>
    <w:rsid w:val="567C0D87"/>
    <w:rsid w:val="567F6E1C"/>
    <w:rsid w:val="56971FDB"/>
    <w:rsid w:val="56CE5321"/>
    <w:rsid w:val="56F943C8"/>
    <w:rsid w:val="5704754F"/>
    <w:rsid w:val="57123EB8"/>
    <w:rsid w:val="57FD3822"/>
    <w:rsid w:val="58CC4D2D"/>
    <w:rsid w:val="58CC746A"/>
    <w:rsid w:val="58EC51B7"/>
    <w:rsid w:val="590F591F"/>
    <w:rsid w:val="596E7CC8"/>
    <w:rsid w:val="59CA598F"/>
    <w:rsid w:val="59E12F1A"/>
    <w:rsid w:val="5A502330"/>
    <w:rsid w:val="5A7872D1"/>
    <w:rsid w:val="5A893A91"/>
    <w:rsid w:val="5A9F710C"/>
    <w:rsid w:val="5AD0672D"/>
    <w:rsid w:val="5B8D564A"/>
    <w:rsid w:val="5BDB1A1E"/>
    <w:rsid w:val="5C422476"/>
    <w:rsid w:val="5C66036D"/>
    <w:rsid w:val="5CC44E9E"/>
    <w:rsid w:val="5CFB2FBE"/>
    <w:rsid w:val="5D092411"/>
    <w:rsid w:val="5D386C9C"/>
    <w:rsid w:val="5DDE4B0A"/>
    <w:rsid w:val="5DFB4681"/>
    <w:rsid w:val="5E167810"/>
    <w:rsid w:val="5E2D4AFE"/>
    <w:rsid w:val="5E5F7F7D"/>
    <w:rsid w:val="5E604A5C"/>
    <w:rsid w:val="5E907A24"/>
    <w:rsid w:val="5F6B2677"/>
    <w:rsid w:val="5F904743"/>
    <w:rsid w:val="5FCF7CB5"/>
    <w:rsid w:val="606C7AE5"/>
    <w:rsid w:val="60962537"/>
    <w:rsid w:val="609830B6"/>
    <w:rsid w:val="60BA417C"/>
    <w:rsid w:val="60FB7322"/>
    <w:rsid w:val="611B3D5F"/>
    <w:rsid w:val="61347AF0"/>
    <w:rsid w:val="618E4946"/>
    <w:rsid w:val="61DA50F6"/>
    <w:rsid w:val="621552E3"/>
    <w:rsid w:val="623F6C51"/>
    <w:rsid w:val="62842B0F"/>
    <w:rsid w:val="628A3541"/>
    <w:rsid w:val="62A71A8E"/>
    <w:rsid w:val="62C53104"/>
    <w:rsid w:val="62CB11AF"/>
    <w:rsid w:val="62D13276"/>
    <w:rsid w:val="62FA37BF"/>
    <w:rsid w:val="62FD4B1B"/>
    <w:rsid w:val="63371A42"/>
    <w:rsid w:val="6362336A"/>
    <w:rsid w:val="63655029"/>
    <w:rsid w:val="636F3558"/>
    <w:rsid w:val="64315C75"/>
    <w:rsid w:val="6461440C"/>
    <w:rsid w:val="64C0749C"/>
    <w:rsid w:val="64E53471"/>
    <w:rsid w:val="65074FBA"/>
    <w:rsid w:val="650B0D91"/>
    <w:rsid w:val="652E30CD"/>
    <w:rsid w:val="65643CCA"/>
    <w:rsid w:val="658720B4"/>
    <w:rsid w:val="65BA3061"/>
    <w:rsid w:val="65D236A8"/>
    <w:rsid w:val="65E71FEA"/>
    <w:rsid w:val="65FE7988"/>
    <w:rsid w:val="665C4BF3"/>
    <w:rsid w:val="66794A6A"/>
    <w:rsid w:val="66A70EA1"/>
    <w:rsid w:val="66DD3465"/>
    <w:rsid w:val="67287C24"/>
    <w:rsid w:val="675730DA"/>
    <w:rsid w:val="67735AF2"/>
    <w:rsid w:val="67CA088D"/>
    <w:rsid w:val="686229B1"/>
    <w:rsid w:val="68B5118E"/>
    <w:rsid w:val="69076DC0"/>
    <w:rsid w:val="6942021F"/>
    <w:rsid w:val="69512523"/>
    <w:rsid w:val="695F5DB4"/>
    <w:rsid w:val="69643E0A"/>
    <w:rsid w:val="698926E2"/>
    <w:rsid w:val="6993377A"/>
    <w:rsid w:val="69B8605B"/>
    <w:rsid w:val="69BB1C35"/>
    <w:rsid w:val="69CB0AA6"/>
    <w:rsid w:val="6A2705A6"/>
    <w:rsid w:val="6A577E62"/>
    <w:rsid w:val="6AD52744"/>
    <w:rsid w:val="6B0C1B88"/>
    <w:rsid w:val="6B13302F"/>
    <w:rsid w:val="6B2D7194"/>
    <w:rsid w:val="6B450CB8"/>
    <w:rsid w:val="6BC32AC2"/>
    <w:rsid w:val="6C081FC0"/>
    <w:rsid w:val="6C965652"/>
    <w:rsid w:val="6C9E4407"/>
    <w:rsid w:val="6CC240E9"/>
    <w:rsid w:val="6CF601E5"/>
    <w:rsid w:val="6DC16884"/>
    <w:rsid w:val="6DD31849"/>
    <w:rsid w:val="6E480C87"/>
    <w:rsid w:val="6E660A5F"/>
    <w:rsid w:val="6ED32513"/>
    <w:rsid w:val="6EE74BD5"/>
    <w:rsid w:val="6F1E6C0F"/>
    <w:rsid w:val="6F4D1119"/>
    <w:rsid w:val="6FCC2666"/>
    <w:rsid w:val="7001131D"/>
    <w:rsid w:val="70352639"/>
    <w:rsid w:val="70500BA1"/>
    <w:rsid w:val="70696702"/>
    <w:rsid w:val="70E914E2"/>
    <w:rsid w:val="70FD7DD6"/>
    <w:rsid w:val="71086DB5"/>
    <w:rsid w:val="711966A9"/>
    <w:rsid w:val="71245DBF"/>
    <w:rsid w:val="71D110B8"/>
    <w:rsid w:val="71E22CE0"/>
    <w:rsid w:val="72190107"/>
    <w:rsid w:val="721A5320"/>
    <w:rsid w:val="72BE59FD"/>
    <w:rsid w:val="730C4D7C"/>
    <w:rsid w:val="732C08B4"/>
    <w:rsid w:val="73597111"/>
    <w:rsid w:val="73640EBD"/>
    <w:rsid w:val="73AA1CA5"/>
    <w:rsid w:val="73DC59BD"/>
    <w:rsid w:val="73DF60BD"/>
    <w:rsid w:val="73EE2CEE"/>
    <w:rsid w:val="73FA3252"/>
    <w:rsid w:val="7436279D"/>
    <w:rsid w:val="744F1C3F"/>
    <w:rsid w:val="746219B6"/>
    <w:rsid w:val="74866BAF"/>
    <w:rsid w:val="748B46EC"/>
    <w:rsid w:val="74FA65D4"/>
    <w:rsid w:val="75596D16"/>
    <w:rsid w:val="75601DE2"/>
    <w:rsid w:val="75C31473"/>
    <w:rsid w:val="76A463BD"/>
    <w:rsid w:val="76C9037B"/>
    <w:rsid w:val="773D1D5F"/>
    <w:rsid w:val="773F50A3"/>
    <w:rsid w:val="77593113"/>
    <w:rsid w:val="77937C88"/>
    <w:rsid w:val="779C3ED3"/>
    <w:rsid w:val="77D02C27"/>
    <w:rsid w:val="780B3D4B"/>
    <w:rsid w:val="780B50A2"/>
    <w:rsid w:val="781C4BC1"/>
    <w:rsid w:val="78264070"/>
    <w:rsid w:val="78423A69"/>
    <w:rsid w:val="785967CD"/>
    <w:rsid w:val="786541A4"/>
    <w:rsid w:val="7872732D"/>
    <w:rsid w:val="78B357BD"/>
    <w:rsid w:val="79056DF6"/>
    <w:rsid w:val="796E1F02"/>
    <w:rsid w:val="7999695E"/>
    <w:rsid w:val="79AA6CD7"/>
    <w:rsid w:val="79B175FF"/>
    <w:rsid w:val="7A37264F"/>
    <w:rsid w:val="7AF20905"/>
    <w:rsid w:val="7B041DA0"/>
    <w:rsid w:val="7B1178C0"/>
    <w:rsid w:val="7B270EC8"/>
    <w:rsid w:val="7BB720BD"/>
    <w:rsid w:val="7BC4156A"/>
    <w:rsid w:val="7BEE70BB"/>
    <w:rsid w:val="7BFE0487"/>
    <w:rsid w:val="7C3E5E46"/>
    <w:rsid w:val="7C532A4C"/>
    <w:rsid w:val="7C5B5A63"/>
    <w:rsid w:val="7C6F0BBA"/>
    <w:rsid w:val="7C711BE1"/>
    <w:rsid w:val="7C8C7F2A"/>
    <w:rsid w:val="7CC71568"/>
    <w:rsid w:val="7CD3585C"/>
    <w:rsid w:val="7CDA7A5D"/>
    <w:rsid w:val="7CF66885"/>
    <w:rsid w:val="7CFF1AA3"/>
    <w:rsid w:val="7D05551B"/>
    <w:rsid w:val="7D13031C"/>
    <w:rsid w:val="7E0A290D"/>
    <w:rsid w:val="7E621E05"/>
    <w:rsid w:val="7E877535"/>
    <w:rsid w:val="7E945A6F"/>
    <w:rsid w:val="7EBC560B"/>
    <w:rsid w:val="7EE759C2"/>
    <w:rsid w:val="7EF15641"/>
    <w:rsid w:val="7EFF42DD"/>
    <w:rsid w:val="7F7C5C2B"/>
    <w:rsid w:val="7FAB0E60"/>
    <w:rsid w:val="7FC6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杨陵区人民检察院收入分析图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Sheet1!$E$4:$E$5</c:f>
              <c:strCache>
                <c:ptCount val="2"/>
                <c:pt idx="0">
                  <c:v>2019年收入</c:v>
                </c:pt>
                <c:pt idx="1">
                  <c:v>2018年收入</c:v>
                </c:pt>
              </c:strCache>
            </c:strRef>
          </c:cat>
          <c:val>
            <c:numRef>
              <c:f>Sheet1!$F$4:$F$5</c:f>
              <c:numCache>
                <c:formatCode>General</c:formatCode>
                <c:ptCount val="2"/>
                <c:pt idx="0">
                  <c:v>519.86</c:v>
                </c:pt>
                <c:pt idx="1">
                  <c:v>618.32</c:v>
                </c:pt>
              </c:numCache>
            </c:numRef>
          </c:val>
        </c:ser>
        <c:dLbls>
          <c:showLegendKey val="0"/>
          <c:showVal val="1"/>
          <c:showCatName val="0"/>
          <c:showSerName val="0"/>
          <c:showPercent val="0"/>
          <c:showBubbleSize val="0"/>
        </c:dLbls>
        <c:gapWidth val="219"/>
        <c:overlap val="-27"/>
        <c:axId val="182053120"/>
        <c:axId val="76718464"/>
      </c:barChart>
      <c:catAx>
        <c:axId val="18205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718464"/>
        <c:crosses val="autoZero"/>
        <c:auto val="1"/>
        <c:lblAlgn val="ctr"/>
        <c:lblOffset val="100"/>
        <c:noMultiLvlLbl val="0"/>
      </c:catAx>
      <c:valAx>
        <c:axId val="767184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2053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杨陵区人民检察院支出分析图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Sheet1!$E$4:$E$5</c:f>
              <c:strCache>
                <c:ptCount val="2"/>
                <c:pt idx="0">
                  <c:v>2019年支出</c:v>
                </c:pt>
                <c:pt idx="1">
                  <c:v>2018年支出</c:v>
                </c:pt>
              </c:strCache>
            </c:strRef>
          </c:cat>
          <c:val>
            <c:numRef>
              <c:f>Sheet1!$F$4:$F$5</c:f>
              <c:numCache>
                <c:formatCode>General</c:formatCode>
                <c:ptCount val="2"/>
                <c:pt idx="0">
                  <c:v>529.14</c:v>
                </c:pt>
                <c:pt idx="1">
                  <c:v>609.02</c:v>
                </c:pt>
              </c:numCache>
            </c:numRef>
          </c:val>
        </c:ser>
        <c:dLbls>
          <c:showLegendKey val="0"/>
          <c:showVal val="1"/>
          <c:showCatName val="0"/>
          <c:showSerName val="0"/>
          <c:showPercent val="0"/>
          <c:showBubbleSize val="0"/>
        </c:dLbls>
        <c:gapWidth val="219"/>
        <c:overlap val="-27"/>
        <c:axId val="75874304"/>
        <c:axId val="75875840"/>
      </c:barChart>
      <c:catAx>
        <c:axId val="7587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875840"/>
        <c:crosses val="autoZero"/>
        <c:auto val="1"/>
        <c:lblAlgn val="ctr"/>
        <c:lblOffset val="100"/>
        <c:noMultiLvlLbl val="0"/>
      </c:catAx>
      <c:valAx>
        <c:axId val="758758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874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杨陵区人民检察院收入分析图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Sheet1!$E$4:$E$5</c:f>
              <c:strCache>
                <c:ptCount val="2"/>
                <c:pt idx="0">
                  <c:v>财政拨款收入</c:v>
                </c:pt>
                <c:pt idx="1">
                  <c:v>其他收入</c:v>
                </c:pt>
              </c:strCache>
            </c:strRef>
          </c:cat>
          <c:val>
            <c:numRef>
              <c:f>Sheet1!$F$4:$F$5</c:f>
              <c:numCache>
                <c:formatCode>General</c:formatCode>
                <c:ptCount val="2"/>
                <c:pt idx="0">
                  <c:v>468</c:v>
                </c:pt>
                <c:pt idx="1">
                  <c:v>51.86</c:v>
                </c:pt>
              </c:numCache>
            </c:numRef>
          </c:val>
        </c:ser>
        <c:dLbls>
          <c:showLegendKey val="0"/>
          <c:showVal val="1"/>
          <c:showCatName val="0"/>
          <c:showSerName val="0"/>
          <c:showPercent val="0"/>
          <c:showBubbleSize val="0"/>
        </c:dLbls>
        <c:gapWidth val="219"/>
        <c:overlap val="-27"/>
        <c:axId val="181482624"/>
        <c:axId val="181484160"/>
      </c:barChart>
      <c:catAx>
        <c:axId val="18148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484160"/>
        <c:crosses val="autoZero"/>
        <c:auto val="1"/>
        <c:lblAlgn val="ctr"/>
        <c:lblOffset val="100"/>
        <c:noMultiLvlLbl val="0"/>
      </c:catAx>
      <c:valAx>
        <c:axId val="1814841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482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杨陵区人民检察院支出分析图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Sheet1!$E$4:$E$5</c:f>
              <c:strCache>
                <c:ptCount val="2"/>
                <c:pt idx="0">
                  <c:v>基本支出</c:v>
                </c:pt>
                <c:pt idx="1">
                  <c:v>项目支出</c:v>
                </c:pt>
              </c:strCache>
            </c:strRef>
          </c:cat>
          <c:val>
            <c:numRef>
              <c:f>Sheet1!$F$4:$F$5</c:f>
              <c:numCache>
                <c:formatCode>General</c:formatCode>
                <c:ptCount val="2"/>
                <c:pt idx="0">
                  <c:v>450.81</c:v>
                </c:pt>
                <c:pt idx="1">
                  <c:v>78.32</c:v>
                </c:pt>
              </c:numCache>
            </c:numRef>
          </c:val>
        </c:ser>
        <c:dLbls>
          <c:showLegendKey val="0"/>
          <c:showVal val="1"/>
          <c:showCatName val="0"/>
          <c:showSerName val="0"/>
          <c:showPercent val="0"/>
          <c:showBubbleSize val="0"/>
        </c:dLbls>
        <c:gapWidth val="219"/>
        <c:overlap val="-27"/>
        <c:axId val="181528832"/>
        <c:axId val="181530624"/>
      </c:barChart>
      <c:catAx>
        <c:axId val="18152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530624"/>
        <c:crosses val="autoZero"/>
        <c:auto val="1"/>
        <c:lblAlgn val="ctr"/>
        <c:lblOffset val="100"/>
        <c:noMultiLvlLbl val="0"/>
      </c:catAx>
      <c:valAx>
        <c:axId val="1815306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528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杨陵区人民检察院财政拨款收入分析图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Sheet1!$E$4:$E$5</c:f>
              <c:strCache>
                <c:ptCount val="2"/>
                <c:pt idx="0">
                  <c:v>2019年财政拨款收入</c:v>
                </c:pt>
                <c:pt idx="1">
                  <c:v>2018年财政拨款收入</c:v>
                </c:pt>
              </c:strCache>
            </c:strRef>
          </c:cat>
          <c:val>
            <c:numRef>
              <c:f>Sheet1!$F$4:$F$5</c:f>
              <c:numCache>
                <c:formatCode>General</c:formatCode>
                <c:ptCount val="2"/>
                <c:pt idx="0">
                  <c:v>468</c:v>
                </c:pt>
                <c:pt idx="1">
                  <c:v>615.93</c:v>
                </c:pt>
              </c:numCache>
            </c:numRef>
          </c:val>
        </c:ser>
        <c:dLbls>
          <c:showLegendKey val="0"/>
          <c:showVal val="1"/>
          <c:showCatName val="0"/>
          <c:showSerName val="0"/>
          <c:showPercent val="0"/>
          <c:showBubbleSize val="0"/>
        </c:dLbls>
        <c:gapWidth val="219"/>
        <c:overlap val="-27"/>
        <c:axId val="181472640"/>
        <c:axId val="181478528"/>
      </c:barChart>
      <c:catAx>
        <c:axId val="18147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478528"/>
        <c:crosses val="autoZero"/>
        <c:auto val="1"/>
        <c:lblAlgn val="ctr"/>
        <c:lblOffset val="100"/>
        <c:noMultiLvlLbl val="0"/>
      </c:catAx>
      <c:valAx>
        <c:axId val="1814785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472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杨陵区人民检察院财政拨款支出分析图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Sheet1!$E$4:$E$5</c:f>
              <c:strCache>
                <c:ptCount val="2"/>
                <c:pt idx="0">
                  <c:v>2019年财政拨款支出</c:v>
                </c:pt>
                <c:pt idx="1">
                  <c:v>2018年财政拨款支出</c:v>
                </c:pt>
              </c:strCache>
            </c:strRef>
          </c:cat>
          <c:val>
            <c:numRef>
              <c:f>Sheet1!$F$4:$F$5</c:f>
              <c:numCache>
                <c:formatCode>General</c:formatCode>
                <c:ptCount val="2"/>
                <c:pt idx="0">
                  <c:v>477.27</c:v>
                </c:pt>
                <c:pt idx="1">
                  <c:v>606.63</c:v>
                </c:pt>
              </c:numCache>
            </c:numRef>
          </c:val>
        </c:ser>
        <c:dLbls>
          <c:showLegendKey val="0"/>
          <c:showVal val="1"/>
          <c:showCatName val="0"/>
          <c:showSerName val="0"/>
          <c:showPercent val="0"/>
          <c:showBubbleSize val="0"/>
        </c:dLbls>
        <c:gapWidth val="219"/>
        <c:overlap val="-27"/>
        <c:axId val="182596352"/>
        <c:axId val="182597888"/>
      </c:barChart>
      <c:catAx>
        <c:axId val="18259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2597888"/>
        <c:crosses val="autoZero"/>
        <c:auto val="1"/>
        <c:lblAlgn val="ctr"/>
        <c:lblOffset val="100"/>
        <c:noMultiLvlLbl val="0"/>
      </c:catAx>
      <c:valAx>
        <c:axId val="1825978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2596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杨陵区人民检察院支出分析图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Sheet1!$E$4:$E$5</c:f>
              <c:strCache>
                <c:ptCount val="2"/>
                <c:pt idx="0">
                  <c:v>2019年财政拨款支出</c:v>
                </c:pt>
                <c:pt idx="1">
                  <c:v>2019年其他资金支出</c:v>
                </c:pt>
              </c:strCache>
            </c:strRef>
          </c:cat>
          <c:val>
            <c:numRef>
              <c:f>Sheet1!$F$4:$F$5</c:f>
              <c:numCache>
                <c:formatCode>General</c:formatCode>
                <c:ptCount val="2"/>
                <c:pt idx="0">
                  <c:v>477.27</c:v>
                </c:pt>
                <c:pt idx="1">
                  <c:v>51.9</c:v>
                </c:pt>
              </c:numCache>
            </c:numRef>
          </c:val>
        </c:ser>
        <c:dLbls>
          <c:showLegendKey val="0"/>
          <c:showVal val="1"/>
          <c:showCatName val="0"/>
          <c:showSerName val="0"/>
          <c:showPercent val="0"/>
          <c:showBubbleSize val="0"/>
        </c:dLbls>
        <c:gapWidth val="219"/>
        <c:overlap val="-27"/>
        <c:axId val="182617984"/>
        <c:axId val="182619520"/>
      </c:barChart>
      <c:catAx>
        <c:axId val="18261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2619520"/>
        <c:crosses val="autoZero"/>
        <c:auto val="1"/>
        <c:lblAlgn val="ctr"/>
        <c:lblOffset val="100"/>
        <c:noMultiLvlLbl val="0"/>
      </c:catAx>
      <c:valAx>
        <c:axId val="1826195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261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5401C-EB7F-4ABF-9B70-3C54C14FD9B6}">
  <ds:schemaRefs/>
</ds:datastoreItem>
</file>

<file path=docProps/app.xml><?xml version="1.0" encoding="utf-8"?>
<Properties xmlns="http://schemas.openxmlformats.org/officeDocument/2006/extended-properties" xmlns:vt="http://schemas.openxmlformats.org/officeDocument/2006/docPropsVTypes">
  <Template>Normal</Template>
  <Pages>35</Pages>
  <Words>2142</Words>
  <Characters>12211</Characters>
  <Lines>101</Lines>
  <Paragraphs>28</Paragraphs>
  <TotalTime>4</TotalTime>
  <ScaleCrop>false</ScaleCrop>
  <LinksUpToDate>false</LinksUpToDate>
  <CharactersWithSpaces>14325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2020-10-17T07:20:00Z</dcterms:created>
  <dc:creator>Administrator</dc:creator>
  <cp:lastModifiedBy>Administrator</cp:lastModifiedBy>
  <cp:lastPrinted>2020-10-11T09:29:00Z</cp:lastPrinted>
  <dcterms:modified xsi:type="dcterms:W3CDTF">2020-11-04T06:43:49Z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