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杨陵区供销合作社2019年部门决算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黑体" w:eastAsia="黑体"/>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黑体" w:hAnsi="黑体" w:eastAsia="黑体"/>
          <w:sz w:val="32"/>
          <w:szCs w:val="32"/>
        </w:rPr>
      </w:pPr>
      <w:r>
        <w:rPr>
          <w:rFonts w:hint="eastAsia" w:ascii="楷体" w:hAnsi="楷体" w:eastAsia="楷体" w:cs="楷体"/>
          <w:b/>
          <w:bCs/>
          <w:color w:val="000000"/>
          <w:kern w:val="0"/>
          <w:sz w:val="32"/>
          <w:szCs w:val="32"/>
        </w:rPr>
        <w:t>（一）主要职责。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杨陵区供销合作社属事业法人，参照公务员管理。职能为农业农村和农民发展农业生产提供服务促进合作经济发展，贯彻党和国家有关农村供销合作组织发展的方针、政策，指导供销合作社的改革和农村供销综合服务体系建设管理和运营社有资产，监督本行业范围内的社会组织，指导农业产业化经营（相关社会服务）。</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区供销合作社设6个综合性岗位：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(一)主任：主持全面工作；主管党建、党风廉政建设和反腐败、人事、财务、资产、企业改革改制、招商引资等工作；完成区委、区政府及省供销总社交办的其他工作。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(二)副主任：协助主任做好分管工作。负责系统业务经营、安全生产、再生资源回收利用市场管理等工作；指导合作经济组织发展、行业协会建设；承担职工教育培训工作；完成领导交办的其他工作。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综合文秘工作岗位：做好机关党务政务的协调处理。具体负责文电、会务、机要、文书档案、印鉴管理等机关日常运转工作；制定机关各项制度并监督实施；承办信息、保密、信息公开、安全生产等工作；做好目标责任制考核等重要事项的组织、协调和督查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务管理工作岗位：具体负责组织供销社系统贯彻落实国家有关财务、会计、税务、信贷的法规、政策、制度；汇总、编制全区供销社系统会计有关报表；系统审计工作；机关的财务、资金、社有资产运营管理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(五)统计内勤工作岗位：具体负责系统商品流通的统计、汇总、编制、上报工作；机关后勤管理服务工作；完成领导交办的其他工作。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(六)综合业务工作岗位：协助做好农产品销售和农资、日用工业品购销；再生资源回收利用市场的管理；完成领导交办的其他工作。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纳入2019年本部门决算编制范围的单位共1个，为本级</w:t>
      </w:r>
      <w:r>
        <w:rPr>
          <w:rFonts w:ascii="仿宋_GB2312" w:hAnsi="仿宋_GB2312" w:eastAsia="仿宋_GB2312" w:cs="仿宋_GB2312"/>
          <w:color w:val="000000"/>
          <w:kern w:val="0"/>
          <w:sz w:val="31"/>
          <w:szCs w:val="31"/>
        </w:rPr>
        <w:t>预算</w:t>
      </w:r>
      <w:r>
        <w:rPr>
          <w:rFonts w:hint="eastAsia" w:ascii="仿宋_GB2312" w:hAnsi="仿宋_GB2312" w:eastAsia="仿宋_GB2312" w:cs="仿宋_GB2312"/>
          <w:sz w:val="32"/>
          <w:szCs w:val="32"/>
        </w:rPr>
        <w:t>单位，本单位没有二级预算单位：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dotted"/>
              </w:rPr>
              <w:t>杨陵区供销合作社</w:t>
            </w:r>
          </w:p>
        </w:tc>
      </w:tr>
    </w:tbl>
    <w:p>
      <w:pPr>
        <w:numPr>
          <w:ilvl w:val="0"/>
          <w:numId w:val="1"/>
        </w:numPr>
        <w:ind w:firstLine="640"/>
        <w:rPr>
          <w:rFonts w:ascii="黑体" w:hAnsi="黑体" w:eastAsia="黑体"/>
          <w:b/>
          <w:bCs/>
          <w:sz w:val="32"/>
          <w:szCs w:val="32"/>
        </w:rPr>
      </w:pPr>
      <w:r>
        <w:rPr>
          <w:rFonts w:hint="eastAsia" w:ascii="黑体" w:hAnsi="黑体" w:eastAsia="黑体"/>
          <w:b/>
          <w:bCs/>
          <w:sz w:val="32"/>
          <w:szCs w:val="32"/>
        </w:rPr>
        <w:t>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截止2019年底，本部门人员编制6人，其中行政编制0人、事业编制6人；实有人员6人，其中行政0人、事业6人。单位管理的离退休人员5人。</w:t>
      </w:r>
    </w:p>
    <w:p>
      <w:pPr>
        <w:widowControl/>
        <w:jc w:val="center"/>
        <w:rPr>
          <w:rFonts w:ascii="黑体" w:hAnsi="宋体" w:eastAsia="黑体"/>
          <w:color w:val="000000"/>
          <w:kern w:val="0"/>
          <w:sz w:val="44"/>
          <w:szCs w:val="44"/>
        </w:rPr>
      </w:pPr>
      <w:r>
        <w:drawing>
          <wp:inline distT="0" distB="0" distL="114300" distR="114300">
            <wp:extent cx="4907280" cy="3913505"/>
            <wp:effectExtent l="0" t="0" r="7620" b="1079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5"/>
                    <a:stretch>
                      <a:fillRect/>
                    </a:stretch>
                  </pic:blipFill>
                  <pic:spPr>
                    <a:xfrm>
                      <a:off x="0" y="0"/>
                      <a:ext cx="4907280" cy="3913505"/>
                    </a:xfrm>
                    <a:prstGeom prst="rect">
                      <a:avLst/>
                    </a:prstGeom>
                    <a:noFill/>
                    <a:ln>
                      <a:noFill/>
                    </a:ln>
                  </pic:spPr>
                </pic:pic>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本单位没有政府性基金</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74.9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138.77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179.42</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34.24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213.66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213.66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213.66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138.77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商业服务业等支出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商业流通事务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2160299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其他商业流通事务支出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107.64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74.9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74.9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74.9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74.9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74.9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74.9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74.9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74.9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74.9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商业服务业等支出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71.78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2160299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其他商业流通事务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71.78</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65.82</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5.96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65.82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20.55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6.65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 xml:space="preserve">         0.35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0.21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2019年收入213.66万元，上年为257.17万元，减少了20.36%，主要是2018年收入中有揉谷供销社改制资金拨款，2019年没有。</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2019年支出179.42万元，上年为203.17万元，减少了7.13%，主要是2018年收入中有揉谷供销社改制资金拨款，2019年没有。</w:t>
      </w:r>
    </w:p>
    <w:p>
      <w:pPr>
        <w:widowControl/>
        <w:jc w:val="center"/>
        <w:rPr>
          <w:rFonts w:ascii="仿宋_GB2312" w:hAnsi="仿宋" w:eastAsia="仿宋_GB2312"/>
          <w:sz w:val="32"/>
          <w:szCs w:val="32"/>
        </w:rPr>
      </w:pPr>
      <w:r>
        <w:drawing>
          <wp:inline distT="0" distB="0" distL="114300" distR="114300">
            <wp:extent cx="4983480" cy="2950845"/>
            <wp:effectExtent l="4445" t="4445" r="10795" b="1651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2019</w:t>
      </w:r>
      <w:r>
        <w:rPr>
          <w:rFonts w:ascii="仿宋_GB2312" w:hAnsi="宋体" w:eastAsia="仿宋_GB2312" w:cs="仿宋_GB2312"/>
          <w:kern w:val="0"/>
          <w:sz w:val="32"/>
          <w:szCs w:val="32"/>
        </w:rPr>
        <w:t>年收入合计</w:t>
      </w:r>
      <w:r>
        <w:rPr>
          <w:rFonts w:hint="eastAsia" w:ascii="仿宋_GB2312" w:hAnsi="宋体" w:eastAsia="仿宋_GB2312" w:cs="仿宋_GB2312"/>
          <w:kern w:val="0"/>
          <w:sz w:val="32"/>
          <w:szCs w:val="32"/>
        </w:rPr>
        <w:t>213.66</w:t>
      </w:r>
      <w:r>
        <w:rPr>
          <w:rFonts w:ascii="仿宋_GB2312" w:hAnsi="宋体" w:eastAsia="仿宋_GB2312" w:cs="仿宋_GB2312"/>
          <w:kern w:val="0"/>
          <w:sz w:val="32"/>
          <w:szCs w:val="32"/>
        </w:rPr>
        <w:t>万元，其中：财政拨款收入</w:t>
      </w:r>
      <w:r>
        <w:rPr>
          <w:rFonts w:hint="eastAsia" w:ascii="仿宋_GB2312" w:hAnsi="宋体" w:eastAsia="仿宋_GB2312" w:cs="仿宋_GB2312"/>
          <w:kern w:val="0"/>
          <w:sz w:val="32"/>
          <w:szCs w:val="32"/>
        </w:rPr>
        <w:t>74.90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35.05</w:t>
      </w:r>
      <w:r>
        <w:rPr>
          <w:rFonts w:ascii="仿宋_GB2312" w:hAnsi="宋体" w:eastAsia="仿宋_GB2312" w:cs="仿宋_GB2312"/>
          <w:kern w:val="0"/>
          <w:sz w:val="32"/>
          <w:szCs w:val="32"/>
        </w:rPr>
        <w:t>%；事业收入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%；经营收入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%；其他收入</w:t>
      </w:r>
      <w:r>
        <w:rPr>
          <w:rFonts w:hint="eastAsia" w:ascii="仿宋_GB2312" w:hAnsi="宋体" w:eastAsia="仿宋_GB2312" w:cs="仿宋_GB2312"/>
          <w:kern w:val="0"/>
          <w:sz w:val="32"/>
          <w:szCs w:val="32"/>
        </w:rPr>
        <w:t>138.77</w:t>
      </w:r>
      <w:r>
        <w:rPr>
          <w:rFonts w:ascii="仿宋_GB2312" w:hAnsi="宋体" w:eastAsia="仿宋_GB2312" w:cs="仿宋_GB2312"/>
          <w:kern w:val="0"/>
          <w:sz w:val="32"/>
          <w:szCs w:val="32"/>
        </w:rPr>
        <w:t>万元，占</w:t>
      </w:r>
      <w:r>
        <w:rPr>
          <w:rFonts w:hint="eastAsia" w:ascii="仿宋_GB2312" w:hAnsi="宋体" w:eastAsia="仿宋_GB2312" w:cs="仿宋_GB2312"/>
          <w:kern w:val="0"/>
          <w:sz w:val="32"/>
          <w:szCs w:val="32"/>
        </w:rPr>
        <w:t>64.95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widowControl/>
        <w:ind w:firstLine="420" w:firstLineChars="200"/>
        <w:jc w:val="center"/>
      </w:pPr>
      <w:r>
        <w:drawing>
          <wp:inline distT="0" distB="0" distL="114300" distR="114300">
            <wp:extent cx="5303520" cy="3785870"/>
            <wp:effectExtent l="0" t="0" r="11430" b="508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5303520" cy="3785870"/>
                    </a:xfrm>
                    <a:prstGeom prst="rect">
                      <a:avLst/>
                    </a:prstGeom>
                    <a:noFill/>
                    <a:ln>
                      <a:noFill/>
                    </a:ln>
                  </pic:spPr>
                </pic:pic>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179.42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71.78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40</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107.64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60</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drawing>
          <wp:inline distT="0" distB="0" distL="114300" distR="114300">
            <wp:extent cx="4876800" cy="4029710"/>
            <wp:effectExtent l="0" t="0" r="0" b="889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8"/>
                    <a:stretch>
                      <a:fillRect/>
                    </a:stretch>
                  </pic:blipFill>
                  <pic:spPr>
                    <a:xfrm>
                      <a:off x="0" y="0"/>
                      <a:ext cx="4876800" cy="4029710"/>
                    </a:xfrm>
                    <a:prstGeom prst="rect">
                      <a:avLst/>
                    </a:prstGeom>
                    <a:noFill/>
                    <a:ln>
                      <a:noFill/>
                    </a:ln>
                  </pic:spPr>
                </pic:pic>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收入74.9万元，上年为58.87万元，增加了16.03万元，增加27.23%，主要是农村电商经费拨款增加18万元。</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支出74.9万元，上年为58.87万元，增加了16.03万元，增加27.23%，主要是农村电商经费支出增加18万元。</w:t>
      </w:r>
    </w:p>
    <w:p>
      <w:pPr>
        <w:widowControl/>
        <w:jc w:val="left"/>
        <w:rPr>
          <w:rFonts w:ascii="仿宋_GB2312" w:hAnsi="仿宋" w:eastAsia="仿宋_GB2312"/>
          <w:sz w:val="32"/>
          <w:szCs w:val="32"/>
        </w:rPr>
      </w:pPr>
      <w:r>
        <w:drawing>
          <wp:inline distT="0" distB="0" distL="114300" distR="114300">
            <wp:extent cx="5610225" cy="3713480"/>
            <wp:effectExtent l="0" t="0" r="9525" b="127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9"/>
                    <a:stretch>
                      <a:fillRect/>
                    </a:stretch>
                  </pic:blipFill>
                  <pic:spPr>
                    <a:xfrm>
                      <a:off x="0" y="0"/>
                      <a:ext cx="5610225" cy="3713480"/>
                    </a:xfrm>
                    <a:prstGeom prst="rect">
                      <a:avLst/>
                    </a:prstGeom>
                    <a:noFill/>
                    <a:ln>
                      <a:noFill/>
                    </a:ln>
                  </pic:spPr>
                </pic:pic>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2019年财政拨款支出</w:t>
      </w:r>
      <w:r>
        <w:rPr>
          <w:rFonts w:hint="eastAsia" w:ascii="仿宋_GB2312" w:hAnsi="宋体" w:eastAsia="仿宋_GB2312" w:cs="仿宋_GB2312"/>
          <w:color w:val="000000"/>
          <w:kern w:val="0"/>
          <w:sz w:val="32"/>
          <w:szCs w:val="32"/>
        </w:rPr>
        <w:t>74.9</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16.03</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27.23</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w:t>
      </w:r>
      <w:r>
        <w:rPr>
          <w:rFonts w:hint="eastAsia" w:ascii="仿宋_GB2312" w:hAnsi="仿宋" w:eastAsia="仿宋_GB2312"/>
          <w:sz w:val="32"/>
          <w:szCs w:val="32"/>
        </w:rPr>
        <w:t>是农村电商经费拨款增加18万元</w:t>
      </w:r>
      <w:r>
        <w:rPr>
          <w:rFonts w:hint="eastAsia" w:ascii="仿宋_GB2312" w:hAnsi="宋体" w:eastAsia="仿宋_GB2312" w:cs="仿宋_GB2312"/>
          <w:color w:val="000000"/>
          <w:kern w:val="0"/>
          <w:sz w:val="32"/>
          <w:szCs w:val="32"/>
        </w:rPr>
        <w:t>。</w:t>
      </w:r>
    </w:p>
    <w:p>
      <w:pPr>
        <w:widowControl/>
        <w:jc w:val="left"/>
        <w:rPr>
          <w:rFonts w:ascii="仿宋_GB2312" w:hAnsi="宋体" w:eastAsia="仿宋_GB2312" w:cs="仿宋_GB2312"/>
          <w:color w:val="000000"/>
          <w:kern w:val="0"/>
          <w:sz w:val="32"/>
          <w:szCs w:val="32"/>
        </w:rPr>
      </w:pPr>
      <w:r>
        <w:drawing>
          <wp:inline distT="0" distB="0" distL="114300" distR="114300">
            <wp:extent cx="5612130" cy="3926840"/>
            <wp:effectExtent l="0" t="0" r="7620" b="1651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0"/>
                    <a:stretch>
                      <a:fillRect/>
                    </a:stretch>
                  </pic:blipFill>
                  <pic:spPr>
                    <a:xfrm>
                      <a:off x="0" y="0"/>
                      <a:ext cx="5612130" cy="3926840"/>
                    </a:xfrm>
                    <a:prstGeom prst="rect">
                      <a:avLst/>
                    </a:prstGeom>
                    <a:noFill/>
                    <a:ln>
                      <a:noFill/>
                    </a:ln>
                  </pic:spPr>
                </pic:pic>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65.4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74.9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114.53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bCs/>
          <w:color w:val="000000"/>
          <w:kern w:val="0"/>
          <w:sz w:val="32"/>
          <w:szCs w:val="32"/>
        </w:rPr>
        <w:t>2.</w:t>
      </w:r>
      <w:r>
        <w:rPr>
          <w:rFonts w:hint="eastAsia" w:ascii="仿宋_GB2312" w:hAnsi="宋体" w:eastAsia="仿宋_GB2312" w:cs="仿宋_GB2312"/>
          <w:b/>
          <w:bCs/>
          <w:color w:val="000000"/>
          <w:kern w:val="0"/>
          <w:sz w:val="32"/>
          <w:szCs w:val="32"/>
        </w:rPr>
        <w:t>商业服务业等支出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商业流通事务</w:t>
      </w:r>
      <w:r>
        <w:rPr>
          <w:rFonts w:ascii="仿宋_GB2312" w:hAnsi="宋体" w:eastAsia="仿宋_GB2312" w:cs="仿宋_GB2312"/>
          <w:b/>
          <w:color w:val="000000"/>
          <w:kern w:val="0"/>
          <w:sz w:val="32"/>
          <w:szCs w:val="32"/>
        </w:rPr>
        <w:t xml:space="preserve">（款）行政运行（项）。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65.4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71.78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109.76</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人员增加工资增加。</w:t>
      </w:r>
    </w:p>
    <w:p>
      <w:pPr>
        <w:widowControl/>
        <w:numPr>
          <w:ilvl w:val="0"/>
          <w:numId w:val="2"/>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商业服务业等支出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商业流通事务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其他商业流通事务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3.12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78%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小于预算数是给李台街道办划拨废旧物资管理资金8000多元。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71.78</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65.82</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5.96</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65.82</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22.78万元，津贴补贴20.55万元，奖金8.67万元，基本养老保险费6.65万元，住房公积金7.18万元，</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公用经费5.96万元，主要包括办公费0.26万元，维修维护费0.13万元，公务接待费0.21万元，工会经费1.08万元，其他交通费2.34万元。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1.46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0.21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14.38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减少1.25万元，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公务用车维护费决算为0。</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0.21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%。具体情况如下：</w:t>
      </w:r>
    </w:p>
    <w:p>
      <w:pPr>
        <w:widowControl/>
        <w:jc w:val="left"/>
        <w:rPr>
          <w:rFonts w:ascii="仿宋_GB2312" w:hAnsi="宋体" w:eastAsia="仿宋_GB2312" w:cs="仿宋_GB2312"/>
          <w:color w:val="000000"/>
          <w:kern w:val="0"/>
          <w:sz w:val="32"/>
          <w:szCs w:val="32"/>
        </w:rPr>
      </w:pPr>
      <w:r>
        <w:drawing>
          <wp:inline distT="0" distB="0" distL="114300" distR="114300">
            <wp:extent cx="5612130" cy="2973070"/>
            <wp:effectExtent l="0" t="0" r="7620" b="1778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1"/>
                    <a:stretch>
                      <a:fillRect/>
                    </a:stretch>
                  </pic:blipFill>
                  <pic:spPr>
                    <a:xfrm>
                      <a:off x="0" y="0"/>
                      <a:ext cx="5612130" cy="2973070"/>
                    </a:xfrm>
                    <a:prstGeom prst="rect">
                      <a:avLst/>
                    </a:prstGeom>
                    <a:noFill/>
                    <a:ln>
                      <a:noFill/>
                    </a:ln>
                  </pic:spPr>
                </pic:pic>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无出国人员费用。</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没有购买公务用车。</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无公务用车。</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5批次，45人次，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0.43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0.21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48.83%，决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减少0.22万元，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节约支出。</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无培训。</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0.50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0.50万元，</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增加0.5万元，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增加电商职能组织干部群众去西安参加电商会议。</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3.12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kern w:val="0"/>
          <w:sz w:val="31"/>
          <w:szCs w:val="31"/>
        </w:rPr>
        <w:t>组织对2019年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ind w:firstLine="620" w:firstLineChars="200"/>
        <w:rPr>
          <w:rFonts w:ascii="仿宋_GB2312" w:eastAsia="仿宋_GB2312"/>
          <w:sz w:val="32"/>
          <w:szCs w:val="32"/>
        </w:rPr>
      </w:pPr>
      <w:r>
        <w:rPr>
          <w:rFonts w:hint="eastAsia" w:ascii="仿宋_GB2312" w:hAnsi="仿宋_GB2312" w:eastAsia="仿宋_GB2312" w:cs="仿宋_GB2312"/>
          <w:color w:val="000000"/>
          <w:kern w:val="0"/>
          <w:sz w:val="31"/>
          <w:szCs w:val="31"/>
        </w:rPr>
        <w:t>1、废旧物资管理</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3</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lang w:val="en-US" w:eastAsia="zh-CN"/>
        </w:rPr>
        <w:t>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70</w:t>
      </w:r>
      <w:r>
        <w:rPr>
          <w:rFonts w:ascii="仿宋_GB2312" w:hAnsi="仿宋_GB2312" w:eastAsia="仿宋_GB2312" w:cs="仿宋_GB2312"/>
          <w:color w:val="000000"/>
          <w:kern w:val="0"/>
          <w:sz w:val="31"/>
          <w:szCs w:val="31"/>
        </w:rPr>
        <w:t>%。</w:t>
      </w:r>
      <w:r>
        <w:rPr>
          <w:rFonts w:hint="eastAsia" w:ascii="仿宋_GB2312" w:eastAsia="仿宋_GB2312"/>
          <w:sz w:val="32"/>
          <w:szCs w:val="32"/>
        </w:rPr>
        <w:t>对杨陵区59个废品收购站进行管理检查。每月对收购站点进行检查，并进行病媒生物消杀工作，进行科普知识宣传。1、检查租车费每月400元*12月=4800元；2、病媒生物消杀每次2500元每年两次5000元；3、废旧物资管理宣传费培训费4000元；取缔废品站劳务费6200元，每年回收废旧物资5000万元。</w:t>
      </w:r>
      <w:bookmarkStart w:id="0" w:name="_GoBack"/>
      <w:bookmarkEnd w:id="0"/>
    </w:p>
    <w:p>
      <w:pPr>
        <w:widowControl/>
        <w:ind w:firstLine="640" w:firstLineChars="200"/>
        <w:jc w:val="left"/>
      </w:pPr>
      <w:r>
        <w:rPr>
          <w:rFonts w:hint="eastAsia" w:ascii="楷体" w:hAnsi="楷体" w:eastAsia="楷体" w:cs="楷体"/>
          <w:sz w:val="32"/>
          <w:szCs w:val="32"/>
        </w:rPr>
        <w:object>
          <v:shape id="_x0000_i1025" o:spt="75" type="#_x0000_t75" style="height:612.75pt;width:464.25pt;" o:ole="t" filled="f" o:preferrelative="t" stroked="f" coordsize="21600,21600">
            <v:path/>
            <v:fill on="f" focussize="0,0"/>
            <v:stroke on="f" joinstyle="miter"/>
            <v:imagedata r:id="rId13" o:title=""/>
            <o:lock v:ext="edit" aspectratio="t"/>
            <w10:wrap type="none"/>
            <w10:anchorlock/>
          </v:shape>
          <o:OLEObject Type="Embed" ProgID="Excel.Sheet.8" ShapeID="_x0000_i1025" DrawAspect="Content" ObjectID="_1468075725" r:id="rId12">
            <o:LockedField>false</o:LockedField>
          </o:OLEObject>
        </w:object>
      </w:r>
    </w:p>
    <w:p>
      <w:pPr>
        <w:ind w:firstLine="620" w:firstLineChars="200"/>
        <w:rPr>
          <w:rFonts w:ascii="仿宋_GB2312" w:eastAsia="仿宋_GB2312"/>
          <w:sz w:val="32"/>
          <w:szCs w:val="32"/>
        </w:rPr>
      </w:pPr>
      <w:r>
        <w:rPr>
          <w:rFonts w:hint="eastAsia" w:ascii="仿宋_GB2312" w:hAnsi="仿宋_GB2312" w:eastAsia="仿宋_GB2312" w:cs="仿宋_GB2312"/>
          <w:color w:val="000000"/>
          <w:kern w:val="0"/>
          <w:sz w:val="31"/>
          <w:szCs w:val="31"/>
        </w:rPr>
        <w:t>2、资产管理项目</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r>
        <w:rPr>
          <w:rFonts w:hint="eastAsia" w:ascii="仿宋_GB2312" w:eastAsia="仿宋_GB2312"/>
          <w:sz w:val="32"/>
          <w:szCs w:val="32"/>
        </w:rPr>
        <w:t>对杨陵区供销合作社社有资产保值增值进行管理，特别是国贸超市、杨陵饮食市场供销社房屋出租管理，确保租金按时收回，创造净利润40万元上交国资局。</w:t>
      </w:r>
    </w:p>
    <w:p>
      <w:pPr>
        <w:widowControl/>
        <w:ind w:firstLine="640" w:firstLineChars="200"/>
        <w:jc w:val="left"/>
      </w:pPr>
      <w:r>
        <w:rPr>
          <w:rFonts w:hint="eastAsia" w:ascii="楷体" w:hAnsi="楷体" w:eastAsia="楷体" w:cs="楷体"/>
          <w:sz w:val="32"/>
          <w:szCs w:val="32"/>
        </w:rPr>
        <w:object>
          <v:shape id="_x0000_i1026" o:spt="75" type="#_x0000_t75" style="height:612.75pt;width:465pt;" o:ole="t" filled="f" o:preferrelative="t" stroked="f" coordsize="21600,21600">
            <v:path/>
            <v:fill on="f" focussize="0,0"/>
            <v:stroke on="f" joinstyle="miter"/>
            <v:imagedata r:id="rId15" o:title=""/>
            <o:lock v:ext="edit" aspectratio="t"/>
            <w10:wrap type="none"/>
            <w10:anchorlock/>
          </v:shape>
          <o:OLEObject Type="Embed" ProgID="Excel.Sheet.8" ShapeID="_x0000_i1026" DrawAspect="Content" ObjectID="_1468075726" r:id="rId14">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11.75pt;width:633.75pt;" o:ole="t" filled="f" o:preferrelative="t" stroked="f" coordsize="21600,21600">
            <v:path/>
            <v:fill on="f" focussize="0,0"/>
            <v:stroke on="f" joinstyle="miter"/>
            <v:imagedata r:id="rId17" o:title=""/>
            <o:lock v:ext="edit" aspectratio="t"/>
            <w10:wrap type="none"/>
            <w10:anchorlock/>
          </v:shape>
          <o:OLEObject Type="Embed" ProgID="Excel.Sheet.8" ShapeID="_x0000_i1027" DrawAspect="Content" ObjectID="_1468075727" r:id="rId16">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292.5pt;width:449.25pt;" o:ole="t" filled="f" o:preferrelative="t" stroked="f" coordsize="21600,21600">
            <v:path/>
            <v:fill on="f" focussize="0,0"/>
            <v:stroke on="f" joinstyle="miter"/>
            <v:imagedata r:id="rId19" o:title=""/>
            <o:lock v:ext="edit" aspectratio="t"/>
            <w10:wrap type="none"/>
            <w10:anchorlock/>
          </v:shape>
          <o:OLEObject Type="Embed" ProgID="Excel.Sheet.8" ShapeID="_x0000_i1028" DrawAspect="Content" ObjectID="_1468075728" r:id="rId18">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40.5pt;width:595.5pt;" o:ole="t" filled="f" o:preferrelative="t" stroked="f" coordsize="21600,21600">
            <v:path/>
            <v:fill on="f" focussize="0,0"/>
            <v:stroke on="f" joinstyle="miter"/>
            <v:imagedata r:id="rId21" o:title=""/>
            <o:lock v:ext="edit" aspectratio="t"/>
            <w10:wrap type="none"/>
            <w10:anchorlock/>
          </v:shape>
          <o:OLEObject Type="Embed" ProgID="Excel.Sheet.8" ShapeID="_x0000_i1029" DrawAspect="Content" ObjectID="_1468075729" r:id="rId20">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5.96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增加3.56万元，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工会经费和其他交通费。</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示例：2019年本部门政府采购支出总额共0万元，其中政府采购货物类支出0万元、政府采购服务类支出0万元、政府采购工程类支出0万元。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（如不涉及，文字说明“本部门201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EC9B"/>
    <w:multiLevelType w:val="singleLevel"/>
    <w:tmpl w:val="4008EC9B"/>
    <w:lvl w:ilvl="0" w:tentative="0">
      <w:start w:val="3"/>
      <w:numFmt w:val="chineseCounting"/>
      <w:suff w:val="nothing"/>
      <w:lvlText w:val="%1、"/>
      <w:lvlJc w:val="left"/>
      <w:rPr>
        <w:rFonts w:hint="eastAsia"/>
      </w:rPr>
    </w:lvl>
  </w:abstractNum>
  <w:abstractNum w:abstractNumId="1">
    <w:nsid w:val="79484871"/>
    <w:multiLevelType w:val="singleLevel"/>
    <w:tmpl w:val="7948487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1AA6038"/>
    <w:rsid w:val="00050E89"/>
    <w:rsid w:val="000F6649"/>
    <w:rsid w:val="001279D8"/>
    <w:rsid w:val="00146787"/>
    <w:rsid w:val="00164001"/>
    <w:rsid w:val="0019669F"/>
    <w:rsid w:val="001D7568"/>
    <w:rsid w:val="002424C8"/>
    <w:rsid w:val="002525E0"/>
    <w:rsid w:val="002A7893"/>
    <w:rsid w:val="003364E9"/>
    <w:rsid w:val="00416D07"/>
    <w:rsid w:val="00424CA3"/>
    <w:rsid w:val="00452E2E"/>
    <w:rsid w:val="004B6D6E"/>
    <w:rsid w:val="00525769"/>
    <w:rsid w:val="00562D3B"/>
    <w:rsid w:val="005E21D5"/>
    <w:rsid w:val="00620985"/>
    <w:rsid w:val="00705C32"/>
    <w:rsid w:val="00742BCC"/>
    <w:rsid w:val="00813F4A"/>
    <w:rsid w:val="0089099D"/>
    <w:rsid w:val="00990517"/>
    <w:rsid w:val="009925F1"/>
    <w:rsid w:val="009A7D2B"/>
    <w:rsid w:val="009D263F"/>
    <w:rsid w:val="00A47D22"/>
    <w:rsid w:val="00AA539C"/>
    <w:rsid w:val="00AD22CC"/>
    <w:rsid w:val="00B47544"/>
    <w:rsid w:val="00B80654"/>
    <w:rsid w:val="00BA4763"/>
    <w:rsid w:val="00BB1591"/>
    <w:rsid w:val="00D005D2"/>
    <w:rsid w:val="00D71FB6"/>
    <w:rsid w:val="00DC4F7C"/>
    <w:rsid w:val="00DE4470"/>
    <w:rsid w:val="00E71465"/>
    <w:rsid w:val="00E8111E"/>
    <w:rsid w:val="00F07148"/>
    <w:rsid w:val="00FC6EB6"/>
    <w:rsid w:val="013B79AC"/>
    <w:rsid w:val="022078C2"/>
    <w:rsid w:val="09A54EEB"/>
    <w:rsid w:val="0B7637D9"/>
    <w:rsid w:val="0E2620CA"/>
    <w:rsid w:val="10F66B9D"/>
    <w:rsid w:val="11D12967"/>
    <w:rsid w:val="125E2600"/>
    <w:rsid w:val="12B33B1F"/>
    <w:rsid w:val="132E46A0"/>
    <w:rsid w:val="14154ADC"/>
    <w:rsid w:val="14411117"/>
    <w:rsid w:val="1586116E"/>
    <w:rsid w:val="159819EA"/>
    <w:rsid w:val="18134D35"/>
    <w:rsid w:val="18BB4AD7"/>
    <w:rsid w:val="1B4A3FDA"/>
    <w:rsid w:val="1B524C98"/>
    <w:rsid w:val="1C5E2F73"/>
    <w:rsid w:val="1D6E0C0D"/>
    <w:rsid w:val="209E2FE2"/>
    <w:rsid w:val="21075967"/>
    <w:rsid w:val="221C15BB"/>
    <w:rsid w:val="22311521"/>
    <w:rsid w:val="26EA0542"/>
    <w:rsid w:val="29785A6B"/>
    <w:rsid w:val="297C5693"/>
    <w:rsid w:val="2D1F3974"/>
    <w:rsid w:val="2D2B1300"/>
    <w:rsid w:val="2D471574"/>
    <w:rsid w:val="2DB52EF2"/>
    <w:rsid w:val="2FEC53D2"/>
    <w:rsid w:val="31AA6038"/>
    <w:rsid w:val="31BF3233"/>
    <w:rsid w:val="31E77AD1"/>
    <w:rsid w:val="32B075BC"/>
    <w:rsid w:val="33887EE3"/>
    <w:rsid w:val="34677C61"/>
    <w:rsid w:val="35EA4A07"/>
    <w:rsid w:val="3AC00D8E"/>
    <w:rsid w:val="3B121AD1"/>
    <w:rsid w:val="3CFD0D2E"/>
    <w:rsid w:val="3DE6529E"/>
    <w:rsid w:val="3EEA0431"/>
    <w:rsid w:val="41603979"/>
    <w:rsid w:val="41CF436B"/>
    <w:rsid w:val="4619368A"/>
    <w:rsid w:val="46BA33BB"/>
    <w:rsid w:val="471F2499"/>
    <w:rsid w:val="4D6E0FDF"/>
    <w:rsid w:val="4EE4307A"/>
    <w:rsid w:val="5153143F"/>
    <w:rsid w:val="54F12DEE"/>
    <w:rsid w:val="56950179"/>
    <w:rsid w:val="5A2C41F0"/>
    <w:rsid w:val="5B3A21B5"/>
    <w:rsid w:val="5B8D564A"/>
    <w:rsid w:val="5BAC1CF5"/>
    <w:rsid w:val="5FAD3E1E"/>
    <w:rsid w:val="63A37A59"/>
    <w:rsid w:val="65074FBA"/>
    <w:rsid w:val="69512523"/>
    <w:rsid w:val="71086DB5"/>
    <w:rsid w:val="74A83951"/>
    <w:rsid w:val="75C31473"/>
    <w:rsid w:val="7C3E5E46"/>
    <w:rsid w:val="7C5B5A63"/>
    <w:rsid w:val="7EE75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oleObject" Target="embeddings/oleObject4.bin"/><Relationship Id="rId17" Type="http://schemas.openxmlformats.org/officeDocument/2006/relationships/image" Target="media/image9.emf"/><Relationship Id="rId16" Type="http://schemas.openxmlformats.org/officeDocument/2006/relationships/oleObject" Target="embeddings/oleObject3.bin"/><Relationship Id="rId15" Type="http://schemas.openxmlformats.org/officeDocument/2006/relationships/image" Target="media/image8.emf"/><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YLCOOP-othe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收支构成图</a:t>
            </a:r>
          </a:p>
        </c:rich>
      </c:tx>
      <c:layout/>
      <c:overlay val="0"/>
      <c:spPr>
        <a:noFill/>
        <a:ln>
          <a:noFill/>
        </a:ln>
        <a:effectLst/>
      </c:spPr>
    </c:title>
    <c:autoTitleDeleted val="0"/>
    <c:plotArea>
      <c:layout/>
      <c:barChart>
        <c:barDir val="col"/>
        <c:grouping val="clustered"/>
        <c:varyColors val="0"/>
        <c:ser>
          <c:idx val="0"/>
          <c:order val="0"/>
          <c:tx>
            <c:strRef>
              <c:f>'[新建 Microsoft Excel 工作表.xlsx]Sheet7'!$A$2</c:f>
              <c:strCache>
                <c:ptCount val="1"/>
                <c:pt idx="0">
                  <c:v>收入</c:v>
                </c:pt>
              </c:strCache>
            </c:strRef>
          </c:tx>
          <c:spPr>
            <a:solidFill>
              <a:schemeClr val="accent1"/>
            </a:solidFill>
            <a:ln>
              <a:noFill/>
            </a:ln>
            <a:effectLst/>
          </c:spPr>
          <c:invertIfNegative val="0"/>
          <c:dLbls>
            <c:dLbl>
              <c:idx val="0"/>
              <c:layout>
                <c:manualLayout>
                  <c:x val="0.00195718654434251"/>
                  <c:y val="0.0083643122676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sz="1000"/>
                      <a:t>收入</a:t>
                    </a:r>
                    <a:endParaRPr altLang="en-US" sz="1000"/>
                  </a:p>
                  <a:p>
                    <a:pPr>
                      <a:defRPr lang="zh-CN" sz="1000" b="0" i="0" u="none" strike="noStrike" kern="1200" baseline="0">
                        <a:solidFill>
                          <a:schemeClr val="tx1">
                            <a:lumMod val="75000"/>
                            <a:lumOff val="25000"/>
                          </a:schemeClr>
                        </a:solidFill>
                        <a:latin typeface="+mn-lt"/>
                        <a:ea typeface="+mn-ea"/>
                        <a:cs typeface="+mn-cs"/>
                      </a:defRPr>
                    </a:pPr>
                    <a:r>
                      <a:rPr sz="1000"/>
                      <a:t>213.66万元</a:t>
                    </a:r>
                    <a:endParaRPr sz="100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74006116207949"/>
                  <c:y val="0.016343850490556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sz="1000"/>
                      <a:t>收入</a:t>
                    </a:r>
                    <a:endParaRPr altLang="en-US" sz="1000"/>
                  </a:p>
                  <a:p>
                    <a:pPr>
                      <a:defRPr lang="zh-CN" sz="1000" b="0" i="0" u="none" strike="noStrike" kern="1200" baseline="0">
                        <a:solidFill>
                          <a:schemeClr val="tx1">
                            <a:lumMod val="75000"/>
                            <a:lumOff val="25000"/>
                          </a:schemeClr>
                        </a:solidFill>
                        <a:latin typeface="+mn-lt"/>
                        <a:ea typeface="+mn-ea"/>
                        <a:cs typeface="+mn-cs"/>
                      </a:defRPr>
                    </a:pPr>
                    <a:r>
                      <a:rPr sz="1000"/>
                      <a:t>257.17万元</a:t>
                    </a:r>
                    <a:endParaRPr sz="100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工作表.xlsx]Sheet7'!$B$1:$C$1</c:f>
              <c:strCache>
                <c:ptCount val="2"/>
                <c:pt idx="0">
                  <c:v>2019年</c:v>
                </c:pt>
                <c:pt idx="1">
                  <c:v>2018年</c:v>
                </c:pt>
              </c:strCache>
            </c:strRef>
          </c:cat>
          <c:val>
            <c:numRef>
              <c:f>'[新建 Microsoft Excel 工作表.xlsx]Sheet7'!$B$2:$C$2</c:f>
              <c:numCache>
                <c:formatCode>General</c:formatCode>
                <c:ptCount val="2"/>
                <c:pt idx="0">
                  <c:v>213.66</c:v>
                </c:pt>
                <c:pt idx="1">
                  <c:v>257.17</c:v>
                </c:pt>
              </c:numCache>
            </c:numRef>
          </c:val>
        </c:ser>
        <c:ser>
          <c:idx val="1"/>
          <c:order val="1"/>
          <c:tx>
            <c:strRef>
              <c:f>'[新建 Microsoft Excel 工作表.xlsx]Sheet7'!$A$3</c:f>
              <c:strCache>
                <c:ptCount val="1"/>
                <c:pt idx="0">
                  <c:v>支出</c:v>
                </c:pt>
              </c:strCache>
            </c:strRef>
          </c:tx>
          <c:spPr>
            <a:solidFill>
              <a:schemeClr val="accent2"/>
            </a:solidFill>
            <a:ln>
              <a:noFill/>
            </a:ln>
            <a:effectLst/>
          </c:spPr>
          <c:invertIfNegative val="0"/>
          <c:dLbls>
            <c:dLbl>
              <c:idx val="0"/>
              <c:layout>
                <c:manualLayout>
                  <c:x val="0.00720183486238532"/>
                  <c:y val="0.0087490863124172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sz="1000"/>
                      <a:t>支出</a:t>
                    </a:r>
                    <a:endParaRPr altLang="en-US" sz="1000"/>
                  </a:p>
                  <a:p>
                    <a:pPr>
                      <a:defRPr lang="zh-CN" sz="1000" b="0" i="0" u="none" strike="noStrike" kern="1200" baseline="0">
                        <a:solidFill>
                          <a:schemeClr val="tx1">
                            <a:lumMod val="75000"/>
                            <a:lumOff val="25000"/>
                          </a:schemeClr>
                        </a:solidFill>
                        <a:latin typeface="+mn-lt"/>
                        <a:ea typeface="+mn-ea"/>
                        <a:cs typeface="+mn-cs"/>
                      </a:defRPr>
                    </a:pPr>
                    <a:r>
                      <a:rPr sz="1000"/>
                      <a:t>179.42万元</a:t>
                    </a:r>
                    <a:endParaRPr sz="100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1804281345565"/>
                  <c:y val="0.0085566992900376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sz="1000"/>
                      <a:t>支出</a:t>
                    </a:r>
                    <a:endParaRPr altLang="en-US" sz="1000"/>
                  </a:p>
                  <a:p>
                    <a:pPr>
                      <a:defRPr lang="zh-CN" sz="1000" b="0" i="0" u="none" strike="noStrike" kern="1200" baseline="0">
                        <a:solidFill>
                          <a:schemeClr val="tx1">
                            <a:lumMod val="75000"/>
                            <a:lumOff val="25000"/>
                          </a:schemeClr>
                        </a:solidFill>
                        <a:latin typeface="+mn-lt"/>
                        <a:ea typeface="+mn-ea"/>
                        <a:cs typeface="+mn-cs"/>
                      </a:defRPr>
                    </a:pPr>
                    <a:r>
                      <a:rPr sz="1000"/>
                      <a:t>203.17万元</a:t>
                    </a:r>
                    <a:endParaRPr sz="100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工作表.xlsx]Sheet7'!$B$1:$C$1</c:f>
              <c:strCache>
                <c:ptCount val="2"/>
                <c:pt idx="0">
                  <c:v>2019年</c:v>
                </c:pt>
                <c:pt idx="1">
                  <c:v>2018年</c:v>
                </c:pt>
              </c:strCache>
            </c:strRef>
          </c:cat>
          <c:val>
            <c:numRef>
              <c:f>'[新建 Microsoft Excel 工作表.xlsx]Sheet7'!$B$3:$C$3</c:f>
              <c:numCache>
                <c:formatCode>General</c:formatCode>
                <c:ptCount val="2"/>
                <c:pt idx="0">
                  <c:v>179.42</c:v>
                </c:pt>
                <c:pt idx="1">
                  <c:v>203.17</c:v>
                </c:pt>
              </c:numCache>
            </c:numRef>
          </c:val>
        </c:ser>
        <c:dLbls>
          <c:showLegendKey val="0"/>
          <c:showVal val="1"/>
          <c:showCatName val="0"/>
          <c:showSerName val="0"/>
          <c:showPercent val="0"/>
          <c:showBubbleSize val="0"/>
        </c:dLbls>
        <c:gapWidth val="219"/>
        <c:overlap val="-27"/>
        <c:axId val="176539904"/>
        <c:axId val="123084800"/>
      </c:barChart>
      <c:catAx>
        <c:axId val="176539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23084800"/>
        <c:crosses val="autoZero"/>
        <c:auto val="1"/>
        <c:lblAlgn val="ctr"/>
        <c:lblOffset val="100"/>
        <c:noMultiLvlLbl val="0"/>
      </c:catAx>
      <c:valAx>
        <c:axId val="12308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5399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68019-D79E-4149-8C0A-A63F278C22B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6284</Words>
  <Characters>3479</Characters>
  <Lines>28</Lines>
  <Paragraphs>19</Paragraphs>
  <TotalTime>38</TotalTime>
  <ScaleCrop>false</ScaleCrop>
  <LinksUpToDate>false</LinksUpToDate>
  <CharactersWithSpaces>9744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2020-10-24T06:43:00Z</dcterms:created>
  <dc:creator>Administrator</dc:creator>
  <cp:lastModifiedBy>gkg</cp:lastModifiedBy>
  <cp:lastPrinted>2020-07-28T02:12:00Z</cp:lastPrinted>
  <dcterms:modified xsi:type="dcterms:W3CDTF">2020-10-24T07:42:08Z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