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lang w:eastAsia="zh-CN"/>
        </w:rPr>
        <w:t>中国共产主义青年团杨陵区委员会</w:t>
      </w: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（一）主要职责</w:t>
      </w:r>
      <w:r>
        <w:rPr>
          <w:rFonts w:hint="eastAsia" w:ascii="仿宋_GB2312" w:hAnsi="仿宋_GB2312" w:eastAsia="仿宋_GB2312" w:cs="仿宋_GB2312"/>
          <w:sz w:val="32"/>
          <w:szCs w:val="32"/>
          <w:lang w:eastAsia="zh-CN"/>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主义青年团杨陵区委员会是杨陵区共青团组织的领导机关，主要职责有：贯彻执行党的路线、方针、政策，制定全区共青团工作计划并组织实施；领导全区共青团工作；领导全区少先队工作，负责区少先队工作委员会日常性工作；参与制定全区青少年事业发展规划和青少年工作措施办法，指导全区青少年的思想理论教育、宣传文化活动；组织和带领全区团员青年在经济建设中发挥生力军和突击队作用；负责全区团的组织建设，协助党组织管理、选拔和培训团的干部：培养、选拔、表彰并推荐优秀青年；调查青年思想动态和青年工作情况，研究青少年运动、青少年工作理论、青少年思想教育和青少年事业发展等工作，提出相应对策，为区委、区政府提供决策依据；负责全区青年统战工作，负责全区青少年外事和区内外青少年友好交流工作；负责承担区志愿服务西部计划领导小组办公室日常性工作；负责维护和代表青少年的合法权益，会同有关部门做好未成年人保护工作和预防青少年违法犯罪工作；负责指导组织青少年事业发展工作，募集青少年事业发展经费，承担实施全区共青团系统“希望工程”的有关工作；完成区委、区政府及上级团组织交办的其他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本部门无内设机构。</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本单位无下属</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中国共产主义青年团杨陵区委员会（本级）</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事业</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pPr>
        <w:ind w:firstLine="640"/>
        <w:rPr>
          <w:rFonts w:hint="eastAsia" w:ascii="仿宋_GB2312" w:hAnsi="仿宋_GB2312" w:eastAsia="仿宋_GB2312" w:cs="仿宋_GB2312"/>
          <w:sz w:val="32"/>
          <w:szCs w:val="32"/>
        </w:rPr>
      </w:pPr>
    </w:p>
    <w:p>
      <w:pPr>
        <w:ind w:left="0" w:leftChars="0" w:firstLine="22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774565" cy="2647950"/>
            <wp:effectExtent l="4445" t="4445" r="2159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sz w:val="24"/>
              </w:rPr>
            </w:pPr>
            <w:r>
              <w:rPr>
                <w:rFonts w:hint="eastAsia" w:ascii="宋体" w:hAnsi="宋体" w:cs="宋体"/>
                <w:color w:val="000000"/>
                <w:kern w:val="0"/>
                <w:sz w:val="24"/>
                <w:lang w:bidi="ar"/>
              </w:rPr>
              <w:t>政府性基金预算财政拨款收入支出决算表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本年度无</w:t>
            </w:r>
            <w:r>
              <w:rPr>
                <w:rFonts w:hint="eastAsia" w:ascii="宋体" w:hAnsi="宋体" w:cs="宋体"/>
                <w:color w:val="000000"/>
                <w:kern w:val="0"/>
                <w:sz w:val="24"/>
                <w:lang w:bidi="ar"/>
              </w:rPr>
              <w:t>政府性基金预算财政拨款收入支出</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244"/>
        <w:gridCol w:w="1172"/>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73.45</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114.91</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61.17</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0.11</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0.79</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134.62</w:t>
            </w:r>
          </w:p>
        </w:tc>
        <w:tc>
          <w:tcPr>
            <w:tcW w:w="324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172" w:type="dxa"/>
            <w:tcBorders>
              <w:top w:val="single" w:color="000000" w:sz="4" w:space="0"/>
              <w:left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color w:val="000000"/>
                <w:szCs w:val="21"/>
                <w:lang w:val="en-US" w:eastAsia="zh-CN"/>
              </w:rPr>
              <w:t>127.80</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172" w:type="dxa"/>
            <w:tcBorders>
              <w:top w:val="single" w:color="000000" w:sz="4" w:space="0"/>
              <w:left w:val="single" w:color="000000" w:sz="4" w:space="0"/>
              <w:bottom w:val="single" w:color="000000" w:sz="4" w:space="0"/>
              <w:right w:val="single" w:color="000000" w:sz="4" w:space="0"/>
            </w:tcBorders>
            <w:vAlign w:val="bottom"/>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38.21</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45.03</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172.84</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172.84</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sectPr>
          <w:footerReference r:id="rId3" w:type="default"/>
          <w:pgSz w:w="11906" w:h="16838"/>
          <w:pgMar w:top="1785" w:right="1588" w:bottom="2098" w:left="1474" w:header="851" w:footer="992" w:gutter="0"/>
          <w:cols w:space="0" w:num="1"/>
          <w:docGrid w:type="lines" w:linePitch="315" w:charSpace="0"/>
        </w:sectPr>
      </w:pPr>
    </w:p>
    <w:p>
      <w:pPr>
        <w:ind w:left="-420" w:leftChars="-200" w:firstLine="0" w:firstLineChars="0"/>
        <w:jc w:val="center"/>
        <w:rPr>
          <w:rFonts w:hint="eastAsia" w:ascii="宋体" w:hAnsi="宋体" w:cs="宋体"/>
          <w:b/>
          <w:bCs/>
          <w:sz w:val="32"/>
          <w:szCs w:val="32"/>
        </w:rPr>
      </w:pPr>
    </w:p>
    <w:p>
      <w:pPr>
        <w:ind w:left="-617" w:leftChars="-294" w:firstLine="0" w:firstLineChars="0"/>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8"/>
        <w:tblW w:w="9452" w:type="dxa"/>
        <w:tblInd w:w="-709" w:type="dxa"/>
        <w:tblLayout w:type="fixed"/>
        <w:tblCellMar>
          <w:top w:w="15" w:type="dxa"/>
          <w:left w:w="15" w:type="dxa"/>
          <w:bottom w:w="15" w:type="dxa"/>
          <w:right w:w="15" w:type="dxa"/>
        </w:tblCellMar>
      </w:tblPr>
      <w:tblGrid>
        <w:gridCol w:w="915"/>
        <w:gridCol w:w="1515"/>
        <w:gridCol w:w="975"/>
        <w:gridCol w:w="915"/>
        <w:gridCol w:w="765"/>
        <w:gridCol w:w="677"/>
        <w:gridCol w:w="1365"/>
        <w:gridCol w:w="720"/>
        <w:gridCol w:w="750"/>
        <w:gridCol w:w="855"/>
      </w:tblGrid>
      <w:tr>
        <w:tblPrEx>
          <w:tblCellMar>
            <w:top w:w="15" w:type="dxa"/>
            <w:left w:w="15" w:type="dxa"/>
            <w:bottom w:w="15" w:type="dxa"/>
            <w:right w:w="15" w:type="dxa"/>
          </w:tblCellMar>
        </w:tblPrEx>
        <w:trPr>
          <w:trHeight w:val="471" w:hRule="atLeast"/>
        </w:trPr>
        <w:tc>
          <w:tcPr>
            <w:tcW w:w="24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0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45" w:hRule="atLeast"/>
        </w:trPr>
        <w:tc>
          <w:tcPr>
            <w:tcW w:w="91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1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3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ind w:firstLine="843" w:firstLineChars="4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71" w:hRule="atLeast"/>
        </w:trPr>
        <w:tc>
          <w:tcPr>
            <w:tcW w:w="24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134.62</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73.45</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eastAsia" w:ascii="Arial" w:hAnsi="Arial" w:cs="Arial"/>
                <w:i w:val="0"/>
                <w:color w:val="000000"/>
                <w:kern w:val="0"/>
                <w:sz w:val="20"/>
                <w:szCs w:val="20"/>
                <w:u w:val="none"/>
                <w:lang w:val="en-US" w:eastAsia="zh-CN" w:bidi="ar"/>
              </w:rPr>
              <w:t>61.17</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一般公共服务支出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121.73</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73.45</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48.28</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20129</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群众团体事务</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120.73</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73.45</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47.28</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2012901</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行政运行</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39.61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39.61</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2012999</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其他群众团体事务支出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81.12</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33.84</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47.28</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20133</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宣传事务</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1.00</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2013399</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其他宣传事务支出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1.00</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207</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文化旅游体育与传媒支出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20701</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文化和旅游</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2070199</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其他文化和旅游支出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208</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社会保障和就业支出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20807</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就业补助</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2080799</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其他就业补助支出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农林水支出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农业</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r>
      <w:tr>
        <w:tblPrEx>
          <w:tblCellMar>
            <w:top w:w="15" w:type="dxa"/>
            <w:left w:w="15" w:type="dxa"/>
            <w:bottom w:w="15" w:type="dxa"/>
            <w:right w:w="15" w:type="dxa"/>
          </w:tblCellMar>
        </w:tblPrEx>
        <w:trPr>
          <w:trHeight w:val="510" w:hRule="exact"/>
        </w:trPr>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2130199</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其他农业支出</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8"/>
        <w:tblW w:w="8937" w:type="dxa"/>
        <w:tblInd w:w="0" w:type="dxa"/>
        <w:tblLayout w:type="fixed"/>
        <w:tblCellMar>
          <w:top w:w="15" w:type="dxa"/>
          <w:left w:w="15" w:type="dxa"/>
          <w:bottom w:w="15" w:type="dxa"/>
          <w:right w:w="15" w:type="dxa"/>
        </w:tblCellMar>
      </w:tblPr>
      <w:tblGrid>
        <w:gridCol w:w="874"/>
        <w:gridCol w:w="127"/>
        <w:gridCol w:w="1322"/>
        <w:gridCol w:w="1266"/>
        <w:gridCol w:w="889"/>
        <w:gridCol w:w="1082"/>
        <w:gridCol w:w="1114"/>
        <w:gridCol w:w="912"/>
        <w:gridCol w:w="1351"/>
      </w:tblGrid>
      <w:tr>
        <w:tblPrEx>
          <w:tblCellMar>
            <w:top w:w="15" w:type="dxa"/>
            <w:left w:w="15" w:type="dxa"/>
            <w:bottom w:w="15" w:type="dxa"/>
            <w:right w:w="15" w:type="dxa"/>
          </w:tblCellMar>
        </w:tblPrEx>
        <w:trPr>
          <w:trHeight w:val="389" w:hRule="atLeast"/>
        </w:trPr>
        <w:tc>
          <w:tcPr>
            <w:tcW w:w="23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8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0" w:hRule="atLeast"/>
        </w:trPr>
        <w:tc>
          <w:tcPr>
            <w:tcW w:w="1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10" w:hRule="exact"/>
        </w:trPr>
        <w:tc>
          <w:tcPr>
            <w:tcW w:w="23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bCs/>
                <w:color w:val="000000"/>
                <w:kern w:val="0"/>
                <w:szCs w:val="21"/>
              </w:rPr>
              <w:t>合计</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127.80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39.52</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88.29</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w:hAnsi="Arial" w:eastAsia="宋体"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Arial" w:hAnsi="Arial" w:eastAsia="宋体" w:cs="Arial"/>
                <w:i w:val="0"/>
                <w:color w:val="000000"/>
                <w:kern w:val="0"/>
                <w:sz w:val="20"/>
                <w:szCs w:val="20"/>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一般公共服务支出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114.91</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39.52</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75.39</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20129</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群众团体事务</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113.91</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39.52</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74.39</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2012901</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行政运行</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39.52</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39.52</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2012999</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其他群众团体事务支出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74.39</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74.39</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20133</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宣传事务</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2013399</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其他宣传事务支出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207</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文化旅游体育与传媒支出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20701</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文化和旅游</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2070199</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其他文化和旅游支出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12.00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宋体" w:hAnsi="宋体" w:cs="宋体"/>
                <w:color w:val="000000"/>
                <w:szCs w:val="21"/>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208</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社会保障和就业支出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20807</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就业补助</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2080799</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其他就业补助支出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0.11</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213</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农林水支出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21301</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农业</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r>
      <w:tr>
        <w:tblPrEx>
          <w:tblCellMar>
            <w:top w:w="15" w:type="dxa"/>
            <w:left w:w="15" w:type="dxa"/>
            <w:bottom w:w="15" w:type="dxa"/>
            <w:right w:w="15" w:type="dxa"/>
          </w:tblCellMar>
        </w:tblPrEx>
        <w:trPr>
          <w:trHeight w:val="510"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2130199</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其他农业支出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0.00</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0.79</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73.45</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2"/>
                <w:sz w:val="21"/>
                <w:szCs w:val="21"/>
                <w:u w:val="none"/>
                <w:lang w:val="en-US" w:eastAsia="zh-CN" w:bidi="ar-SA"/>
              </w:rPr>
            </w:pPr>
            <w:r>
              <w:rPr>
                <w:rFonts w:hint="eastAsia" w:ascii="宋体" w:hAnsi="宋体" w:cs="宋体"/>
                <w:color w:val="000000"/>
                <w:kern w:val="2"/>
                <w:sz w:val="21"/>
                <w:szCs w:val="21"/>
                <w:u w:val="none"/>
                <w:lang w:val="en-US" w:eastAsia="zh-CN" w:bidi="ar-SA"/>
              </w:rPr>
              <w:t>73.35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u w:val="none"/>
                <w:lang w:val="en-US" w:eastAsia="zh-CN" w:bidi="ar-SA"/>
              </w:rPr>
            </w:pPr>
            <w:r>
              <w:rPr>
                <w:rFonts w:hint="eastAsia" w:ascii="宋体" w:hAnsi="宋体" w:cs="宋体"/>
                <w:color w:val="000000"/>
                <w:szCs w:val="21"/>
                <w:u w:val="none"/>
                <w:lang w:val="en-US" w:eastAsia="zh-CN"/>
              </w:rPr>
              <w:t>73.35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2"/>
                <w:sz w:val="21"/>
                <w:szCs w:val="21"/>
                <w:u w:val="single"/>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u w:val="single"/>
                <w:lang w:val="en-US" w:eastAsia="zh-CN"/>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4"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2"/>
                <w:sz w:val="21"/>
                <w:szCs w:val="21"/>
                <w:lang w:val="en-US" w:eastAsia="zh-CN" w:bidi="ar-SA"/>
              </w:rPr>
            </w:pPr>
          </w:p>
        </w:tc>
      </w:tr>
    </w:tbl>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73.45</w:t>
            </w:r>
            <w:r>
              <w:rPr>
                <w:rFonts w:hint="eastAsia" w:ascii="宋体" w:hAnsi="宋体" w:cs="宋体"/>
                <w:color w:val="000000"/>
                <w:kern w:val="0"/>
                <w:szCs w:val="21"/>
              </w:rPr>
              <w:t xml:space="preserve">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73.35</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73.35</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kern w:val="0"/>
                <w:szCs w:val="21"/>
                <w:lang w:val="en-US" w:eastAsia="zh-CN"/>
              </w:rPr>
            </w:pPr>
            <w:r>
              <w:rPr>
                <w:rFonts w:hint="eastAsia" w:ascii="宋体" w:hAnsi="宋体" w:cs="宋体"/>
                <w:b w:val="0"/>
                <w:bCs/>
                <w:color w:val="000000"/>
                <w:kern w:val="0"/>
                <w:szCs w:val="21"/>
                <w:lang w:val="en-US" w:eastAsia="zh-CN"/>
              </w:rPr>
              <w:t>0.09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0.18</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0.18</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一、</w:t>
            </w:r>
            <w:r>
              <w:rPr>
                <w:rFonts w:hint="eastAsia" w:ascii="宋体" w:hAnsi="宋体" w:cs="宋体"/>
                <w:color w:val="000000"/>
                <w:kern w:val="0"/>
                <w:szCs w:val="21"/>
              </w:rPr>
              <w:t>一般公共预</w:t>
            </w:r>
            <w:r>
              <w:rPr>
                <w:rFonts w:hint="eastAsia" w:ascii="宋体" w:hAnsi="宋体" w:cs="宋体"/>
                <w:color w:val="000000"/>
                <w:kern w:val="0"/>
                <w:szCs w:val="21"/>
                <w:lang w:val="en-US" w:eastAsia="zh-CN"/>
              </w:rPr>
              <w:t xml:space="preserve">   </w:t>
            </w:r>
          </w:p>
          <w:p>
            <w:pPr>
              <w:widowControl/>
              <w:numPr>
                <w:ilvl w:val="0"/>
                <w:numId w:val="0"/>
              </w:numPr>
              <w:ind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0.09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二、</w:t>
            </w:r>
            <w:r>
              <w:rPr>
                <w:rFonts w:hint="eastAsia" w:ascii="宋体" w:hAnsi="宋体" w:cs="宋体"/>
                <w:color w:val="000000"/>
                <w:kern w:val="0"/>
                <w:szCs w:val="21"/>
              </w:rPr>
              <w:t>政府性基金预</w:t>
            </w:r>
            <w:r>
              <w:rPr>
                <w:rFonts w:hint="eastAsia" w:ascii="宋体" w:hAnsi="宋体" w:cs="宋体"/>
                <w:color w:val="000000"/>
                <w:kern w:val="0"/>
                <w:szCs w:val="21"/>
                <w:lang w:val="en-US" w:eastAsia="zh-CN"/>
              </w:rPr>
              <w:t xml:space="preserve"> </w:t>
            </w:r>
          </w:p>
          <w:p>
            <w:pPr>
              <w:widowControl/>
              <w:numPr>
                <w:ilvl w:val="0"/>
                <w:numId w:val="0"/>
              </w:numPr>
              <w:ind w:leftChars="0"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b w:val="0"/>
                <w:bCs/>
                <w:color w:val="000000"/>
                <w:kern w:val="0"/>
                <w:szCs w:val="21"/>
                <w:lang w:val="en-US" w:eastAsia="zh-CN"/>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kern w:val="0"/>
                <w:szCs w:val="21"/>
                <w:lang w:val="en-US" w:eastAsia="zh-CN"/>
              </w:rPr>
            </w:pPr>
            <w:r>
              <w:rPr>
                <w:rFonts w:hint="eastAsia" w:ascii="宋体" w:hAnsi="宋体" w:cs="宋体"/>
                <w:color w:val="000000"/>
                <w:kern w:val="0"/>
                <w:szCs w:val="21"/>
                <w:lang w:val="en-US" w:eastAsia="zh-CN"/>
              </w:rPr>
              <w:t>73.54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73.54</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73.54</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73.35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39.52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34.89</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33.84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73.35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39.52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34.89</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33.84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20129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群众团体事务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73.35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39.52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34.89</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33.84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2012901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39.52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39.52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34.89</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2012999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33.84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33.84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397" w:hRule="exac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12"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97" w:hRule="exac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39.52</w:t>
            </w:r>
          </w:p>
        </w:tc>
        <w:tc>
          <w:tcPr>
            <w:tcW w:w="1437" w:type="dxa"/>
            <w:tcBorders>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34.89</w:t>
            </w:r>
          </w:p>
        </w:tc>
        <w:tc>
          <w:tcPr>
            <w:tcW w:w="1363" w:type="dxa"/>
            <w:tcBorders>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4.63</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34.72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34.72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9.23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9.23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9.97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9.97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7.81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7.81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1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2.45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3.14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3.14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4.42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4.42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1.46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0.74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0.14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0.50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0.50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1.47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0.17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0.17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b/>
                <w:bCs/>
                <w:i w:val="0"/>
                <w:color w:val="000000"/>
                <w:kern w:val="2"/>
                <w:sz w:val="22"/>
                <w:szCs w:val="22"/>
                <w:u w:val="none"/>
                <w:lang w:val="en-US" w:eastAsia="zh-CN" w:bidi="ar-SA"/>
              </w:rPr>
            </w:pPr>
            <w:r>
              <w:rPr>
                <w:rFonts w:hint="eastAsia" w:ascii="宋体" w:hAnsi="宋体" w:cs="宋体"/>
                <w:b/>
                <w:bCs/>
                <w:i w:val="0"/>
                <w:color w:val="000000"/>
                <w:kern w:val="2"/>
                <w:sz w:val="22"/>
                <w:szCs w:val="22"/>
                <w:u w:val="none"/>
                <w:lang w:val="en-US" w:eastAsia="zh-CN" w:bidi="ar-SA"/>
              </w:rPr>
              <w:t>310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cs="宋体"/>
                <w:b/>
                <w:bCs/>
                <w:i w:val="0"/>
                <w:color w:val="000000"/>
                <w:kern w:val="0"/>
                <w:sz w:val="22"/>
                <w:szCs w:val="22"/>
                <w:u w:val="none"/>
                <w:lang w:val="en-US" w:eastAsia="zh-CN" w:bidi="ar"/>
              </w:rPr>
              <w:t>资本性支出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0.21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0.21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31002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办公设备购置</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0.21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val="0"/>
                <w:i w:val="0"/>
                <w:iCs w:val="0"/>
                <w:color w:val="000000"/>
                <w:szCs w:val="21"/>
                <w:lang w:val="en-US" w:eastAsia="zh-CN"/>
              </w:rPr>
            </w:pPr>
            <w:r>
              <w:rPr>
                <w:rFonts w:hint="eastAsia" w:ascii="宋体" w:hAnsi="宋体" w:cs="宋体"/>
                <w:b w:val="0"/>
                <w:bCs/>
                <w:i w:val="0"/>
                <w:iCs w:val="0"/>
                <w:color w:val="000000"/>
                <w:szCs w:val="21"/>
                <w:lang w:val="en-US" w:eastAsia="zh-CN"/>
              </w:rPr>
              <w:t>0.25</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i w:val="0"/>
                <w:iCs w:val="0"/>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0.25</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val="0"/>
                <w:i w:val="0"/>
                <w:iCs w:val="0"/>
                <w:color w:val="000000"/>
                <w:szCs w:val="21"/>
                <w:lang w:val="en-US" w:eastAsia="zh-CN"/>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i w:val="0"/>
                <w:iCs w:val="0"/>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val="0"/>
                <w:bCs/>
                <w:i w:val="0"/>
                <w:iCs w:val="0"/>
                <w:color w:val="000000"/>
                <w:szCs w:val="21"/>
                <w:lang w:val="en-US" w:eastAsia="zh-CN"/>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i w:val="0"/>
                <w:iCs w:val="0"/>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6.00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val="0"/>
                <w:i w:val="0"/>
                <w:iCs w:val="0"/>
                <w:color w:val="000000"/>
                <w:szCs w:val="21"/>
                <w:lang w:val="en-US" w:eastAsia="zh-CN"/>
              </w:rPr>
            </w:pPr>
            <w:r>
              <w:rPr>
                <w:rFonts w:hint="eastAsia" w:ascii="宋体" w:hAnsi="宋体" w:cs="宋体"/>
                <w:b w:val="0"/>
                <w:bCs/>
                <w:i w:val="0"/>
                <w:iCs w:val="0"/>
                <w:color w:val="000000"/>
                <w:szCs w:val="21"/>
                <w:lang w:val="en-US" w:eastAsia="zh-CN"/>
              </w:rPr>
              <w:t>0.21</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i w:val="0"/>
                <w:iCs w:val="0"/>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0.21</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val="0"/>
                <w:i w:val="0"/>
                <w:iCs w:val="0"/>
                <w:color w:val="000000"/>
                <w:szCs w:val="21"/>
                <w:lang w:val="en-US" w:eastAsia="zh-CN"/>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i w:val="0"/>
                <w:iCs w:val="0"/>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val="0"/>
                <w:bCs/>
                <w:i w:val="0"/>
                <w:iCs w:val="0"/>
                <w:color w:val="000000"/>
                <w:szCs w:val="21"/>
                <w:lang w:val="en-US" w:eastAsia="zh-CN"/>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i w:val="0"/>
                <w:iCs w:val="0"/>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5.48</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8"/>
        <w:tblW w:w="8877" w:type="dxa"/>
        <w:tblInd w:w="0" w:type="dxa"/>
        <w:tblLayout w:type="fixed"/>
        <w:tblCellMar>
          <w:top w:w="15" w:type="dxa"/>
          <w:left w:w="15" w:type="dxa"/>
          <w:bottom w:w="15" w:type="dxa"/>
          <w:right w:w="15" w:type="dxa"/>
        </w:tblCellMar>
      </w:tblPr>
      <w:tblGrid>
        <w:gridCol w:w="1023"/>
        <w:gridCol w:w="1439"/>
        <w:gridCol w:w="951"/>
        <w:gridCol w:w="990"/>
        <w:gridCol w:w="930"/>
        <w:gridCol w:w="1049"/>
        <w:gridCol w:w="1024"/>
        <w:gridCol w:w="1471"/>
      </w:tblGrid>
      <w:tr>
        <w:tblPrEx>
          <w:tblCellMar>
            <w:top w:w="15" w:type="dxa"/>
            <w:left w:w="15" w:type="dxa"/>
            <w:bottom w:w="15" w:type="dxa"/>
            <w:right w:w="15" w:type="dxa"/>
          </w:tblCellMar>
        </w:tblPrEx>
        <w:trPr>
          <w:trHeight w:val="491" w:hRule="atLeast"/>
        </w:trPr>
        <w:tc>
          <w:tcPr>
            <w:tcW w:w="24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9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4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51"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2019年</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收入总计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134.62</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万元，较上年减少</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5.69</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万元，主要原因是</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西部计划志愿者经费、镇办团队工作经费、职业农民培训经费、团队干部培训、青春驿站建设等支出减少</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2019年</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支出总计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127.80</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万元，较上年减少</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34.70</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万元，主要原因是</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主要是本年西部计划志愿者、镇办团队工作、职业农民培训、开支较小</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p>
    <w:p>
      <w:pPr>
        <w:widowControl/>
        <w:numPr>
          <w:ilvl w:val="0"/>
          <w:numId w:val="1"/>
        </w:numPr>
        <w:ind w:firstLine="640" w:firstLineChars="200"/>
        <w:jc w:val="left"/>
        <w:rPr>
          <w:rFonts w:hint="eastAsia" w:ascii="黑体" w:hAnsi="黑体" w:eastAsia="黑体"/>
          <w:color w:val="000000"/>
          <w:kern w:val="0"/>
          <w:sz w:val="32"/>
          <w:szCs w:val="32"/>
          <w:lang w:eastAsia="zh-CN" w:bidi="ar"/>
        </w:rPr>
      </w:pP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429895</wp:posOffset>
            </wp:positionH>
            <wp:positionV relativeFrom="paragraph">
              <wp:posOffset>177165</wp:posOffset>
            </wp:positionV>
            <wp:extent cx="4606290" cy="2837180"/>
            <wp:effectExtent l="4445" t="4445" r="18415"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color w:val="000000"/>
          <w:kern w:val="0"/>
          <w:sz w:val="32"/>
          <w:szCs w:val="32"/>
          <w:lang w:bidi="ar"/>
        </w:rPr>
        <w:t>收入决算情况</w:t>
      </w:r>
      <w:r>
        <w:rPr>
          <w:rFonts w:hint="eastAsia" w:ascii="黑体" w:hAnsi="黑体" w:eastAsia="黑体"/>
          <w:color w:val="000000"/>
          <w:kern w:val="0"/>
          <w:sz w:val="32"/>
          <w:szCs w:val="32"/>
          <w:lang w:eastAsia="zh-CN" w:bidi="ar"/>
        </w:rPr>
        <w:t>说明</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7"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2019年</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收入合计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134.62</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万元，其中一般公共预算财政拨款</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收入73.45万元，占总收入的54.56%；其他收入61.17万元，占总收入的45.44%。</w:t>
      </w:r>
    </w:p>
    <w:p>
      <w:pPr>
        <w:widowControl/>
        <w:numPr>
          <w:ilvl w:val="0"/>
          <w:numId w:val="0"/>
        </w:numPr>
        <w:jc w:val="center"/>
        <w:rPr>
          <w:rFonts w:hint="default" w:ascii="黑体" w:hAnsi="黑体" w:eastAsia="黑体"/>
          <w:color w:val="000000"/>
          <w:kern w:val="0"/>
          <w:sz w:val="32"/>
          <w:szCs w:val="32"/>
          <w:lang w:val="en-US" w:eastAsia="zh-CN" w:bidi="ar"/>
        </w:rPr>
      </w:pPr>
      <w:r>
        <w:rPr>
          <w:rFonts w:hint="default" w:ascii="黑体" w:hAnsi="黑体" w:eastAsia="黑体"/>
          <w:color w:val="000000"/>
          <w:kern w:val="0"/>
          <w:sz w:val="32"/>
          <w:szCs w:val="32"/>
          <w:lang w:val="en-US" w:eastAsia="zh-CN" w:bidi="ar"/>
        </w:rPr>
        <w:drawing>
          <wp:inline distT="0" distB="0" distL="114300" distR="114300">
            <wp:extent cx="4725035" cy="2819400"/>
            <wp:effectExtent l="4445" t="4445" r="13970"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2019年</w:t>
      </w:r>
      <w:r>
        <w:rPr>
          <w:rFonts w:hint="eastAsia" w:ascii="仿宋_GB2312" w:hAnsi="仿宋_GB2312" w:eastAsia="仿宋_GB2312" w:cs="仿宋_GB2312"/>
          <w:i w:val="0"/>
          <w:caps w:val="0"/>
          <w:color w:val="auto"/>
          <w:spacing w:val="0"/>
          <w:sz w:val="32"/>
          <w:szCs w:val="32"/>
          <w:lang w:eastAsia="zh-CN"/>
        </w:rPr>
        <w:t>支出合计</w:t>
      </w:r>
      <w:r>
        <w:rPr>
          <w:rFonts w:hint="eastAsia" w:ascii="仿宋_GB2312" w:hAnsi="仿宋_GB2312" w:eastAsia="仿宋_GB2312" w:cs="仿宋_GB2312"/>
          <w:i w:val="0"/>
          <w:caps w:val="0"/>
          <w:color w:val="auto"/>
          <w:spacing w:val="0"/>
          <w:sz w:val="32"/>
          <w:szCs w:val="32"/>
          <w:lang w:val="en-US" w:eastAsia="zh-CN"/>
        </w:rPr>
        <w:t>127.80</w:t>
      </w:r>
      <w:r>
        <w:rPr>
          <w:rFonts w:hint="eastAsia" w:ascii="仿宋_GB2312" w:hAnsi="仿宋_GB2312" w:eastAsia="仿宋_GB2312" w:cs="仿宋_GB2312"/>
          <w:i w:val="0"/>
          <w:caps w:val="0"/>
          <w:color w:val="auto"/>
          <w:spacing w:val="0"/>
          <w:sz w:val="32"/>
          <w:szCs w:val="32"/>
          <w:lang w:eastAsia="zh-CN"/>
        </w:rPr>
        <w:t>万元，其中： 基本支出</w:t>
      </w:r>
      <w:r>
        <w:rPr>
          <w:rFonts w:hint="eastAsia" w:ascii="仿宋_GB2312" w:hAnsi="仿宋_GB2312" w:eastAsia="仿宋_GB2312" w:cs="仿宋_GB2312"/>
          <w:i w:val="0"/>
          <w:caps w:val="0"/>
          <w:color w:val="auto"/>
          <w:spacing w:val="0"/>
          <w:sz w:val="32"/>
          <w:szCs w:val="32"/>
          <w:lang w:val="en-US" w:eastAsia="zh-CN"/>
        </w:rPr>
        <w:t>39.52</w:t>
      </w:r>
      <w:r>
        <w:rPr>
          <w:rFonts w:hint="eastAsia" w:ascii="仿宋_GB2312" w:hAnsi="仿宋_GB2312" w:eastAsia="仿宋_GB2312" w:cs="仿宋_GB2312"/>
          <w:i w:val="0"/>
          <w:caps w:val="0"/>
          <w:color w:val="auto"/>
          <w:spacing w:val="0"/>
          <w:sz w:val="32"/>
          <w:szCs w:val="32"/>
          <w:lang w:eastAsia="zh-CN"/>
        </w:rPr>
        <w:t>万元，占总支出的</w:t>
      </w:r>
      <w:r>
        <w:rPr>
          <w:rFonts w:hint="eastAsia" w:ascii="仿宋_GB2312" w:hAnsi="仿宋_GB2312" w:eastAsia="仿宋_GB2312" w:cs="仿宋_GB2312"/>
          <w:i w:val="0"/>
          <w:caps w:val="0"/>
          <w:color w:val="auto"/>
          <w:spacing w:val="0"/>
          <w:sz w:val="32"/>
          <w:szCs w:val="32"/>
          <w:lang w:val="en-US" w:eastAsia="zh-CN"/>
        </w:rPr>
        <w:t>30.92%；</w:t>
      </w:r>
      <w:r>
        <w:rPr>
          <w:rFonts w:hint="eastAsia" w:ascii="仿宋_GB2312" w:hAnsi="仿宋_GB2312" w:eastAsia="仿宋_GB2312" w:cs="仿宋_GB2312"/>
          <w:i w:val="0"/>
          <w:caps w:val="0"/>
          <w:color w:val="auto"/>
          <w:spacing w:val="0"/>
          <w:kern w:val="0"/>
          <w:sz w:val="32"/>
          <w:szCs w:val="32"/>
          <w:lang w:val="en-US" w:eastAsia="zh-CN" w:bidi="ar"/>
        </w:rPr>
        <w:t>项目支出88.29</w:t>
      </w:r>
      <w:r>
        <w:rPr>
          <w:rFonts w:hint="eastAsia" w:ascii="仿宋_GB2312" w:hAnsi="仿宋_GB2312" w:eastAsia="仿宋_GB2312" w:cs="仿宋_GB2312"/>
          <w:i w:val="0"/>
          <w:caps w:val="0"/>
          <w:color w:val="auto"/>
          <w:spacing w:val="0"/>
          <w:sz w:val="32"/>
          <w:szCs w:val="32"/>
          <w:lang w:eastAsia="zh-CN"/>
        </w:rPr>
        <w:t>万元，占总支出的</w:t>
      </w:r>
      <w:r>
        <w:rPr>
          <w:rFonts w:hint="eastAsia" w:ascii="仿宋_GB2312" w:hAnsi="仿宋_GB2312" w:eastAsia="仿宋_GB2312" w:cs="仿宋_GB2312"/>
          <w:i w:val="0"/>
          <w:caps w:val="0"/>
          <w:color w:val="auto"/>
          <w:spacing w:val="0"/>
          <w:sz w:val="32"/>
          <w:szCs w:val="32"/>
          <w:lang w:val="en-US" w:eastAsia="zh-CN"/>
        </w:rPr>
        <w:t>69.08%</w:t>
      </w:r>
      <w:r>
        <w:rPr>
          <w:rFonts w:hint="eastAsia" w:ascii="仿宋_GB2312" w:hAnsi="仿宋_GB2312" w:eastAsia="仿宋_GB2312" w:cs="仿宋_GB2312"/>
          <w:i w:val="0"/>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olor w:val="000000"/>
          <w:kern w:val="0"/>
          <w:sz w:val="32"/>
          <w:szCs w:val="32"/>
          <w:lang w:bidi="ar"/>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401320</wp:posOffset>
            </wp:positionH>
            <wp:positionV relativeFrom="paragraph">
              <wp:posOffset>132715</wp:posOffset>
            </wp:positionV>
            <wp:extent cx="4814570" cy="2684780"/>
            <wp:effectExtent l="5080" t="4445" r="19050" b="1587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2019年财政拨款收入73.45万元，较上年减少25.66万元，减少25.89%，主要原因为2019年度西部计划志愿者、镇办团队工作等项目预算的减少。</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2019年财政拨款支出73.35万元，较上年减少25.67万元，减少25.92%，</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主要原因是</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2019年财政拨款收入减少，所以支出减少。</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ascii="黑体" w:hAnsi="黑体" w:eastAsia="黑体"/>
          <w:color w:val="000000"/>
          <w:kern w:val="0"/>
          <w:sz w:val="32"/>
          <w:szCs w:val="32"/>
          <w:lang w:bidi="ar"/>
        </w:rPr>
      </w:pPr>
      <w:r>
        <w:rPr>
          <w:rFonts w:hint="default"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487045</wp:posOffset>
            </wp:positionH>
            <wp:positionV relativeFrom="paragraph">
              <wp:posOffset>148590</wp:posOffset>
            </wp:positionV>
            <wp:extent cx="4814570" cy="2983230"/>
            <wp:effectExtent l="5080" t="4445" r="19050" b="2222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2019年一般公共预算财政拨款支出73.35万元，占本年支出合计的57.39%。与上年相比，财政拨款支出减少25.67万元，减少25.92%，主要原因是2019年度团区委部门项目预算收入和其他收入减少。</w:t>
      </w:r>
    </w:p>
    <w:p>
      <w:pPr>
        <w:spacing w:line="360" w:lineRule="auto"/>
        <w:ind w:firstLine="643" w:firstLineChars="200"/>
        <w:rPr>
          <w:rFonts w:hint="eastAsia" w:ascii="楷体_GB2312" w:hAnsi="宋体" w:eastAsia="楷体_GB2312" w:cs="楷体_GB2312"/>
          <w:b/>
          <w:color w:val="000000"/>
          <w:kern w:val="0"/>
          <w:sz w:val="32"/>
          <w:szCs w:val="32"/>
          <w:lang w:eastAsia="zh-CN" w:bidi="ar"/>
        </w:rPr>
      </w:pPr>
      <w:r>
        <w:rPr>
          <w:rFonts w:hint="eastAsia" w:ascii="楷体_GB2312" w:hAnsi="宋体" w:eastAsia="楷体_GB2312" w:cs="楷体_GB2312"/>
          <w:b/>
          <w:color w:val="000000"/>
          <w:kern w:val="0"/>
          <w:sz w:val="32"/>
          <w:szCs w:val="32"/>
          <w:lang w:eastAsia="zh-CN" w:bidi="ar"/>
        </w:rPr>
        <w:drawing>
          <wp:inline distT="0" distB="0" distL="114300" distR="114300">
            <wp:extent cx="4708525" cy="2896235"/>
            <wp:effectExtent l="4445" t="4445" r="11430"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ind w:firstLine="643" w:firstLineChars="200"/>
        <w:rPr>
          <w:rFonts w:ascii="楷体_GB2312" w:hAnsi="宋体" w:eastAsia="楷体_GB2312" w:cs="楷体_GB2312"/>
          <w:b/>
          <w:bCs w:val="0"/>
          <w:color w:val="auto"/>
          <w:kern w:val="0"/>
          <w:sz w:val="32"/>
          <w:szCs w:val="32"/>
          <w:lang w:bidi="ar"/>
        </w:rPr>
      </w:pPr>
      <w:r>
        <w:rPr>
          <w:rFonts w:hint="eastAsia" w:ascii="楷体_GB2312" w:hAnsi="宋体" w:eastAsia="楷体_GB2312" w:cs="楷体_GB2312"/>
          <w:b/>
          <w:bCs w:val="0"/>
          <w:color w:val="auto"/>
          <w:kern w:val="0"/>
          <w:sz w:val="32"/>
          <w:szCs w:val="32"/>
          <w:lang w:bidi="ar"/>
        </w:rPr>
        <w:t>（二）</w:t>
      </w:r>
      <w:r>
        <w:rPr>
          <w:rFonts w:ascii="楷体_GB2312" w:hAnsi="宋体" w:eastAsia="楷体_GB2312" w:cs="楷体_GB2312"/>
          <w:b/>
          <w:bCs w:val="0"/>
          <w:color w:val="auto"/>
          <w:kern w:val="0"/>
          <w:sz w:val="32"/>
          <w:szCs w:val="32"/>
          <w:lang w:bidi="ar"/>
        </w:rPr>
        <w:t>财政拨款支出决算具体情况</w:t>
      </w:r>
      <w:r>
        <w:rPr>
          <w:rFonts w:hint="eastAsia" w:ascii="楷体_GB2312" w:hAnsi="宋体" w:eastAsia="楷体_GB2312" w:cs="楷体_GB2312"/>
          <w:b/>
          <w:bCs w:val="0"/>
          <w:color w:val="auto"/>
          <w:kern w:val="0"/>
          <w:sz w:val="32"/>
          <w:szCs w:val="32"/>
          <w:lang w:eastAsia="zh-CN" w:bidi="ar"/>
        </w:rPr>
        <w:t>说明</w:t>
      </w:r>
      <w:r>
        <w:rPr>
          <w:rFonts w:ascii="楷体_GB2312" w:hAnsi="宋体" w:eastAsia="楷体_GB2312" w:cs="楷体_GB2312"/>
          <w:b/>
          <w:bCs w:val="0"/>
          <w:color w:val="auto"/>
          <w:kern w:val="0"/>
          <w:sz w:val="32"/>
          <w:szCs w:val="32"/>
          <w:lang w:bidi="ar"/>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 xml:space="preserve">2019 年一般公共预算财政拨款支出年初预算为78.29万元，支出决算为73.35万元，完成年初预算的93.69%。按照政府功能分类科目，其中： </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hAnsi="宋体" w:eastAsia="仿宋_GB2312" w:cs="仿宋_GB2312"/>
          <w:color w:val="000000" w:themeColor="text1"/>
          <w:kern w:val="0"/>
          <w:sz w:val="32"/>
          <w:szCs w:val="32"/>
          <w:lang w:eastAsia="zh-CN" w:bidi="ar"/>
          <w14:textFill>
            <w14:solidFill>
              <w14:schemeClr w14:val="tx1"/>
            </w14:solidFill>
          </w14:textFill>
        </w:rPr>
      </w:pPr>
      <w:r>
        <w:rPr>
          <w:rFonts w:ascii="仿宋_GB2312" w:hAnsi="宋体" w:eastAsia="仿宋_GB2312" w:cs="仿宋_GB2312"/>
          <w:b/>
          <w:bCs/>
          <w:color w:val="000000" w:themeColor="text1"/>
          <w:kern w:val="0"/>
          <w:sz w:val="32"/>
          <w:szCs w:val="32"/>
          <w:lang w:bidi="ar"/>
          <w14:textFill>
            <w14:solidFill>
              <w14:schemeClr w14:val="tx1"/>
            </w14:solidFill>
          </w14:textFill>
        </w:rPr>
        <w:t>1.</w:t>
      </w: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一般公共服务支出（类）群众团体事务（款）</w:t>
      </w:r>
      <w:r>
        <w:rPr>
          <w:rFonts w:ascii="仿宋_GB2312" w:hAnsi="宋体" w:eastAsia="仿宋_GB2312" w:cs="仿宋_GB2312"/>
          <w:b/>
          <w:bCs/>
          <w:color w:val="000000" w:themeColor="text1"/>
          <w:kern w:val="0"/>
          <w:sz w:val="32"/>
          <w:szCs w:val="32"/>
          <w:lang w:bidi="ar"/>
          <w14:textFill>
            <w14:solidFill>
              <w14:schemeClr w14:val="tx1"/>
            </w14:solidFill>
          </w14:textFill>
        </w:rPr>
        <w:t>行政运行（项）。</w:t>
      </w:r>
      <w:r>
        <w:rPr>
          <w:rFonts w:ascii="仿宋_GB2312" w:hAnsi="宋体" w:eastAsia="仿宋_GB2312" w:cs="仿宋_GB2312"/>
          <w:color w:val="000000" w:themeColor="text1"/>
          <w:kern w:val="0"/>
          <w:sz w:val="32"/>
          <w:szCs w:val="32"/>
          <w:lang w:bidi="ar"/>
          <w14:textFill>
            <w14:solidFill>
              <w14:schemeClr w14:val="tx1"/>
            </w14:solidFill>
          </w14:textFill>
        </w:rPr>
        <w:t>年初预算为</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36.10</w:t>
      </w:r>
      <w:r>
        <w:rPr>
          <w:rFonts w:ascii="仿宋_GB2312" w:hAnsi="宋体" w:eastAsia="仿宋_GB2312" w:cs="仿宋_GB2312"/>
          <w:color w:val="000000" w:themeColor="text1"/>
          <w:kern w:val="0"/>
          <w:sz w:val="32"/>
          <w:szCs w:val="32"/>
          <w:lang w:bidi="ar"/>
          <w14:textFill>
            <w14:solidFill>
              <w14:schemeClr w14:val="tx1"/>
            </w14:solidFill>
          </w14:textFill>
        </w:rPr>
        <w:t>万元，支出决算为</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39.52万</w:t>
      </w:r>
      <w:r>
        <w:rPr>
          <w:rFonts w:ascii="仿宋_GB2312" w:hAnsi="宋体" w:eastAsia="仿宋_GB2312" w:cs="仿宋_GB2312"/>
          <w:color w:val="000000" w:themeColor="text1"/>
          <w:kern w:val="0"/>
          <w:sz w:val="32"/>
          <w:szCs w:val="32"/>
          <w:lang w:bidi="ar"/>
          <w14:textFill>
            <w14:solidFill>
              <w14:schemeClr w14:val="tx1"/>
            </w14:solidFill>
          </w14:textFill>
        </w:rPr>
        <w:t>元，完成年初预算的</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109.47</w:t>
      </w:r>
      <w:r>
        <w:rPr>
          <w:rFonts w:ascii="仿宋_GB2312" w:hAnsi="宋体" w:eastAsia="仿宋_GB2312" w:cs="仿宋_GB2312"/>
          <w:color w:val="000000" w:themeColor="text1"/>
          <w:kern w:val="0"/>
          <w:sz w:val="32"/>
          <w:szCs w:val="32"/>
          <w:lang w:bidi="ar"/>
          <w14:textFill>
            <w14:solidFill>
              <w14:schemeClr w14:val="tx1"/>
            </w14:solidFill>
          </w14:textFill>
        </w:rPr>
        <w:t>%。决算数大于预算数的主要原因是</w:t>
      </w:r>
      <w:r>
        <w:rPr>
          <w:rFonts w:hint="eastAsia" w:ascii="仿宋_GB2312" w:hAnsi="宋体" w:eastAsia="仿宋_GB2312" w:cs="仿宋_GB2312"/>
          <w:color w:val="000000" w:themeColor="text1"/>
          <w:kern w:val="0"/>
          <w:sz w:val="32"/>
          <w:szCs w:val="32"/>
          <w:lang w:eastAsia="zh-CN" w:bidi="ar"/>
          <w14:textFill>
            <w14:solidFill>
              <w14:schemeClr w14:val="tx1"/>
            </w14:solidFill>
          </w14:textFill>
        </w:rPr>
        <w:t>工资普调等政策性原因引发生的支出增加。</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宋体" w:eastAsia="仿宋_GB2312" w:cs="仿宋_GB2312"/>
          <w:color w:val="000000" w:themeColor="text1"/>
          <w:kern w:val="0"/>
          <w:sz w:val="32"/>
          <w:szCs w:val="32"/>
          <w:lang w:eastAsia="zh-CN" w:bidi="ar"/>
          <w14:textFill>
            <w14:solidFill>
              <w14:schemeClr w14:val="tx1"/>
            </w14:solidFill>
          </w14:textFill>
        </w:rPr>
      </w:pPr>
      <w:r>
        <w:rPr>
          <w:rFonts w:hint="eastAsia" w:ascii="仿宋_GB2312" w:hAnsi="宋体" w:eastAsia="仿宋_GB2312" w:cs="仿宋_GB2312"/>
          <w:b/>
          <w:color w:val="000000" w:themeColor="text1"/>
          <w:kern w:val="0"/>
          <w:sz w:val="32"/>
          <w:szCs w:val="32"/>
          <w:lang w:val="en-US" w:eastAsia="zh-CN" w:bidi="ar"/>
          <w14:textFill>
            <w14:solidFill>
              <w14:schemeClr w14:val="tx1"/>
            </w14:solidFill>
          </w14:textFill>
        </w:rPr>
        <w:t>2.</w:t>
      </w:r>
      <w:r>
        <w:rPr>
          <w:rFonts w:ascii="仿宋_GB2312" w:hAnsi="宋体" w:eastAsia="仿宋_GB2312" w:cs="仿宋_GB2312"/>
          <w:b/>
          <w:bCs/>
          <w:color w:val="000000" w:themeColor="text1"/>
          <w:kern w:val="0"/>
          <w:sz w:val="32"/>
          <w:szCs w:val="32"/>
          <w:lang w:bidi="ar"/>
          <w14:textFill>
            <w14:solidFill>
              <w14:schemeClr w14:val="tx1"/>
            </w14:solidFill>
          </w14:textFill>
        </w:rPr>
        <w:t>1.</w:t>
      </w: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一般公共服务支出（类）群众团体事务（款）</w:t>
      </w:r>
      <w:r>
        <w:rPr>
          <w:rFonts w:hint="eastAsia" w:ascii="仿宋_GB2312" w:hAnsi="宋体" w:eastAsia="仿宋_GB2312" w:cs="仿宋_GB2312"/>
          <w:b/>
          <w:color w:val="000000" w:themeColor="text1"/>
          <w:kern w:val="0"/>
          <w:sz w:val="32"/>
          <w:szCs w:val="32"/>
          <w:lang w:val="en-US" w:eastAsia="zh-CN" w:bidi="ar"/>
          <w14:textFill>
            <w14:solidFill>
              <w14:schemeClr w14:val="tx1"/>
            </w14:solidFill>
          </w14:textFill>
        </w:rPr>
        <w:t>其他群众团体事务支出</w:t>
      </w:r>
      <w:r>
        <w:rPr>
          <w:rFonts w:ascii="仿宋_GB2312" w:hAnsi="宋体" w:eastAsia="仿宋_GB2312" w:cs="仿宋_GB2312"/>
          <w:b/>
          <w:color w:val="000000" w:themeColor="text1"/>
          <w:kern w:val="0"/>
          <w:sz w:val="32"/>
          <w:szCs w:val="32"/>
          <w:lang w:bidi="ar"/>
          <w14:textFill>
            <w14:solidFill>
              <w14:schemeClr w14:val="tx1"/>
            </w14:solidFill>
          </w14:textFill>
        </w:rPr>
        <w:t>（项）</w:t>
      </w:r>
      <w:r>
        <w:rPr>
          <w:rFonts w:hint="eastAsia" w:ascii="仿宋_GB2312" w:hAnsi="宋体" w:eastAsia="仿宋_GB2312" w:cs="仿宋_GB2312"/>
          <w:b/>
          <w:color w:val="000000" w:themeColor="text1"/>
          <w:kern w:val="0"/>
          <w:sz w:val="32"/>
          <w:szCs w:val="32"/>
          <w:lang w:eastAsia="zh-CN" w:bidi="ar"/>
          <w14:textFill>
            <w14:solidFill>
              <w14:schemeClr w14:val="tx1"/>
            </w14:solidFill>
          </w14:textFill>
        </w:rPr>
        <w:t>。</w:t>
      </w:r>
      <w:r>
        <w:rPr>
          <w:rFonts w:ascii="仿宋_GB2312" w:hAnsi="宋体" w:eastAsia="仿宋_GB2312" w:cs="仿宋_GB2312"/>
          <w:color w:val="000000" w:themeColor="text1"/>
          <w:kern w:val="0"/>
          <w:sz w:val="32"/>
          <w:szCs w:val="32"/>
          <w:lang w:bidi="ar"/>
          <w14:textFill>
            <w14:solidFill>
              <w14:schemeClr w14:val="tx1"/>
            </w14:solidFill>
          </w14:textFill>
        </w:rPr>
        <w:t>年初预算为</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42.19</w:t>
      </w:r>
      <w:r>
        <w:rPr>
          <w:rFonts w:ascii="仿宋_GB2312" w:hAnsi="宋体" w:eastAsia="仿宋_GB2312" w:cs="仿宋_GB2312"/>
          <w:color w:val="000000" w:themeColor="text1"/>
          <w:kern w:val="0"/>
          <w:sz w:val="32"/>
          <w:szCs w:val="32"/>
          <w:lang w:bidi="ar"/>
          <w14:textFill>
            <w14:solidFill>
              <w14:schemeClr w14:val="tx1"/>
            </w14:solidFill>
          </w14:textFill>
        </w:rPr>
        <w:t>万元，支出决算为</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33.84万</w:t>
      </w:r>
      <w:r>
        <w:rPr>
          <w:rFonts w:ascii="仿宋_GB2312" w:hAnsi="宋体" w:eastAsia="仿宋_GB2312" w:cs="仿宋_GB2312"/>
          <w:color w:val="000000" w:themeColor="text1"/>
          <w:kern w:val="0"/>
          <w:sz w:val="32"/>
          <w:szCs w:val="32"/>
          <w:lang w:bidi="ar"/>
          <w14:textFill>
            <w14:solidFill>
              <w14:schemeClr w14:val="tx1"/>
            </w14:solidFill>
          </w14:textFill>
        </w:rPr>
        <w:t>元，完成年初预算的</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80.21</w:t>
      </w:r>
      <w:r>
        <w:rPr>
          <w:rFonts w:ascii="仿宋_GB2312" w:hAnsi="宋体" w:eastAsia="仿宋_GB2312" w:cs="仿宋_GB2312"/>
          <w:color w:val="000000" w:themeColor="text1"/>
          <w:kern w:val="0"/>
          <w:sz w:val="32"/>
          <w:szCs w:val="32"/>
          <w:lang w:bidi="ar"/>
          <w14:textFill>
            <w14:solidFill>
              <w14:schemeClr w14:val="tx1"/>
            </w14:solidFill>
          </w14:textFill>
        </w:rPr>
        <w:t>%。决算数</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小于</w:t>
      </w:r>
      <w:r>
        <w:rPr>
          <w:rFonts w:ascii="仿宋_GB2312" w:hAnsi="宋体" w:eastAsia="仿宋_GB2312" w:cs="仿宋_GB2312"/>
          <w:color w:val="000000" w:themeColor="text1"/>
          <w:kern w:val="0"/>
          <w:sz w:val="32"/>
          <w:szCs w:val="32"/>
          <w:lang w:bidi="ar"/>
          <w14:textFill>
            <w14:solidFill>
              <w14:schemeClr w14:val="tx1"/>
            </w14:solidFill>
          </w14:textFill>
        </w:rPr>
        <w:t>预算数的主要原因是</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田园使者等项目资金使用小于预期</w:t>
      </w:r>
      <w:r>
        <w:rPr>
          <w:rFonts w:hint="eastAsia" w:ascii="仿宋_GB2312" w:hAnsi="宋体" w:eastAsia="仿宋_GB2312" w:cs="仿宋_GB2312"/>
          <w:color w:val="000000" w:themeColor="text1"/>
          <w:kern w:val="0"/>
          <w:sz w:val="32"/>
          <w:szCs w:val="32"/>
          <w:lang w:eastAsia="zh-CN" w:bidi="ar"/>
          <w14:textFill>
            <w14:solidFill>
              <w14:schemeClr w14:val="tx1"/>
            </w14:solidFill>
          </w14:textFill>
        </w:rPr>
        <w:t>。</w:t>
      </w:r>
    </w:p>
    <w:p>
      <w:pPr>
        <w:spacing w:line="360" w:lineRule="auto"/>
        <w:ind w:firstLine="640" w:firstLineChars="200"/>
        <w:rPr>
          <w:rFonts w:hint="eastAsia" w:ascii="黑体" w:hAnsi="黑体" w:eastAsia="黑体"/>
          <w:color w:val="000000" w:themeColor="text1"/>
          <w:kern w:val="0"/>
          <w:sz w:val="32"/>
          <w:szCs w:val="32"/>
          <w:lang w:bidi="ar"/>
          <w14:textFill>
            <w14:solidFill>
              <w14:schemeClr w14:val="tx1"/>
            </w14:solidFill>
          </w14:textFill>
        </w:rPr>
      </w:pPr>
      <w:r>
        <w:rPr>
          <w:rFonts w:hint="eastAsia" w:ascii="黑体" w:hAnsi="黑体" w:eastAsia="黑体"/>
          <w:color w:val="000000" w:themeColor="text1"/>
          <w:kern w:val="0"/>
          <w:sz w:val="32"/>
          <w:szCs w:val="32"/>
          <w:lang w:bidi="ar"/>
          <w14:textFill>
            <w14:solidFill>
              <w14:schemeClr w14:val="tx1"/>
            </w14:solidFill>
          </w14:textFill>
        </w:rPr>
        <w:t>六、一般公共预算财政拨款基本支出决算情况</w:t>
      </w:r>
      <w:r>
        <w:rPr>
          <w:rFonts w:hint="eastAsia" w:ascii="黑体" w:hAnsi="黑体" w:eastAsia="黑体"/>
          <w:color w:val="000000" w:themeColor="text1"/>
          <w:kern w:val="0"/>
          <w:sz w:val="32"/>
          <w:szCs w:val="32"/>
          <w:lang w:eastAsia="zh-CN" w:bidi="ar"/>
          <w14:textFill>
            <w14:solidFill>
              <w14:schemeClr w14:val="tx1"/>
            </w14:solidFill>
          </w14:textFill>
        </w:rPr>
        <w:t>说明</w:t>
      </w:r>
      <w:r>
        <w:rPr>
          <w:rFonts w:hint="eastAsia" w:ascii="黑体" w:hAnsi="黑体" w:eastAsia="黑体"/>
          <w:color w:val="000000" w:themeColor="text1"/>
          <w:kern w:val="0"/>
          <w:sz w:val="32"/>
          <w:szCs w:val="32"/>
          <w:lang w:bidi="ar"/>
          <w14:textFill>
            <w14:solidFill>
              <w14:schemeClr w14:val="tx1"/>
            </w14:solidFill>
          </w14:textFill>
        </w:rPr>
        <w:t xml:space="preserve"> </w:t>
      </w:r>
    </w:p>
    <w:p>
      <w:pPr>
        <w:spacing w:line="360" w:lineRule="auto"/>
        <w:ind w:firstLine="620" w:firstLineChars="200"/>
        <w:rPr>
          <w:rFonts w:hint="default" w:ascii="仿宋_GB2312" w:hAnsi="仿宋_GB2312" w:eastAsia="仿宋_GB2312" w:cs="仿宋_GB2312"/>
          <w:color w:val="000000" w:themeColor="text1"/>
          <w:kern w:val="0"/>
          <w:sz w:val="31"/>
          <w:szCs w:val="31"/>
          <w:lang w:val="en-US" w:bidi="ar"/>
          <w14:textFill>
            <w14:solidFill>
              <w14:schemeClr w14:val="tx1"/>
            </w14:solidFill>
          </w14:textFill>
        </w:rPr>
      </w:pPr>
      <w:r>
        <w:rPr>
          <w:rFonts w:ascii="仿宋_GB2312" w:hAnsi="仿宋_GB2312" w:eastAsia="仿宋_GB2312" w:cs="仿宋_GB2312"/>
          <w:color w:val="000000" w:themeColor="text1"/>
          <w:kern w:val="0"/>
          <w:sz w:val="31"/>
          <w:szCs w:val="31"/>
          <w:lang w:bidi="ar"/>
          <w14:textFill>
            <w14:solidFill>
              <w14:schemeClr w14:val="tx1"/>
            </w14:solidFill>
          </w14:textFill>
        </w:rPr>
        <w:t>201</w:t>
      </w:r>
      <w:r>
        <w:rPr>
          <w:rFonts w:hint="eastAsia" w:ascii="仿宋_GB2312" w:hAnsi="仿宋_GB2312" w:eastAsia="仿宋_GB2312" w:cs="仿宋_GB2312"/>
          <w:color w:val="000000" w:themeColor="text1"/>
          <w:kern w:val="0"/>
          <w:sz w:val="31"/>
          <w:szCs w:val="31"/>
          <w:lang w:bidi="ar"/>
          <w14:textFill>
            <w14:solidFill>
              <w14:schemeClr w14:val="tx1"/>
            </w14:solidFill>
          </w14:textFill>
        </w:rPr>
        <w:t>9</w:t>
      </w:r>
      <w:r>
        <w:rPr>
          <w:rFonts w:ascii="仿宋_GB2312" w:hAnsi="仿宋_GB2312" w:eastAsia="仿宋_GB2312" w:cs="仿宋_GB2312"/>
          <w:color w:val="000000" w:themeColor="text1"/>
          <w:kern w:val="0"/>
          <w:sz w:val="31"/>
          <w:szCs w:val="31"/>
          <w:lang w:bidi="ar"/>
          <w14:textFill>
            <w14:solidFill>
              <w14:schemeClr w14:val="tx1"/>
            </w14:solidFill>
          </w14:textFill>
        </w:rPr>
        <w:t>年一般公共预算财政拨款基本支出</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39.52</w:t>
      </w:r>
      <w:r>
        <w:rPr>
          <w:rFonts w:ascii="仿宋_GB2312" w:hAnsi="仿宋_GB2312" w:eastAsia="仿宋_GB2312" w:cs="仿宋_GB2312"/>
          <w:color w:val="000000" w:themeColor="text1"/>
          <w:kern w:val="0"/>
          <w:sz w:val="31"/>
          <w:szCs w:val="31"/>
          <w:lang w:bidi="ar"/>
          <w14:textFill>
            <w14:solidFill>
              <w14:schemeClr w14:val="tx1"/>
            </w14:solidFill>
          </w14:textFill>
        </w:rPr>
        <w:t>万元，包括：人员经费支出</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34.89</w:t>
      </w:r>
      <w:r>
        <w:rPr>
          <w:rFonts w:ascii="仿宋_GB2312" w:hAnsi="仿宋_GB2312" w:eastAsia="仿宋_GB2312" w:cs="仿宋_GB2312"/>
          <w:color w:val="000000" w:themeColor="text1"/>
          <w:kern w:val="0"/>
          <w:sz w:val="31"/>
          <w:szCs w:val="31"/>
          <w:lang w:bidi="ar"/>
          <w14:textFill>
            <w14:solidFill>
              <w14:schemeClr w14:val="tx1"/>
            </w14:solidFill>
          </w14:textFill>
        </w:rPr>
        <w:t>万元</w:t>
      </w:r>
      <w:r>
        <w:rPr>
          <w:rFonts w:hint="eastAsia" w:ascii="仿宋_GB2312" w:hAnsi="仿宋_GB2312" w:eastAsia="仿宋_GB2312" w:cs="仿宋_GB2312"/>
          <w:color w:val="000000" w:themeColor="text1"/>
          <w:kern w:val="0"/>
          <w:sz w:val="31"/>
          <w:szCs w:val="31"/>
          <w:lang w:eastAsia="zh-CN" w:bidi="ar"/>
          <w14:textFill>
            <w14:solidFill>
              <w14:schemeClr w14:val="tx1"/>
            </w14:solidFill>
          </w14:textFill>
        </w:rPr>
        <w:t>，其中群众团体事务（款）行政运行（项）</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34.89万元；</w:t>
      </w:r>
      <w:r>
        <w:rPr>
          <w:rFonts w:ascii="仿宋_GB2312" w:hAnsi="仿宋_GB2312" w:eastAsia="仿宋_GB2312" w:cs="仿宋_GB2312"/>
          <w:color w:val="000000" w:themeColor="text1"/>
          <w:kern w:val="0"/>
          <w:sz w:val="31"/>
          <w:szCs w:val="31"/>
          <w:lang w:bidi="ar"/>
          <w14:textFill>
            <w14:solidFill>
              <w14:schemeClr w14:val="tx1"/>
            </w14:solidFill>
          </w14:textFill>
        </w:rPr>
        <w:t>公用经费支出</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4.63</w:t>
      </w:r>
      <w:r>
        <w:rPr>
          <w:rFonts w:ascii="仿宋_GB2312" w:hAnsi="仿宋_GB2312" w:eastAsia="仿宋_GB2312" w:cs="仿宋_GB2312"/>
          <w:color w:val="000000" w:themeColor="text1"/>
          <w:kern w:val="0"/>
          <w:sz w:val="31"/>
          <w:szCs w:val="31"/>
          <w:lang w:bidi="ar"/>
          <w14:textFill>
            <w14:solidFill>
              <w14:schemeClr w14:val="tx1"/>
            </w14:solidFill>
          </w14:textFill>
        </w:rPr>
        <w:t>万元</w:t>
      </w:r>
      <w:r>
        <w:rPr>
          <w:rFonts w:hint="eastAsia" w:ascii="仿宋_GB2312" w:hAnsi="仿宋_GB2312" w:eastAsia="仿宋_GB2312" w:cs="仿宋_GB2312"/>
          <w:color w:val="000000" w:themeColor="text1"/>
          <w:kern w:val="0"/>
          <w:sz w:val="31"/>
          <w:szCs w:val="31"/>
          <w:lang w:eastAsia="zh-CN" w:bidi="ar"/>
          <w14:textFill>
            <w14:solidFill>
              <w14:schemeClr w14:val="tx1"/>
            </w14:solidFill>
          </w14:textFill>
        </w:rPr>
        <w:t>，其中群众团体事务（款）行政运行（项）</w:t>
      </w:r>
      <w:r>
        <w:rPr>
          <w:rFonts w:hint="eastAsia" w:ascii="仿宋_GB2312" w:hAnsi="仿宋_GB2312" w:eastAsia="仿宋_GB2312" w:cs="仿宋_GB2312"/>
          <w:color w:val="000000" w:themeColor="text1"/>
          <w:kern w:val="0"/>
          <w:sz w:val="31"/>
          <w:szCs w:val="31"/>
          <w:lang w:val="en-US" w:eastAsia="zh-CN" w:bidi="ar"/>
          <w14:textFill>
            <w14:solidFill>
              <w14:schemeClr w14:val="tx1"/>
            </w14:solidFill>
          </w14:textFill>
        </w:rPr>
        <w:t>4.63万元。</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hAnsi="宋体" w:eastAsia="仿宋_GB2312" w:cs="仿宋_GB2312"/>
          <w:color w:val="auto"/>
          <w:kern w:val="0"/>
          <w:sz w:val="32"/>
          <w:szCs w:val="32"/>
          <w:lang w:val="en-US" w:eastAsia="zh-CN" w:bidi="ar"/>
        </w:rPr>
      </w:pPr>
      <w:r>
        <w:rPr>
          <w:rFonts w:ascii="仿宋_GB2312" w:hAnsi="宋体" w:eastAsia="仿宋_GB2312" w:cs="仿宋_GB2312"/>
          <w:b/>
          <w:bCs/>
          <w:color w:val="auto"/>
          <w:kern w:val="0"/>
          <w:sz w:val="32"/>
          <w:szCs w:val="32"/>
          <w:lang w:bidi="ar"/>
        </w:rPr>
        <w:t>人员经费</w:t>
      </w:r>
      <w:r>
        <w:rPr>
          <w:rFonts w:hint="eastAsia" w:ascii="仿宋_GB2312" w:hAnsi="宋体" w:eastAsia="仿宋_GB2312" w:cs="仿宋_GB2312"/>
          <w:color w:val="auto"/>
          <w:kern w:val="0"/>
          <w:sz w:val="32"/>
          <w:szCs w:val="32"/>
          <w:lang w:val="en-US" w:eastAsia="zh-CN" w:bidi="ar"/>
        </w:rPr>
        <w:t>34.89</w:t>
      </w:r>
      <w:r>
        <w:rPr>
          <w:rFonts w:ascii="仿宋_GB2312" w:hAnsi="宋体" w:eastAsia="仿宋_GB2312" w:cs="仿宋_GB2312"/>
          <w:color w:val="auto"/>
          <w:kern w:val="0"/>
          <w:sz w:val="32"/>
          <w:szCs w:val="32"/>
          <w:lang w:bidi="ar"/>
        </w:rPr>
        <w:t>万元</w:t>
      </w:r>
      <w:r>
        <w:rPr>
          <w:rFonts w:hint="eastAsia" w:ascii="仿宋_GB2312" w:hAnsi="宋体" w:eastAsia="仿宋_GB2312" w:cs="仿宋_GB2312"/>
          <w:color w:val="auto"/>
          <w:kern w:val="0"/>
          <w:sz w:val="32"/>
          <w:szCs w:val="32"/>
          <w:lang w:eastAsia="zh-CN" w:bidi="ar"/>
        </w:rPr>
        <w:t>。</w:t>
      </w:r>
      <w:r>
        <w:rPr>
          <w:rFonts w:ascii="仿宋_GB2312" w:hAnsi="宋体" w:eastAsia="仿宋_GB2312" w:cs="仿宋_GB2312"/>
          <w:color w:val="auto"/>
          <w:kern w:val="0"/>
          <w:sz w:val="32"/>
          <w:szCs w:val="32"/>
          <w:lang w:bidi="ar"/>
        </w:rPr>
        <w:t>主要包括</w:t>
      </w:r>
      <w:r>
        <w:rPr>
          <w:rFonts w:hint="eastAsia" w:ascii="仿宋_GB2312" w:hAnsi="宋体" w:eastAsia="仿宋_GB2312" w:cs="仿宋_GB2312"/>
          <w:color w:val="auto"/>
          <w:kern w:val="0"/>
          <w:sz w:val="32"/>
          <w:szCs w:val="32"/>
          <w:lang w:val="en-US" w:eastAsia="zh-CN" w:bidi="ar"/>
        </w:rPr>
        <w:t>工资福利支出34.72万元，对个人和家庭的补助0.17万元。明细如下：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仿宋_GB2312"/>
          <w:color w:val="auto"/>
          <w:kern w:val="0"/>
          <w:sz w:val="32"/>
          <w:szCs w:val="32"/>
          <w:lang w:bidi="ar"/>
        </w:rPr>
      </w:pPr>
      <w:r>
        <w:rPr>
          <w:rFonts w:hint="eastAsia" w:ascii="仿宋_GB2312" w:hAnsi="宋体" w:eastAsia="仿宋_GB2312" w:cs="仿宋_GB2312"/>
          <w:color w:val="auto"/>
          <w:kern w:val="0"/>
          <w:sz w:val="32"/>
          <w:szCs w:val="32"/>
          <w:lang w:val="en-US" w:eastAsia="zh-CN" w:bidi="ar"/>
        </w:rPr>
        <w:t>工资福利支出（301）34.72万元，其中</w:t>
      </w:r>
      <w:r>
        <w:rPr>
          <w:rFonts w:ascii="仿宋_GB2312" w:hAnsi="宋体" w:eastAsia="仿宋_GB2312" w:cs="仿宋_GB2312"/>
          <w:color w:val="auto"/>
          <w:kern w:val="0"/>
          <w:sz w:val="32"/>
          <w:szCs w:val="32"/>
          <w:lang w:bidi="ar"/>
        </w:rPr>
        <w:t>基本工资</w:t>
      </w:r>
      <w:r>
        <w:rPr>
          <w:rFonts w:hint="eastAsia" w:ascii="仿宋_GB2312" w:hAnsi="宋体" w:eastAsia="仿宋_GB2312" w:cs="仿宋_GB2312"/>
          <w:color w:val="auto"/>
          <w:kern w:val="0"/>
          <w:sz w:val="32"/>
          <w:szCs w:val="32"/>
          <w:lang w:val="en-US" w:eastAsia="zh-CN" w:bidi="ar"/>
        </w:rPr>
        <w:t>9.23</w:t>
      </w:r>
      <w:r>
        <w:rPr>
          <w:rFonts w:hint="eastAsia" w:ascii="仿宋_GB2312" w:hAnsi="宋体" w:eastAsia="仿宋_GB2312" w:cs="仿宋_GB2312"/>
          <w:color w:val="auto"/>
          <w:kern w:val="0"/>
          <w:sz w:val="32"/>
          <w:szCs w:val="32"/>
          <w:lang w:bidi="ar"/>
        </w:rPr>
        <w:t>万元</w:t>
      </w:r>
      <w:r>
        <w:rPr>
          <w:rFonts w:hint="eastAsia" w:ascii="仿宋_GB2312" w:hAnsi="宋体" w:eastAsia="仿宋_GB2312" w:cs="仿宋_GB2312"/>
          <w:color w:val="auto"/>
          <w:kern w:val="0"/>
          <w:sz w:val="32"/>
          <w:szCs w:val="32"/>
          <w:lang w:eastAsia="zh-CN" w:bidi="ar"/>
        </w:rPr>
        <w:t>，津贴补贴</w:t>
      </w:r>
      <w:r>
        <w:rPr>
          <w:rFonts w:hint="eastAsia" w:ascii="仿宋_GB2312" w:hAnsi="宋体" w:eastAsia="仿宋_GB2312" w:cs="仿宋_GB2312"/>
          <w:color w:val="auto"/>
          <w:kern w:val="0"/>
          <w:sz w:val="32"/>
          <w:szCs w:val="32"/>
          <w:lang w:val="en-US" w:eastAsia="zh-CN" w:bidi="ar"/>
        </w:rPr>
        <w:t>9.97万元，奖金7.81万元，伙食补助费2.12万元，机关事业单位基本养老保险缴费2.45万元，住房公积金3.14万元</w:t>
      </w:r>
      <w:r>
        <w:rPr>
          <w:rFonts w:hint="eastAsia" w:ascii="仿宋_GB2312" w:hAnsi="宋体" w:eastAsia="仿宋_GB2312" w:cs="仿宋_GB2312"/>
          <w:color w:val="auto"/>
          <w:kern w:val="0"/>
          <w:sz w:val="32"/>
          <w:szCs w:val="32"/>
          <w:lang w:bidi="ar"/>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对个人和家庭的补助（303）0.17万元，其中生活补助0.17万元。</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color w:val="auto"/>
          <w:sz w:val="32"/>
          <w:szCs w:val="32"/>
        </w:rPr>
      </w:pPr>
      <w:r>
        <w:rPr>
          <w:rFonts w:ascii="仿宋_GB2312" w:hAnsi="宋体" w:eastAsia="仿宋_GB2312" w:cs="仿宋_GB2312"/>
          <w:b/>
          <w:bCs/>
          <w:color w:val="auto"/>
          <w:kern w:val="0"/>
          <w:sz w:val="32"/>
          <w:szCs w:val="32"/>
          <w:lang w:bidi="ar"/>
        </w:rPr>
        <w:t>公用经费</w:t>
      </w:r>
      <w:r>
        <w:rPr>
          <w:rFonts w:hint="eastAsia" w:ascii="仿宋_GB2312" w:hAnsi="宋体" w:eastAsia="仿宋_GB2312" w:cs="仿宋_GB2312"/>
          <w:color w:val="auto"/>
          <w:kern w:val="0"/>
          <w:sz w:val="32"/>
          <w:szCs w:val="32"/>
          <w:lang w:val="en-US" w:eastAsia="zh-CN" w:bidi="ar"/>
        </w:rPr>
        <w:t>4.63</w:t>
      </w:r>
      <w:r>
        <w:rPr>
          <w:rFonts w:ascii="仿宋_GB2312" w:hAnsi="宋体" w:eastAsia="仿宋_GB2312" w:cs="仿宋_GB2312"/>
          <w:color w:val="auto"/>
          <w:kern w:val="0"/>
          <w:sz w:val="32"/>
          <w:szCs w:val="32"/>
          <w:lang w:bidi="ar"/>
        </w:rPr>
        <w:t>万元，主要包括</w:t>
      </w:r>
      <w:r>
        <w:rPr>
          <w:rFonts w:hint="eastAsia" w:ascii="仿宋_GB2312" w:hAnsi="宋体" w:eastAsia="仿宋_GB2312" w:cs="仿宋_GB2312"/>
          <w:color w:val="auto"/>
          <w:kern w:val="0"/>
          <w:sz w:val="32"/>
          <w:szCs w:val="32"/>
          <w:lang w:eastAsia="zh-CN" w:bidi="ar"/>
        </w:rPr>
        <w:t>商品和服务支出</w:t>
      </w:r>
      <w:r>
        <w:rPr>
          <w:rFonts w:hint="eastAsia" w:ascii="仿宋_GB2312" w:hAnsi="宋体" w:eastAsia="仿宋_GB2312" w:cs="仿宋_GB2312"/>
          <w:color w:val="auto"/>
          <w:kern w:val="0"/>
          <w:sz w:val="32"/>
          <w:szCs w:val="32"/>
          <w:lang w:val="en-US" w:eastAsia="zh-CN" w:bidi="ar"/>
        </w:rPr>
        <w:t>4.42万元。其中</w:t>
      </w:r>
      <w:r>
        <w:rPr>
          <w:rFonts w:ascii="仿宋_GB2312" w:hAnsi="宋体" w:eastAsia="仿宋_GB2312" w:cs="仿宋_GB2312"/>
          <w:color w:val="auto"/>
          <w:kern w:val="0"/>
          <w:sz w:val="32"/>
          <w:szCs w:val="32"/>
          <w:lang w:bidi="ar"/>
        </w:rPr>
        <w:t>办公费</w:t>
      </w:r>
      <w:r>
        <w:rPr>
          <w:rFonts w:hint="eastAsia" w:ascii="仿宋_GB2312" w:hAnsi="宋体" w:eastAsia="仿宋_GB2312" w:cs="仿宋_GB2312"/>
          <w:color w:val="auto"/>
          <w:kern w:val="0"/>
          <w:sz w:val="32"/>
          <w:szCs w:val="32"/>
          <w:lang w:val="en-US" w:eastAsia="zh-CN" w:bidi="ar"/>
        </w:rPr>
        <w:t>1.46万元，印刷费0.08万元，手续费0.01万元，邮电费0.74万元，差旅费0.02万元，公务接待费0.14万元，工会经费0.50万元，其他交通费用1.47万元，其他商品和服务支出0.01万元</w:t>
      </w:r>
      <w:r>
        <w:rPr>
          <w:rFonts w:hint="eastAsia" w:ascii="仿宋_GB2312" w:hAnsi="宋体" w:eastAsia="仿宋_GB2312" w:cs="仿宋_GB2312"/>
          <w:color w:val="auto"/>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0.25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0.21</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84</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0.04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仿宋" w:eastAsia="仿宋_GB2312"/>
          <w:color w:val="auto"/>
          <w:sz w:val="32"/>
          <w:szCs w:val="32"/>
          <w:lang w:eastAsia="zh-CN"/>
        </w:rPr>
        <w:t>严格执行中央八项规定，控制“三公经费”总额，确保“三公”只减不增</w:t>
      </w:r>
      <w:r>
        <w:rPr>
          <w:rFonts w:hint="eastAsia" w:ascii="仿宋_GB2312" w:hAnsi="宋体" w:eastAsia="仿宋_GB2312" w:cs="仿宋_GB2312"/>
          <w:color w:val="000000"/>
          <w:kern w:val="0"/>
          <w:sz w:val="32"/>
          <w:szCs w:val="32"/>
          <w:lang w:bidi="ar"/>
        </w:rPr>
        <w:t>。</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0.21</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eastAsia="zh-CN" w:bidi="ar"/>
        </w:rPr>
        <w:t>“三公”经费财政拨款总支出的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%。具体情况如下：</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4708525" cy="2954020"/>
            <wp:effectExtent l="5080" t="4445" r="10795" b="1333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 w:eastAsia="仿宋_GB2312"/>
          <w:sz w:val="32"/>
          <w:szCs w:val="32"/>
          <w:lang w:val="en-US" w:eastAsia="zh-CN"/>
        </w:rPr>
        <w:t>5</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0.25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0.21</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84</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0.04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严格控制公务接待人数，减少公务接待批次，确保“三公”经费不超预算</w:t>
      </w:r>
      <w:r>
        <w:rPr>
          <w:rFonts w:hint="eastAsia" w:ascii="仿宋_GB2312" w:hAnsi="宋体" w:eastAsia="仿宋_GB2312" w:cs="仿宋_GB2312"/>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drawing>
          <wp:inline distT="0" distB="0" distL="114300" distR="114300">
            <wp:extent cx="4679950" cy="2410460"/>
            <wp:effectExtent l="5080" t="4445" r="20320" b="2349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5.48</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91.33</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0.52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严格执行中央八项规定，精准会议支出</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本部门本年度无</w:t>
      </w:r>
      <w:r>
        <w:rPr>
          <w:rFonts w:hint="eastAsia" w:ascii="仿宋_GB2312" w:hAnsi="宋体" w:eastAsia="仿宋_GB2312" w:cs="仿宋_GB2312"/>
          <w:color w:val="000000"/>
          <w:kern w:val="0"/>
          <w:sz w:val="32"/>
          <w:szCs w:val="32"/>
          <w:lang w:bidi="ar"/>
        </w:rPr>
        <w:t>政府性基金预算财政拨款收入支出</w:t>
      </w:r>
      <w:r>
        <w:rPr>
          <w:rFonts w:hint="eastAsia" w:ascii="仿宋_GB2312" w:hAnsi="宋体" w:eastAsia="仿宋_GB2312" w:cs="仿宋_GB2312"/>
          <w:color w:val="000000"/>
          <w:kern w:val="0"/>
          <w:sz w:val="32"/>
          <w:szCs w:val="32"/>
          <w:lang w:eastAsia="zh-CN" w:bidi="ar"/>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本部门本年度无国有资本经营决算拨款收支。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adjustRightInd/>
        <w:snapToGrid/>
        <w:spacing w:line="560" w:lineRule="exact"/>
        <w:ind w:left="1281" w:leftChars="304" w:hanging="643" w:hanging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33.84</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组织对2019年</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个政府性基金预算项目支出开展绩效自评，</w:t>
      </w:r>
      <w:r>
        <w:rPr>
          <w:rFonts w:hint="eastAsia" w:ascii="仿宋_GB2312" w:hAnsi="仿宋_GB2312" w:eastAsia="仿宋_GB2312" w:cs="仿宋_GB2312"/>
          <w:color w:val="000000"/>
          <w:sz w:val="32"/>
          <w:szCs w:val="32"/>
        </w:rPr>
        <w:t>共涉及资金</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1281" w:leftChars="304" w:hanging="643" w:hangingChars="200"/>
        <w:jc w:val="left"/>
        <w:textAlignment w:val="auto"/>
        <w:rPr>
          <w:rFonts w:hint="eastAsia" w:ascii="楷体_GB2312" w:hAnsi="宋体" w:eastAsia="楷体_GB2312" w:cs="楷体_GB2312"/>
          <w:b/>
          <w:color w:val="000000"/>
          <w:kern w:val="0"/>
          <w:sz w:val="32"/>
          <w:szCs w:val="32"/>
          <w:lang w:eastAsia="zh-CN" w:bidi="ar"/>
        </w:rPr>
      </w:pPr>
      <w:r>
        <w:rPr>
          <w:rFonts w:hint="eastAsia" w:ascii="楷体_GB2312" w:hAnsi="宋体" w:eastAsia="楷体_GB2312" w:cs="楷体_GB2312"/>
          <w:b/>
          <w:color w:val="000000"/>
          <w:kern w:val="0"/>
          <w:sz w:val="32"/>
          <w:szCs w:val="32"/>
          <w:lang w:eastAsia="zh-CN" w:bidi="ar"/>
        </w:rPr>
        <w:t>（</w:t>
      </w:r>
      <w:r>
        <w:rPr>
          <w:rFonts w:hint="eastAsia" w:ascii="楷体_GB2312" w:hAnsi="宋体" w:eastAsia="楷体_GB2312" w:cs="楷体_GB2312"/>
          <w:b/>
          <w:color w:val="000000"/>
          <w:kern w:val="0"/>
          <w:sz w:val="32"/>
          <w:szCs w:val="32"/>
          <w:lang w:val="en-US" w:eastAsia="zh-CN" w:bidi="ar"/>
        </w:rPr>
        <w:t>二</w:t>
      </w:r>
      <w:r>
        <w:rPr>
          <w:rFonts w:hint="eastAsia" w:ascii="楷体_GB2312" w:hAnsi="宋体" w:eastAsia="楷体_GB2312" w:cs="楷体_GB2312"/>
          <w:b/>
          <w:color w:val="000000"/>
          <w:kern w:val="0"/>
          <w:sz w:val="32"/>
          <w:szCs w:val="32"/>
          <w:lang w:eastAsia="zh-CN" w:bidi="ar"/>
        </w:rPr>
        <w:t>）</w:t>
      </w:r>
      <w:r>
        <w:rPr>
          <w:rFonts w:hint="eastAsia" w:ascii="楷体_GB2312" w:hAnsi="宋体" w:eastAsia="楷体_GB2312" w:cs="楷体_GB2312"/>
          <w:b/>
          <w:color w:val="000000"/>
          <w:kern w:val="0"/>
          <w:sz w:val="32"/>
          <w:szCs w:val="32"/>
          <w:lang w:bidi="ar"/>
        </w:rPr>
        <w:t>部门决算中项目绩效自评结果。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根据年初设定的绩效目标，项目自评得分</w:t>
      </w:r>
      <w:r>
        <w:rPr>
          <w:rFonts w:hint="eastAsia" w:ascii="仿宋_GB2312" w:hAnsi="仿宋_GB2312" w:eastAsia="仿宋_GB2312" w:cs="仿宋_GB2312"/>
          <w:color w:val="000000"/>
          <w:sz w:val="32"/>
          <w:szCs w:val="32"/>
          <w:lang w:val="en-US" w:eastAsia="zh-CN"/>
        </w:rPr>
        <w:t>84</w:t>
      </w:r>
      <w:r>
        <w:rPr>
          <w:rFonts w:hint="eastAsia" w:ascii="仿宋_GB2312" w:hAnsi="仿宋_GB2312" w:eastAsia="仿宋_GB2312" w:cs="仿宋_GB2312"/>
          <w:color w:val="000000"/>
          <w:sz w:val="32"/>
          <w:szCs w:val="32"/>
        </w:rPr>
        <w:t>分。项目全年预算数</w:t>
      </w:r>
      <w:r>
        <w:rPr>
          <w:rFonts w:hint="eastAsia" w:ascii="仿宋_GB2312" w:hAnsi="仿宋_GB2312" w:eastAsia="仿宋_GB2312" w:cs="仿宋_GB2312"/>
          <w:color w:val="000000"/>
          <w:sz w:val="32"/>
          <w:szCs w:val="32"/>
          <w:lang w:val="en-US" w:eastAsia="zh-CN"/>
        </w:rPr>
        <w:t>42.19</w:t>
      </w:r>
      <w:r>
        <w:rPr>
          <w:rFonts w:hint="eastAsia" w:ascii="仿宋_GB2312" w:hAnsi="仿宋_GB2312" w:eastAsia="仿宋_GB2312" w:cs="仿宋_GB2312"/>
          <w:color w:val="000000"/>
          <w:sz w:val="32"/>
          <w:szCs w:val="32"/>
        </w:rPr>
        <w:t>万元，执行数</w:t>
      </w:r>
      <w:r>
        <w:rPr>
          <w:rFonts w:hint="eastAsia" w:ascii="仿宋_GB2312" w:hAnsi="仿宋_GB2312" w:eastAsia="仿宋_GB2312" w:cs="仿宋_GB2312"/>
          <w:color w:val="000000"/>
          <w:sz w:val="32"/>
          <w:szCs w:val="32"/>
          <w:lang w:val="en-US" w:eastAsia="zh-CN"/>
        </w:rPr>
        <w:t>33.84</w:t>
      </w:r>
      <w:r>
        <w:rPr>
          <w:rFonts w:hint="eastAsia"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lang w:val="en-US" w:eastAsia="zh-CN"/>
        </w:rPr>
        <w:t>80.21</w:t>
      </w:r>
      <w:r>
        <w:rPr>
          <w:rFonts w:hint="eastAsia" w:ascii="仿宋_GB2312" w:hAnsi="仿宋_GB2312" w:eastAsia="仿宋_GB2312" w:cs="仿宋_GB2312"/>
          <w:color w:val="000000"/>
          <w:sz w:val="32"/>
          <w:szCs w:val="32"/>
        </w:rPr>
        <w:t>%。主要产出和效果</w:t>
      </w:r>
      <w:r>
        <w:rPr>
          <w:rFonts w:hint="eastAsia" w:ascii="仿宋_GB2312" w:hAnsi="仿宋_GB2312" w:eastAsia="仿宋_GB2312" w:cs="仿宋_GB2312"/>
          <w:color w:val="000000"/>
          <w:sz w:val="32"/>
          <w:szCs w:val="32"/>
          <w:lang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1"/>
          <w:szCs w:val="31"/>
          <w:u w:val="none"/>
          <w:shd w:val="clear"/>
          <w:lang w:val="en-US" w:eastAsia="zh-CN" w:bidi="ar"/>
        </w:rPr>
      </w:pPr>
      <w:r>
        <w:rPr>
          <w:rFonts w:hint="eastAsia" w:ascii="仿宋_GB2312" w:hAnsi="仿宋_GB2312" w:eastAsia="仿宋_GB2312" w:cs="仿宋_GB2312"/>
          <w:color w:val="auto"/>
          <w:sz w:val="32"/>
          <w:szCs w:val="32"/>
          <w:lang w:val="en-US" w:eastAsia="zh-CN"/>
        </w:rPr>
        <w:t>西部计划志愿者及青春驿站项目：</w:t>
      </w:r>
      <w:r>
        <w:rPr>
          <w:rFonts w:hint="eastAsia" w:ascii="仿宋_GB2312" w:hAnsi="仿宋_GB2312" w:eastAsia="仿宋_GB2312" w:cs="仿宋_GB2312"/>
          <w:color w:val="auto"/>
          <w:sz w:val="32"/>
          <w:szCs w:val="32"/>
        </w:rPr>
        <w:t>1.切实提高我区少先队工作科学化水平，充分发挥少先队组织育人的独特作用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举办少先队教学能手评选大赛、少先队鼓号队展演、留守儿童夏令营、红领巾大讲堂等一系列活动30余场次</w:t>
      </w:r>
      <w:r>
        <w:rPr>
          <w:rFonts w:hint="eastAsia" w:ascii="仿宋_GB2312" w:hAnsi="仿宋_GB2312" w:eastAsia="仿宋_GB2312" w:cs="仿宋_GB2312"/>
          <w:color w:val="auto"/>
          <w:sz w:val="32"/>
          <w:szCs w:val="32"/>
        </w:rPr>
        <w:t>；2.形成较为完善的预防青少年违法犯罪工作体系，针对我区青少年法制宣传教育常态化全覆盖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开展预青宣传、红领巾法学院建设、青春灯塔自护宣讲等一系列活动20余场次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.保障服务我区西部计划志愿者权益，</w:t>
      </w:r>
      <w:r>
        <w:rPr>
          <w:rFonts w:hint="eastAsia" w:ascii="仿宋_GB2312" w:hAnsi="仿宋_GB2312" w:eastAsia="仿宋_GB2312" w:cs="仿宋_GB2312"/>
          <w:color w:val="auto"/>
          <w:sz w:val="32"/>
          <w:szCs w:val="32"/>
          <w:lang w:val="en-US" w:eastAsia="zh-CN"/>
        </w:rPr>
        <w:t>为27名服务我区的西部计划志愿者</w:t>
      </w:r>
      <w:r>
        <w:rPr>
          <w:rFonts w:hint="eastAsia" w:ascii="仿宋_GB2312" w:hAnsi="仿宋_GB2312" w:eastAsia="仿宋_GB2312" w:cs="仿宋_GB2312"/>
          <w:color w:val="auto"/>
          <w:sz w:val="32"/>
          <w:szCs w:val="32"/>
        </w:rPr>
        <w:t>足额为其缴纳社会保险；</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.加强青春驿站建设，为我区青少年提供更为多元化、专业化的服务平台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支持新建青春驿站3个</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.强化我区团队干部教育培训，建设一支理论素养好、工作能力强、业务水平高的团队干部队伍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全年共计开展团队干部培训9场，累计覆盖团队干部486人次；6.</w:t>
      </w:r>
      <w:r>
        <w:rPr>
          <w:rFonts w:hint="eastAsia" w:ascii="仿宋_GB2312" w:hAnsi="仿宋_GB2312" w:eastAsia="仿宋_GB2312" w:cs="仿宋_GB2312"/>
          <w:color w:val="auto"/>
          <w:kern w:val="0"/>
          <w:sz w:val="32"/>
          <w:szCs w:val="32"/>
          <w:lang w:val="en-US" w:eastAsia="zh-CN"/>
        </w:rPr>
        <w:t>承办农村青年致富带头人培训班、农村电商网红达人培训班等3期青年职业农民培训，对来省内外的328名新型职业农民、家庭农场经营者、农民合作社带头人、涉农创业者进行了专题培训。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auto"/>
          <w:sz w:val="32"/>
          <w:szCs w:val="32"/>
          <w:lang w:val="en-US" w:eastAsia="zh-CN"/>
        </w:rPr>
        <w:sectPr>
          <w:pgSz w:w="11906" w:h="16838"/>
          <w:pgMar w:top="1165" w:right="1588" w:bottom="2098" w:left="1474" w:header="851" w:footer="992" w:gutter="0"/>
          <w:cols w:space="0" w:num="1"/>
          <w:docGrid w:type="lines" w:linePitch="315" w:charSpace="0"/>
        </w:sectPr>
      </w:pPr>
      <w:r>
        <w:rPr>
          <w:rFonts w:hint="eastAsia" w:ascii="仿宋_GB2312" w:hAnsi="仿宋_GB2312" w:eastAsia="仿宋_GB2312" w:cs="仿宋_GB2312"/>
          <w:color w:val="auto"/>
          <w:sz w:val="32"/>
          <w:szCs w:val="32"/>
          <w:lang w:val="en-US" w:eastAsia="zh-CN"/>
        </w:rPr>
        <w:t>2019年，</w:t>
      </w:r>
      <w:r>
        <w:rPr>
          <w:rFonts w:hint="eastAsia" w:ascii="仿宋_GB2312" w:hAnsi="仿宋_GB2312" w:eastAsia="仿宋_GB2312" w:cs="仿宋_GB2312"/>
          <w:color w:val="auto"/>
          <w:sz w:val="32"/>
          <w:szCs w:val="32"/>
        </w:rPr>
        <w:t>在区委区政府</w:t>
      </w:r>
      <w:r>
        <w:rPr>
          <w:rFonts w:hint="eastAsia" w:ascii="仿宋_GB2312" w:hAnsi="仿宋_GB2312" w:eastAsia="仿宋_GB2312" w:cs="仿宋_GB2312"/>
          <w:color w:val="auto"/>
          <w:sz w:val="32"/>
          <w:szCs w:val="32"/>
          <w:lang w:val="en-US" w:eastAsia="zh-CN"/>
        </w:rPr>
        <w:t>和示范区团工委</w:t>
      </w:r>
      <w:r>
        <w:rPr>
          <w:rFonts w:hint="eastAsia" w:ascii="仿宋_GB2312" w:hAnsi="仿宋_GB2312" w:eastAsia="仿宋_GB2312" w:cs="仿宋_GB2312"/>
          <w:color w:val="auto"/>
          <w:sz w:val="32"/>
          <w:szCs w:val="32"/>
        </w:rPr>
        <w:t>的领导和精</w:t>
      </w:r>
      <w:r>
        <w:rPr>
          <w:rFonts w:hint="eastAsia" w:ascii="仿宋_GB2312" w:eastAsia="仿宋_GB2312"/>
          <w:color w:val="auto"/>
          <w:sz w:val="32"/>
          <w:szCs w:val="32"/>
        </w:rPr>
        <w:t>心指导下，在有关部门和社会各界的大力支持下</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val="en-US" w:eastAsia="zh-CN"/>
        </w:rPr>
        <w:t>下一步，团区委将加强业务协调，形成整体管理合力，充分发挥内部“跟踪问效岗位责任制”，推进项目资金按要求落地，按规范使用资金，通过对绩效目标的有效管理，对推动本部门预算管理取得标准规范的效果，提升部门预算绩效管理“花钱问效”的责任意识。</w:t>
      </w:r>
    </w:p>
    <w:p>
      <w:pPr>
        <w:widowControl/>
        <w:ind w:left="-824" w:leftChars="-400" w:hanging="16" w:hangingChars="5"/>
        <w:jc w:val="left"/>
        <w:rPr>
          <w:rFonts w:hint="eastAsia" w:ascii="楷体" w:hAnsi="楷体" w:eastAsia="楷体" w:cs="楷体"/>
          <w:sz w:val="32"/>
          <w:szCs w:val="32"/>
        </w:rPr>
        <w:sectPr>
          <w:pgSz w:w="11906" w:h="16838"/>
          <w:pgMar w:top="638" w:right="1474" w:bottom="1985" w:left="1588"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701.35pt;width:547.5pt;" o:ole="t" filled="f" o:preferrelative="t" stroked="f" coordsize="21600,21600">
            <v:path/>
            <v:fill on="f" focussize="0,0"/>
            <v:stroke on="f"/>
            <v:imagedata r:id="rId14" o:title=""/>
            <o:lock v:ext="edit" aspectratio="t"/>
            <w10:wrap type="none"/>
            <w10:anchorlock/>
          </v:shape>
          <o:OLEObject Type="Embed" ProgID="Excel.Sheet.8" ShapeID="_x0000_i1025" DrawAspect="Content" ObjectID="_1468075725" r:id="rId13">
            <o:LockedField>false</o:LockedField>
          </o:OLEObject>
        </w:object>
      </w:r>
    </w:p>
    <w:p>
      <w:pPr>
        <w:widowControl/>
        <w:ind w:left="-824" w:leftChars="-400" w:hanging="16" w:hangingChars="5"/>
        <w:jc w:val="left"/>
        <w:rPr>
          <w:rFonts w:ascii="楷体" w:hAnsi="楷体" w:eastAsia="楷体" w:cs="楷体"/>
          <w:sz w:val="32"/>
          <w:szCs w:val="32"/>
        </w:rPr>
      </w:pPr>
      <w:r>
        <w:rPr>
          <w:rFonts w:hint="eastAsia" w:ascii="楷体" w:hAnsi="楷体" w:eastAsia="楷体" w:cs="楷体"/>
          <w:sz w:val="32"/>
          <w:szCs w:val="32"/>
        </w:rPr>
        <w:object>
          <v:shape id="_x0000_i1026" o:spt="75" alt="" type="#_x0000_t75" style="height:1483.5pt;width:696.65pt;" o:ole="t" filled="f" o:preferrelative="t" stroked="f" coordsize="21600,21600">
            <v:path/>
            <v:fill on="f" focussize="0,0"/>
            <v:stroke on="f"/>
            <v:imagedata r:id="rId16" o:title=""/>
            <o:lock v:ext="edit" aspectratio="t"/>
            <w10:wrap type="none"/>
            <w10:anchorlock/>
          </v:shape>
          <o:OLEObject Type="Embed" ProgID="Excel.Sheet.8" ShapeID="_x0000_i1026" DrawAspect="Content" ObjectID="_1468075726" r:id="rId15">
            <o:LockedField>false</o:LockedField>
          </o:OLEObject>
        </w:object>
      </w:r>
    </w:p>
    <w:p>
      <w:pPr>
        <w:rPr>
          <w:rFonts w:ascii="楷体" w:hAnsi="楷体" w:eastAsia="楷体" w:cs="楷体"/>
          <w:sz w:val="32"/>
          <w:szCs w:val="32"/>
        </w:rPr>
      </w:pPr>
    </w:p>
    <w:p>
      <w:pPr>
        <w:ind w:left="-1" w:leftChars="-200" w:hanging="419" w:hangingChars="131"/>
        <w:rPr>
          <w:rFonts w:ascii="楷体" w:hAnsi="楷体" w:eastAsia="楷体" w:cs="楷体"/>
          <w:sz w:val="32"/>
          <w:szCs w:val="32"/>
        </w:rPr>
      </w:pPr>
      <w:bookmarkStart w:id="0" w:name="_GoBack"/>
      <w:r>
        <w:rPr>
          <w:rFonts w:hint="eastAsia" w:ascii="楷体" w:hAnsi="楷体" w:eastAsia="楷体" w:cs="楷体"/>
          <w:sz w:val="32"/>
          <w:szCs w:val="32"/>
        </w:rPr>
        <w:object>
          <v:shape id="_x0000_i1027" o:spt="75" alt="" type="#_x0000_t75" style="height:394.75pt;width:724.45pt;" o:ole="t" filled="f" o:preferrelative="t" stroked="f" coordsize="21600,21600">
            <v:path/>
            <v:fill on="f" focussize="0,0"/>
            <v:stroke on="f"/>
            <v:imagedata r:id="rId18" o:title=""/>
            <o:lock v:ext="edit" aspectratio="t"/>
            <w10:wrap type="none"/>
            <w10:anchorlock/>
          </v:shape>
          <o:OLEObject Type="Embed" ProgID="Excel.Sheet.8" ShapeID="_x0000_i1027" DrawAspect="Content" ObjectID="_1468075727" r:id="rId17">
            <o:LockedField>false</o:LockedField>
          </o:OLEObject>
        </w:object>
      </w:r>
      <w:bookmarkEnd w:id="0"/>
    </w:p>
    <w:p>
      <w:pPr>
        <w:widowControl/>
        <w:jc w:val="left"/>
        <w:rPr>
          <w:rFonts w:ascii="楷体" w:hAnsi="楷体" w:eastAsia="楷体" w:cs="楷体"/>
          <w:sz w:val="32"/>
          <w:szCs w:val="32"/>
        </w:rPr>
        <w:sectPr>
          <w:pgSz w:w="16838" w:h="11906" w:orient="landscape"/>
          <w:pgMar w:top="1588" w:right="63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5.65pt;" o:ole="t" filled="f" o:preferrelative="t" stroked="f" coordsize="21600,21600">
            <v:path/>
            <v:fill on="f" focussize="0,0"/>
            <v:stroke on="f"/>
            <v:imagedata r:id="rId20" o:title=""/>
            <o:lock v:ext="edit" aspectratio="t"/>
            <w10:wrap type="none"/>
            <w10:anchorlock/>
          </v:shape>
          <o:OLEObject Type="Embed" ProgID="Excel.Sheet.8" ShapeID="_x0000_i1028" DrawAspect="Content" ObjectID="_1468075728" r:id="rId19">
            <o:LockedField>false</o:LockedField>
          </o:OLEObject>
        </w:objec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十一、其他重要事项说明</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（一）机关运行经费支出情况说明。 </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2019年机关运行经费预算为5.00万元，支出决算为4.63万元，完成预算的92.6%。决算数较预算数减少0.37万元，主要原因是印刷费减少。</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（二）政府采购支出情况说明。</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本部门2019年无政府采购支出。</w:t>
      </w:r>
    </w:p>
    <w:p>
      <w:pPr>
        <w:widowControl/>
        <w:ind w:firstLine="643" w:firstLineChars="200"/>
        <w:jc w:val="left"/>
        <w:rPr>
          <w:rFonts w:ascii="楷体_GB2312" w:hAnsi="宋体" w:eastAsia="楷体_GB2312" w:cs="楷体_GB2312"/>
          <w:b/>
          <w:color w:val="auto"/>
          <w:kern w:val="0"/>
          <w:sz w:val="32"/>
          <w:szCs w:val="32"/>
          <w:lang w:bidi="ar"/>
        </w:rPr>
      </w:pPr>
      <w:r>
        <w:rPr>
          <w:rFonts w:hint="eastAsia" w:ascii="楷体_GB2312" w:hAnsi="宋体" w:eastAsia="楷体_GB2312" w:cs="楷体_GB2312"/>
          <w:b/>
          <w:color w:val="auto"/>
          <w:kern w:val="0"/>
          <w:sz w:val="32"/>
          <w:szCs w:val="32"/>
          <w:lang w:bidi="ar"/>
        </w:rPr>
        <w:t>（三）国有资产占用及购置情况</w:t>
      </w:r>
      <w:r>
        <w:rPr>
          <w:rFonts w:hint="eastAsia" w:ascii="楷体_GB2312" w:hAnsi="宋体" w:eastAsia="楷体_GB2312" w:cs="楷体_GB2312"/>
          <w:b/>
          <w:color w:val="auto"/>
          <w:kern w:val="0"/>
          <w:sz w:val="32"/>
          <w:szCs w:val="32"/>
          <w:lang w:eastAsia="zh-CN" w:bidi="ar"/>
        </w:rPr>
        <w:t>说明</w:t>
      </w:r>
      <w:r>
        <w:rPr>
          <w:rFonts w:hint="eastAsia" w:ascii="楷体_GB2312" w:hAnsi="宋体" w:eastAsia="楷体_GB2312" w:cs="楷体_GB2312"/>
          <w:b/>
          <w:color w:val="auto"/>
          <w:kern w:val="0"/>
          <w:sz w:val="32"/>
          <w:szCs w:val="32"/>
          <w:lang w:bidi="ar"/>
        </w:rPr>
        <w:t>。</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截至2019年末，本部门机关及所属单位共有车辆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辆；单价50万元以上的通用设备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台（套）；单价100万元以上的专用设备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台（套）。201</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年当年购置车辆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辆；购置单价50万元以上的通用设备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台（套）；购置单价100万元以上的专用设备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rFonts w:hint="eastAsia" w:ascii="黑体" w:hAnsi="宋体" w:eastAsia="黑体"/>
          <w:color w:val="000000"/>
          <w:kern w:val="0"/>
          <w:sz w:val="44"/>
          <w:szCs w:val="44"/>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0FF2EC"/>
    <w:multiLevelType w:val="singleLevel"/>
    <w:tmpl w:val="EF0FF2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0E89"/>
    <w:rsid w:val="00146787"/>
    <w:rsid w:val="00164001"/>
    <w:rsid w:val="001D7568"/>
    <w:rsid w:val="001E0A2A"/>
    <w:rsid w:val="002424C8"/>
    <w:rsid w:val="002A7893"/>
    <w:rsid w:val="003364E9"/>
    <w:rsid w:val="00452E2E"/>
    <w:rsid w:val="004B6D6E"/>
    <w:rsid w:val="00555300"/>
    <w:rsid w:val="00637FBB"/>
    <w:rsid w:val="00813F4A"/>
    <w:rsid w:val="00B80654"/>
    <w:rsid w:val="00CB22C2"/>
    <w:rsid w:val="00E8111E"/>
    <w:rsid w:val="01026CFA"/>
    <w:rsid w:val="013B79AC"/>
    <w:rsid w:val="01823F6F"/>
    <w:rsid w:val="01A51DFF"/>
    <w:rsid w:val="02875993"/>
    <w:rsid w:val="02E70B95"/>
    <w:rsid w:val="03534648"/>
    <w:rsid w:val="047E7924"/>
    <w:rsid w:val="05066DE1"/>
    <w:rsid w:val="05743656"/>
    <w:rsid w:val="05880312"/>
    <w:rsid w:val="05C17082"/>
    <w:rsid w:val="061E6A00"/>
    <w:rsid w:val="067C1C62"/>
    <w:rsid w:val="07346610"/>
    <w:rsid w:val="078D7A0F"/>
    <w:rsid w:val="078F0FEA"/>
    <w:rsid w:val="084D385D"/>
    <w:rsid w:val="0857587D"/>
    <w:rsid w:val="095466F6"/>
    <w:rsid w:val="09F53D4E"/>
    <w:rsid w:val="0A042FFD"/>
    <w:rsid w:val="0A08200A"/>
    <w:rsid w:val="0A616177"/>
    <w:rsid w:val="0A78398F"/>
    <w:rsid w:val="0AB071C3"/>
    <w:rsid w:val="0B1116AE"/>
    <w:rsid w:val="0B5168A3"/>
    <w:rsid w:val="0BA10E9E"/>
    <w:rsid w:val="0BCA06FE"/>
    <w:rsid w:val="0BF37F29"/>
    <w:rsid w:val="0C1C25A7"/>
    <w:rsid w:val="0CB220CF"/>
    <w:rsid w:val="0CD84062"/>
    <w:rsid w:val="0E193904"/>
    <w:rsid w:val="0E3A72BE"/>
    <w:rsid w:val="0E827064"/>
    <w:rsid w:val="0E9D114E"/>
    <w:rsid w:val="0ED75056"/>
    <w:rsid w:val="0F384F19"/>
    <w:rsid w:val="10454C7B"/>
    <w:rsid w:val="105D60FB"/>
    <w:rsid w:val="10617EC6"/>
    <w:rsid w:val="113B50A3"/>
    <w:rsid w:val="11AB635C"/>
    <w:rsid w:val="125E2600"/>
    <w:rsid w:val="12852169"/>
    <w:rsid w:val="12984981"/>
    <w:rsid w:val="129B6445"/>
    <w:rsid w:val="12A927BE"/>
    <w:rsid w:val="1320638A"/>
    <w:rsid w:val="132E46A0"/>
    <w:rsid w:val="135836DD"/>
    <w:rsid w:val="137C780A"/>
    <w:rsid w:val="138A3944"/>
    <w:rsid w:val="13C56DC8"/>
    <w:rsid w:val="13DA5A35"/>
    <w:rsid w:val="143B0A0C"/>
    <w:rsid w:val="14411117"/>
    <w:rsid w:val="14C04F89"/>
    <w:rsid w:val="14D97F99"/>
    <w:rsid w:val="150B7017"/>
    <w:rsid w:val="15252DA4"/>
    <w:rsid w:val="154553B4"/>
    <w:rsid w:val="155959C7"/>
    <w:rsid w:val="155B2010"/>
    <w:rsid w:val="1586116E"/>
    <w:rsid w:val="15BF2B11"/>
    <w:rsid w:val="161637D8"/>
    <w:rsid w:val="170303A1"/>
    <w:rsid w:val="17582893"/>
    <w:rsid w:val="17F50DED"/>
    <w:rsid w:val="181E18BD"/>
    <w:rsid w:val="18BB4AD7"/>
    <w:rsid w:val="18F820BF"/>
    <w:rsid w:val="191641EB"/>
    <w:rsid w:val="1931415D"/>
    <w:rsid w:val="19BA72BA"/>
    <w:rsid w:val="1A345C34"/>
    <w:rsid w:val="1A7814A6"/>
    <w:rsid w:val="1A785AE4"/>
    <w:rsid w:val="1AA82409"/>
    <w:rsid w:val="1ACC5E08"/>
    <w:rsid w:val="1AD71A10"/>
    <w:rsid w:val="1B0E14E4"/>
    <w:rsid w:val="1B4A3FDA"/>
    <w:rsid w:val="1B524C98"/>
    <w:rsid w:val="1C4628D6"/>
    <w:rsid w:val="1C5278EF"/>
    <w:rsid w:val="1C5E2F73"/>
    <w:rsid w:val="1CA51EBB"/>
    <w:rsid w:val="1CF27854"/>
    <w:rsid w:val="1D6E0C0D"/>
    <w:rsid w:val="1E16789C"/>
    <w:rsid w:val="1EC5146A"/>
    <w:rsid w:val="1F020B24"/>
    <w:rsid w:val="1F0F76ED"/>
    <w:rsid w:val="1F3F2A65"/>
    <w:rsid w:val="1FF27F8B"/>
    <w:rsid w:val="1FFD27CF"/>
    <w:rsid w:val="207148B2"/>
    <w:rsid w:val="20782A72"/>
    <w:rsid w:val="2130635B"/>
    <w:rsid w:val="214D0861"/>
    <w:rsid w:val="219F4E9B"/>
    <w:rsid w:val="21A61445"/>
    <w:rsid w:val="221C15BB"/>
    <w:rsid w:val="22375EB6"/>
    <w:rsid w:val="22C7691E"/>
    <w:rsid w:val="22E34877"/>
    <w:rsid w:val="234625ED"/>
    <w:rsid w:val="237F799D"/>
    <w:rsid w:val="23E335F7"/>
    <w:rsid w:val="23EB5B01"/>
    <w:rsid w:val="24084C46"/>
    <w:rsid w:val="24427903"/>
    <w:rsid w:val="24613D0C"/>
    <w:rsid w:val="24637FBA"/>
    <w:rsid w:val="2469209A"/>
    <w:rsid w:val="249C1458"/>
    <w:rsid w:val="24FA4963"/>
    <w:rsid w:val="25471F9D"/>
    <w:rsid w:val="256D4D01"/>
    <w:rsid w:val="257D50CA"/>
    <w:rsid w:val="257E6E25"/>
    <w:rsid w:val="25AE3068"/>
    <w:rsid w:val="25D709C3"/>
    <w:rsid w:val="26C178BF"/>
    <w:rsid w:val="27166959"/>
    <w:rsid w:val="272935E6"/>
    <w:rsid w:val="277F230E"/>
    <w:rsid w:val="27C57E7B"/>
    <w:rsid w:val="27FA4E7A"/>
    <w:rsid w:val="29440FCE"/>
    <w:rsid w:val="2949582C"/>
    <w:rsid w:val="29705CA2"/>
    <w:rsid w:val="29785A6B"/>
    <w:rsid w:val="29B76D6D"/>
    <w:rsid w:val="2A4A3D02"/>
    <w:rsid w:val="2A5601C5"/>
    <w:rsid w:val="2AEB7933"/>
    <w:rsid w:val="2B004E08"/>
    <w:rsid w:val="2BE20C1C"/>
    <w:rsid w:val="2C11319E"/>
    <w:rsid w:val="2C3125C1"/>
    <w:rsid w:val="2CB960AD"/>
    <w:rsid w:val="2CE204D7"/>
    <w:rsid w:val="2D025444"/>
    <w:rsid w:val="2D0720A0"/>
    <w:rsid w:val="2D1F3974"/>
    <w:rsid w:val="2D3E5CF7"/>
    <w:rsid w:val="2D5C1641"/>
    <w:rsid w:val="2D65122D"/>
    <w:rsid w:val="2D664A12"/>
    <w:rsid w:val="2D687277"/>
    <w:rsid w:val="2DB52EF2"/>
    <w:rsid w:val="2DCB6FE0"/>
    <w:rsid w:val="2DCC00B7"/>
    <w:rsid w:val="2DE65DBC"/>
    <w:rsid w:val="2EA339C2"/>
    <w:rsid w:val="2F0569ED"/>
    <w:rsid w:val="30453669"/>
    <w:rsid w:val="30792533"/>
    <w:rsid w:val="30EB5508"/>
    <w:rsid w:val="312F4B79"/>
    <w:rsid w:val="316F7EAA"/>
    <w:rsid w:val="31AA6038"/>
    <w:rsid w:val="31CA19D0"/>
    <w:rsid w:val="31CE062C"/>
    <w:rsid w:val="32101833"/>
    <w:rsid w:val="324A3A58"/>
    <w:rsid w:val="32D94A2E"/>
    <w:rsid w:val="32F856F5"/>
    <w:rsid w:val="33620434"/>
    <w:rsid w:val="33887EE3"/>
    <w:rsid w:val="33F517A9"/>
    <w:rsid w:val="34083D99"/>
    <w:rsid w:val="340D4DFC"/>
    <w:rsid w:val="341D2AB1"/>
    <w:rsid w:val="34677C61"/>
    <w:rsid w:val="34875658"/>
    <w:rsid w:val="34954B41"/>
    <w:rsid w:val="34D8163F"/>
    <w:rsid w:val="358D3971"/>
    <w:rsid w:val="36565A85"/>
    <w:rsid w:val="365B0B7F"/>
    <w:rsid w:val="36E24E52"/>
    <w:rsid w:val="37567622"/>
    <w:rsid w:val="376155F0"/>
    <w:rsid w:val="37926B34"/>
    <w:rsid w:val="37B87B2B"/>
    <w:rsid w:val="37D52227"/>
    <w:rsid w:val="37E35622"/>
    <w:rsid w:val="38AE3A56"/>
    <w:rsid w:val="38AF3E31"/>
    <w:rsid w:val="38C75DE8"/>
    <w:rsid w:val="38D94595"/>
    <w:rsid w:val="394E74D7"/>
    <w:rsid w:val="3975535D"/>
    <w:rsid w:val="39822F11"/>
    <w:rsid w:val="39AD72DD"/>
    <w:rsid w:val="39B31527"/>
    <w:rsid w:val="39F02C6D"/>
    <w:rsid w:val="39FD24DE"/>
    <w:rsid w:val="3A0F7F1A"/>
    <w:rsid w:val="3A323AD4"/>
    <w:rsid w:val="3A5C28DF"/>
    <w:rsid w:val="3A7104CE"/>
    <w:rsid w:val="3AC04624"/>
    <w:rsid w:val="3B121AD1"/>
    <w:rsid w:val="3B163997"/>
    <w:rsid w:val="3B7452CC"/>
    <w:rsid w:val="3BB33F4B"/>
    <w:rsid w:val="3C513E22"/>
    <w:rsid w:val="3C6A30C6"/>
    <w:rsid w:val="3C9906CB"/>
    <w:rsid w:val="3CA50519"/>
    <w:rsid w:val="3CCA3F93"/>
    <w:rsid w:val="3CFD0D2E"/>
    <w:rsid w:val="3D3B498C"/>
    <w:rsid w:val="3D754945"/>
    <w:rsid w:val="3DCC77CC"/>
    <w:rsid w:val="3E647D0A"/>
    <w:rsid w:val="3EC7252D"/>
    <w:rsid w:val="3F1B17FE"/>
    <w:rsid w:val="3F5529D8"/>
    <w:rsid w:val="40A92F35"/>
    <w:rsid w:val="41074C1F"/>
    <w:rsid w:val="41603979"/>
    <w:rsid w:val="417352B0"/>
    <w:rsid w:val="41983D05"/>
    <w:rsid w:val="41CF436B"/>
    <w:rsid w:val="41EE7463"/>
    <w:rsid w:val="422C1CD1"/>
    <w:rsid w:val="42A2208B"/>
    <w:rsid w:val="42D51234"/>
    <w:rsid w:val="42D87FCF"/>
    <w:rsid w:val="42FB1794"/>
    <w:rsid w:val="42FC5F8E"/>
    <w:rsid w:val="4373258C"/>
    <w:rsid w:val="43C661AB"/>
    <w:rsid w:val="43CE077C"/>
    <w:rsid w:val="43DF46C5"/>
    <w:rsid w:val="44780BE1"/>
    <w:rsid w:val="449D6258"/>
    <w:rsid w:val="44ED67AB"/>
    <w:rsid w:val="45393D51"/>
    <w:rsid w:val="45700061"/>
    <w:rsid w:val="45AB3A9D"/>
    <w:rsid w:val="45B7394A"/>
    <w:rsid w:val="45E83428"/>
    <w:rsid w:val="4619368A"/>
    <w:rsid w:val="46622FF0"/>
    <w:rsid w:val="46A90420"/>
    <w:rsid w:val="46B848B1"/>
    <w:rsid w:val="47114A5C"/>
    <w:rsid w:val="471F2499"/>
    <w:rsid w:val="47BA71FE"/>
    <w:rsid w:val="489A6E44"/>
    <w:rsid w:val="49422742"/>
    <w:rsid w:val="499C2BB6"/>
    <w:rsid w:val="49B4294F"/>
    <w:rsid w:val="4A8400D6"/>
    <w:rsid w:val="4B2B4EDF"/>
    <w:rsid w:val="4BF15DAB"/>
    <w:rsid w:val="4C102E53"/>
    <w:rsid w:val="4C192710"/>
    <w:rsid w:val="4C792964"/>
    <w:rsid w:val="4CC021D3"/>
    <w:rsid w:val="4CC31873"/>
    <w:rsid w:val="4CCE29AA"/>
    <w:rsid w:val="4CFA4FD3"/>
    <w:rsid w:val="4D5B0FBF"/>
    <w:rsid w:val="4D6E0FDF"/>
    <w:rsid w:val="4DAC7633"/>
    <w:rsid w:val="4E332ACF"/>
    <w:rsid w:val="4EE4307A"/>
    <w:rsid w:val="4EEC2C09"/>
    <w:rsid w:val="4F1D0194"/>
    <w:rsid w:val="4F764C08"/>
    <w:rsid w:val="4F82233E"/>
    <w:rsid w:val="4FB445C2"/>
    <w:rsid w:val="50266827"/>
    <w:rsid w:val="5060440B"/>
    <w:rsid w:val="50947E98"/>
    <w:rsid w:val="50A77C2C"/>
    <w:rsid w:val="51043FB0"/>
    <w:rsid w:val="5153143F"/>
    <w:rsid w:val="51B10185"/>
    <w:rsid w:val="5200547B"/>
    <w:rsid w:val="522A72EB"/>
    <w:rsid w:val="52A31255"/>
    <w:rsid w:val="52C30354"/>
    <w:rsid w:val="53BC386A"/>
    <w:rsid w:val="53CD0A10"/>
    <w:rsid w:val="53CE0D4F"/>
    <w:rsid w:val="53E16FDC"/>
    <w:rsid w:val="545F2E8C"/>
    <w:rsid w:val="54F12DEE"/>
    <w:rsid w:val="56B4647B"/>
    <w:rsid w:val="56FA19FD"/>
    <w:rsid w:val="57300F63"/>
    <w:rsid w:val="5756127B"/>
    <w:rsid w:val="57602559"/>
    <w:rsid w:val="578C32FD"/>
    <w:rsid w:val="579312A7"/>
    <w:rsid w:val="57B67F16"/>
    <w:rsid w:val="57F5481A"/>
    <w:rsid w:val="58496F83"/>
    <w:rsid w:val="58E809A5"/>
    <w:rsid w:val="597C1392"/>
    <w:rsid w:val="59B1791E"/>
    <w:rsid w:val="59C23158"/>
    <w:rsid w:val="5A0F4565"/>
    <w:rsid w:val="5A7C3D70"/>
    <w:rsid w:val="5A845C7E"/>
    <w:rsid w:val="5AF06071"/>
    <w:rsid w:val="5B2F30D0"/>
    <w:rsid w:val="5B7B2167"/>
    <w:rsid w:val="5B8D564A"/>
    <w:rsid w:val="5BB24850"/>
    <w:rsid w:val="5C040046"/>
    <w:rsid w:val="5C5A6C3A"/>
    <w:rsid w:val="5CA277B3"/>
    <w:rsid w:val="5CA37E49"/>
    <w:rsid w:val="5D8650FA"/>
    <w:rsid w:val="5D9B4157"/>
    <w:rsid w:val="5EE437CC"/>
    <w:rsid w:val="5EE52043"/>
    <w:rsid w:val="5F051349"/>
    <w:rsid w:val="5F3A083F"/>
    <w:rsid w:val="60E50D8C"/>
    <w:rsid w:val="61371747"/>
    <w:rsid w:val="61CB3917"/>
    <w:rsid w:val="620D628E"/>
    <w:rsid w:val="62214685"/>
    <w:rsid w:val="62AF44F0"/>
    <w:rsid w:val="62C07C5C"/>
    <w:rsid w:val="63727F4D"/>
    <w:rsid w:val="637F00D0"/>
    <w:rsid w:val="63812119"/>
    <w:rsid w:val="63892196"/>
    <w:rsid w:val="63A05342"/>
    <w:rsid w:val="63FC0E62"/>
    <w:rsid w:val="649B31E4"/>
    <w:rsid w:val="65074FBA"/>
    <w:rsid w:val="650D3FCC"/>
    <w:rsid w:val="651E65C4"/>
    <w:rsid w:val="657227F8"/>
    <w:rsid w:val="6596080B"/>
    <w:rsid w:val="65B80FC5"/>
    <w:rsid w:val="66085CAD"/>
    <w:rsid w:val="668341B6"/>
    <w:rsid w:val="66D162D3"/>
    <w:rsid w:val="67803A28"/>
    <w:rsid w:val="67B577BE"/>
    <w:rsid w:val="68097268"/>
    <w:rsid w:val="686B04BF"/>
    <w:rsid w:val="686C0A34"/>
    <w:rsid w:val="68963AD8"/>
    <w:rsid w:val="6934705C"/>
    <w:rsid w:val="69446195"/>
    <w:rsid w:val="69512523"/>
    <w:rsid w:val="69610A3C"/>
    <w:rsid w:val="696A7C02"/>
    <w:rsid w:val="6AEB4075"/>
    <w:rsid w:val="6B6860E8"/>
    <w:rsid w:val="6BAC21EC"/>
    <w:rsid w:val="6C0D289E"/>
    <w:rsid w:val="6C1757AF"/>
    <w:rsid w:val="6C4E3654"/>
    <w:rsid w:val="6C667DB5"/>
    <w:rsid w:val="6D034202"/>
    <w:rsid w:val="6DB97DF1"/>
    <w:rsid w:val="6DC911E7"/>
    <w:rsid w:val="6E2F2030"/>
    <w:rsid w:val="6E453B84"/>
    <w:rsid w:val="7014061A"/>
    <w:rsid w:val="70151CDF"/>
    <w:rsid w:val="7025638D"/>
    <w:rsid w:val="70897A91"/>
    <w:rsid w:val="71086DB5"/>
    <w:rsid w:val="71291FD0"/>
    <w:rsid w:val="719E72E3"/>
    <w:rsid w:val="71A04D30"/>
    <w:rsid w:val="72183D15"/>
    <w:rsid w:val="722C4DC4"/>
    <w:rsid w:val="72B56B9D"/>
    <w:rsid w:val="72C232AD"/>
    <w:rsid w:val="72C93BDE"/>
    <w:rsid w:val="72F939DD"/>
    <w:rsid w:val="72FE7325"/>
    <w:rsid w:val="730C1E80"/>
    <w:rsid w:val="736F060F"/>
    <w:rsid w:val="74134903"/>
    <w:rsid w:val="74A41D88"/>
    <w:rsid w:val="74BA324A"/>
    <w:rsid w:val="752B4C58"/>
    <w:rsid w:val="756A36A7"/>
    <w:rsid w:val="75C31473"/>
    <w:rsid w:val="767F7812"/>
    <w:rsid w:val="76FA1208"/>
    <w:rsid w:val="7772376E"/>
    <w:rsid w:val="77C33C95"/>
    <w:rsid w:val="78524975"/>
    <w:rsid w:val="78692223"/>
    <w:rsid w:val="788F55FF"/>
    <w:rsid w:val="796604FA"/>
    <w:rsid w:val="79AA54A8"/>
    <w:rsid w:val="79B26C21"/>
    <w:rsid w:val="79F03BF7"/>
    <w:rsid w:val="7A841036"/>
    <w:rsid w:val="7B0D2233"/>
    <w:rsid w:val="7B2737FD"/>
    <w:rsid w:val="7B70148D"/>
    <w:rsid w:val="7BB562F7"/>
    <w:rsid w:val="7BEF29FA"/>
    <w:rsid w:val="7C3E5E46"/>
    <w:rsid w:val="7C5B5A63"/>
    <w:rsid w:val="7C636B39"/>
    <w:rsid w:val="7C7357AB"/>
    <w:rsid w:val="7CA45EA5"/>
    <w:rsid w:val="7CD81045"/>
    <w:rsid w:val="7D6660F0"/>
    <w:rsid w:val="7E412C46"/>
    <w:rsid w:val="7E4E03C8"/>
    <w:rsid w:val="7EA6092E"/>
    <w:rsid w:val="7EDA7E8D"/>
    <w:rsid w:val="7EE172BA"/>
    <w:rsid w:val="7EE759C2"/>
    <w:rsid w:val="7F2828D8"/>
    <w:rsid w:val="7F5830BB"/>
    <w:rsid w:val="7F6B7DF6"/>
    <w:rsid w:val="7F862AAD"/>
    <w:rsid w:val="7FFC2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批注文字 字符"/>
    <w:basedOn w:val="10"/>
    <w:link w:val="2"/>
    <w:qFormat/>
    <w:uiPriority w:val="0"/>
    <w:rPr>
      <w:rFonts w:ascii="Calibri" w:hAnsi="Calibri" w:cs="黑体"/>
      <w:kern w:val="2"/>
      <w:sz w:val="21"/>
      <w:szCs w:val="24"/>
    </w:rPr>
  </w:style>
  <w:style w:type="character" w:customStyle="1" w:styleId="13">
    <w:name w:val="批注主题 字符"/>
    <w:basedOn w:val="12"/>
    <w:link w:val="7"/>
    <w:qFormat/>
    <w:uiPriority w:val="0"/>
    <w:rPr>
      <w:rFonts w:ascii="Calibri" w:hAnsi="Calibri" w:cs="黑体"/>
      <w:b/>
      <w:bCs/>
      <w:kern w:val="2"/>
      <w:sz w:val="21"/>
      <w:szCs w:val="24"/>
    </w:rPr>
  </w:style>
  <w:style w:type="character" w:customStyle="1" w:styleId="14">
    <w:name w:val="批注框文本 字符"/>
    <w:basedOn w:val="10"/>
    <w:link w:val="3"/>
    <w:qFormat/>
    <w:uiPriority w:val="0"/>
    <w:rPr>
      <w:rFonts w:ascii="Calibri" w:hAnsi="Calibri" w:cs="黑体"/>
      <w:kern w:val="2"/>
      <w:sz w:val="18"/>
      <w:szCs w:val="18"/>
    </w:rPr>
  </w:style>
  <w:style w:type="paragraph" w:customStyle="1" w:styleId="15">
    <w:name w:val="正文文本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中国共产主义青年团杨陵区委员会人员情况说明</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行政</c:v>
                </c:pt>
              </c:strCache>
            </c:strRef>
          </c:tx>
          <c:spPr>
            <a:solidFill>
              <a:schemeClr val="accent1"/>
            </a:solidFill>
            <a:ln>
              <a:noFill/>
            </a:ln>
            <a:effectLst/>
          </c:spPr>
          <c:invertIfNegative val="0"/>
          <c:dLbls>
            <c:delete val="1"/>
          </c:dLbls>
          <c:cat>
            <c:strRef>
              <c:f>Sheet1!$A$2:$A$4</c:f>
              <c:strCache>
                <c:ptCount val="3"/>
                <c:pt idx="0">
                  <c:v>编制人数</c:v>
                </c:pt>
                <c:pt idx="1">
                  <c:v>实有人数</c:v>
                </c:pt>
                <c:pt idx="2">
                  <c:v>退休</c:v>
                </c:pt>
              </c:strCache>
            </c:strRef>
          </c:cat>
          <c:val>
            <c:numRef>
              <c:f>Sheet1!$B$2:$B$4</c:f>
              <c:numCache>
                <c:formatCode>General</c:formatCode>
                <c:ptCount val="3"/>
                <c:pt idx="0">
                  <c:v>4</c:v>
                </c:pt>
                <c:pt idx="1">
                  <c:v>3</c:v>
                </c:pt>
                <c:pt idx="2">
                  <c:v>0</c:v>
                </c:pt>
              </c:numCache>
            </c:numRef>
          </c:val>
        </c:ser>
        <c:ser>
          <c:idx val="1"/>
          <c:order val="1"/>
          <c:tx>
            <c:strRef>
              <c:f>Sheet1!$C$1</c:f>
              <c:strCache>
                <c:ptCount val="1"/>
                <c:pt idx="0">
                  <c:v>事业</c:v>
                </c:pt>
              </c:strCache>
            </c:strRef>
          </c:tx>
          <c:spPr>
            <a:solidFill>
              <a:schemeClr val="accent2"/>
            </a:solidFill>
            <a:ln>
              <a:noFill/>
            </a:ln>
            <a:effectLst/>
          </c:spPr>
          <c:invertIfNegative val="0"/>
          <c:dLbls>
            <c:delete val="1"/>
          </c:dLbls>
          <c:cat>
            <c:strRef>
              <c:f>Sheet1!$A$2:$A$4</c:f>
              <c:strCache>
                <c:ptCount val="3"/>
                <c:pt idx="0">
                  <c:v>编制人数</c:v>
                </c:pt>
                <c:pt idx="1">
                  <c:v>实有人数</c:v>
                </c:pt>
                <c:pt idx="2">
                  <c:v>退休</c:v>
                </c:pt>
              </c:strCache>
            </c:strRef>
          </c:cat>
          <c:val>
            <c:numRef>
              <c:f>Sheet1!$C$2:$C$4</c:f>
              <c:numCache>
                <c:formatCode>General</c:formatCode>
                <c:ptCount val="3"/>
                <c:pt idx="0">
                  <c:v>0</c:v>
                </c:pt>
                <c:pt idx="1">
                  <c:v>0</c:v>
                </c:pt>
                <c:pt idx="2">
                  <c:v>0</c:v>
                </c:pt>
              </c:numCache>
            </c:numRef>
          </c:val>
        </c:ser>
        <c:dLbls>
          <c:showLegendKey val="0"/>
          <c:showVal val="0"/>
          <c:showCatName val="0"/>
          <c:showSerName val="0"/>
          <c:showPercent val="0"/>
          <c:showBubbleSize val="0"/>
        </c:dLbls>
        <c:gapWidth val="219"/>
        <c:overlap val="-27"/>
        <c:axId val="412121626"/>
        <c:axId val="84356880"/>
      </c:barChart>
      <c:catAx>
        <c:axId val="4121216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356880"/>
        <c:crosses val="autoZero"/>
        <c:auto val="1"/>
        <c:lblAlgn val="ctr"/>
        <c:lblOffset val="100"/>
        <c:noMultiLvlLbl val="0"/>
      </c:catAx>
      <c:valAx>
        <c:axId val="84356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121626"/>
        <c:crosses val="autoZero"/>
        <c:crossBetween val="between"/>
      </c:valAx>
      <c:spPr>
        <a:noFill/>
        <a:ln>
          <a:noFill/>
        </a:ln>
        <a:effectLst/>
      </c:spPr>
    </c:plotArea>
    <c:legend>
      <c:legendPos val="b"/>
      <c:layout>
        <c:manualLayout>
          <c:xMode val="edge"/>
          <c:yMode val="edge"/>
          <c:x val="0.394886363636364"/>
          <c:y val="0.900161812297735"/>
          <c:w val="0.251538825757576"/>
          <c:h val="0.094983818770226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收入支出决算总体情况上下年比较柱形图</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134.62</c:v>
                </c:pt>
                <c:pt idx="1">
                  <c:v>127.8</c:v>
                </c:pt>
              </c:numCache>
            </c:numRef>
          </c:val>
        </c:ser>
        <c:ser>
          <c:idx val="1"/>
          <c:order val="1"/>
          <c:tx>
            <c:strRef>
              <c:f>Sheet1!$C$1</c:f>
              <c:strCache>
                <c:ptCount val="1"/>
                <c:pt idx="0">
                  <c:v>2018年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140.31</c:v>
                </c:pt>
                <c:pt idx="1">
                  <c:v>162.5</c:v>
                </c:pt>
              </c:numCache>
            </c:numRef>
          </c:val>
        </c:ser>
        <c:dLbls>
          <c:showLegendKey val="0"/>
          <c:showVal val="0"/>
          <c:showCatName val="0"/>
          <c:showSerName val="0"/>
          <c:showPercent val="0"/>
          <c:showBubbleSize val="0"/>
        </c:dLbls>
        <c:gapWidth val="219"/>
        <c:overlap val="-27"/>
        <c:axId val="668699992"/>
        <c:axId val="594960648"/>
      </c:barChart>
      <c:catAx>
        <c:axId val="6686999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4960648"/>
        <c:crosses val="autoZero"/>
        <c:auto val="1"/>
        <c:lblAlgn val="ctr"/>
        <c:lblOffset val="100"/>
        <c:noMultiLvlLbl val="0"/>
      </c:catAx>
      <c:valAx>
        <c:axId val="594960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86999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rPr sz="1400" b="0">
                <a:latin typeface="新宋体" panose="02010609030101010101" charset="-122"/>
                <a:ea typeface="新宋体" panose="02010609030101010101" charset="-122"/>
                <a:cs typeface="新宋体" panose="02010609030101010101" charset="-122"/>
              </a:rPr>
              <a:t>2019年收入构成情况</a:t>
            </a:r>
            <a:endParaRPr sz="1400" b="0">
              <a:latin typeface="新宋体" panose="02010609030101010101" charset="-122"/>
              <a:ea typeface="新宋体" panose="02010609030101010101" charset="-122"/>
              <a:cs typeface="新宋体" panose="02010609030101010101" charset="-122"/>
            </a:endParaRPr>
          </a:p>
        </c:rich>
      </c:tx>
      <c:layout/>
      <c:overlay val="0"/>
      <c:spPr>
        <a:noFill/>
        <a:ln>
          <a:noFill/>
        </a:ln>
        <a:effectLst/>
      </c:spPr>
    </c:title>
    <c:autoTitleDeleted val="0"/>
    <c:plotArea>
      <c:layout/>
      <c:pieChart>
        <c:varyColors val="1"/>
        <c:ser>
          <c:idx val="0"/>
          <c:order val="0"/>
          <c:tx>
            <c:strRef>
              <c:f>Sheet1!$B$1</c:f>
              <c:strCache>
                <c:ptCount val="1"/>
                <c:pt idx="0">
                  <c:v>系列 1</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manualLayout>
                  <c:x val="-0.207207207207207"/>
                  <c:y val="8.06718734941395e-1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c:v>
                </c:pt>
                <c:pt idx="1">
                  <c:v>其他收入</c:v>
                </c:pt>
              </c:strCache>
            </c:strRef>
          </c:cat>
          <c:val>
            <c:numRef>
              <c:f>Sheet1!$B$2:$B$3</c:f>
              <c:numCache>
                <c:formatCode>General</c:formatCode>
                <c:ptCount val="2"/>
                <c:pt idx="0">
                  <c:v>73.45</c:v>
                </c:pt>
                <c:pt idx="1">
                  <c:v>61.17</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rPr lang="en-US" altLang="zh-CN" sz="1400" b="0">
                <a:latin typeface="新宋体" panose="02010609030101010101" charset="-122"/>
                <a:ea typeface="新宋体" panose="02010609030101010101" charset="-122"/>
                <a:cs typeface="新宋体" panose="02010609030101010101" charset="-122"/>
              </a:rPr>
              <a:t>2019</a:t>
            </a:r>
            <a:r>
              <a:rPr altLang="en-US" sz="1400" b="0">
                <a:latin typeface="新宋体" panose="02010609030101010101" charset="-122"/>
                <a:ea typeface="新宋体" panose="02010609030101010101" charset="-122"/>
                <a:cs typeface="新宋体" panose="02010609030101010101" charset="-122"/>
              </a:rPr>
              <a:t>年支出构成情况</a:t>
            </a:r>
            <a:endParaRPr altLang="en-US" sz="1400" b="0">
              <a:latin typeface="新宋体" panose="02010609030101010101" charset="-122"/>
              <a:ea typeface="新宋体" panose="02010609030101010101" charset="-122"/>
              <a:cs typeface="新宋体" panose="02010609030101010101" charset="-122"/>
            </a:endParaRPr>
          </a:p>
        </c:rich>
      </c:tx>
      <c:layout/>
      <c:overlay val="0"/>
      <c:spPr>
        <a:noFill/>
        <a:ln>
          <a:noFill/>
        </a:ln>
        <a:effectLst/>
      </c:spPr>
    </c:title>
    <c:autoTitleDeleted val="0"/>
    <c:plotArea>
      <c:layout/>
      <c:pieChart>
        <c:varyColors val="1"/>
        <c:ser>
          <c:idx val="0"/>
          <c:order val="0"/>
          <c:tx>
            <c:strRef>
              <c:f>Sheet1!$B$1</c:f>
              <c:strCache>
                <c:ptCount val="1"/>
                <c:pt idx="0">
                  <c:v>系列 1</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39.52</c:v>
                </c:pt>
                <c:pt idx="1">
                  <c:v>88.29</c:v>
                </c:pt>
              </c:numCache>
            </c:numRef>
          </c:val>
        </c:ser>
        <c:ser>
          <c:idx val="1"/>
          <c:order val="1"/>
          <c:tx>
            <c:strRef>
              <c:f>Sheet1!#REF!</c:f>
              <c:strCache>
                <c:ptCount val="1"/>
                <c:pt idx="0">
                  <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财政拨款收入支出决算总体情况上下年比较</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r>
              <a:rPr altLang="en-US"/>
              <a:t>柱形图</a:t>
            </a:r>
            <a:endParaRPr altLang="en-US"/>
          </a:p>
        </c:rich>
      </c:tx>
      <c:layout>
        <c:manualLayout>
          <c:xMode val="edge"/>
          <c:yMode val="edge"/>
          <c:x val="0.144420997098391"/>
          <c:y val="0.0255427841634738"/>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73.45</c:v>
                </c:pt>
                <c:pt idx="1">
                  <c:v>73.35</c:v>
                </c:pt>
              </c:numCache>
            </c:numRef>
          </c:val>
        </c:ser>
        <c:ser>
          <c:idx val="1"/>
          <c:order val="1"/>
          <c:tx>
            <c:strRef>
              <c:f>Sheet1!$C$1</c:f>
              <c:strCache>
                <c:ptCount val="1"/>
                <c:pt idx="0">
                  <c:v>2018年度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99.11</c:v>
                </c:pt>
                <c:pt idx="1">
                  <c:v>99.02</c:v>
                </c:pt>
              </c:numCache>
            </c:numRef>
          </c:val>
        </c:ser>
        <c:dLbls>
          <c:showLegendKey val="0"/>
          <c:showVal val="0"/>
          <c:showCatName val="0"/>
          <c:showSerName val="0"/>
          <c:showPercent val="0"/>
          <c:showBubbleSize val="0"/>
        </c:dLbls>
        <c:gapWidth val="219"/>
        <c:overlap val="-27"/>
        <c:axId val="643360758"/>
        <c:axId val="687254007"/>
      </c:barChart>
      <c:catAx>
        <c:axId val="6433607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7254007"/>
        <c:crosses val="autoZero"/>
        <c:auto val="1"/>
        <c:lblAlgn val="ctr"/>
        <c:lblOffset val="100"/>
        <c:noMultiLvlLbl val="0"/>
      </c:catAx>
      <c:valAx>
        <c:axId val="68725400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336075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一般公共预算财政拨款支出上下年比较柱形图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209.59</c:v>
                </c:pt>
              </c:numCache>
            </c:numRef>
          </c:val>
        </c:ser>
        <c:ser>
          <c:idx val="1"/>
          <c:order val="1"/>
          <c:tx>
            <c:strRef>
              <c:f>Sheet1!$C$1</c:f>
              <c:strCache>
                <c:ptCount val="1"/>
                <c:pt idx="0">
                  <c:v>2018年度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pt idx="0">
                  <c:v>246.69</c:v>
                </c:pt>
              </c:numCache>
            </c:numRef>
          </c:val>
        </c:ser>
        <c:dLbls>
          <c:showLegendKey val="0"/>
          <c:showVal val="1"/>
          <c:showCatName val="0"/>
          <c:showSerName val="0"/>
          <c:showPercent val="0"/>
          <c:showBubbleSize val="0"/>
        </c:dLbls>
        <c:gapWidth val="219"/>
        <c:overlap val="-27"/>
        <c:axId val="721959818"/>
        <c:axId val="439831561"/>
      </c:barChart>
      <c:catAx>
        <c:axId val="7219598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9831561"/>
        <c:crosses val="autoZero"/>
        <c:auto val="1"/>
        <c:lblAlgn val="ctr"/>
        <c:lblOffset val="100"/>
        <c:noMultiLvlLbl val="0"/>
      </c:catAx>
      <c:valAx>
        <c:axId val="439831561"/>
        <c:scaling>
          <c:orientation val="minMax"/>
          <c:max val="2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195981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rPr lang="en-US" altLang="zh-CN" sz="1400" b="0">
                <a:latin typeface="新宋体" panose="02010609030101010101" charset="-122"/>
                <a:ea typeface="新宋体" panose="02010609030101010101" charset="-122"/>
                <a:cs typeface="新宋体" panose="02010609030101010101" charset="-122"/>
              </a:rPr>
              <a:t>2019</a:t>
            </a:r>
            <a:r>
              <a:rPr altLang="en-US" sz="1400" b="0">
                <a:latin typeface="新宋体" panose="02010609030101010101" charset="-122"/>
                <a:ea typeface="新宋体" panose="02010609030101010101" charset="-122"/>
                <a:cs typeface="新宋体" panose="02010609030101010101" charset="-122"/>
              </a:rPr>
              <a:t>年三公经费财政拨款支出情况</a:t>
            </a:r>
            <a:endParaRPr altLang="en-US" sz="1400" b="0">
              <a:latin typeface="新宋体" panose="02010609030101010101" charset="-122"/>
              <a:ea typeface="新宋体" panose="02010609030101010101" charset="-122"/>
              <a:cs typeface="新宋体" panose="02010609030101010101" charset="-122"/>
            </a:endParaRP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manualLayout>
                  <c:x val="-0.264375"/>
                  <c:y val="0.1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217875"/>
                      <c:h val="0.13"/>
                    </c:manualLayout>
                  </c15:layout>
                </c:ext>
              </c:extLst>
            </c:dLbl>
            <c:dLbl>
              <c:idx val="1"/>
              <c:layout>
                <c:manualLayout>
                  <c:x val="0.249375"/>
                  <c:y val="0.07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3"/>
              <c:layout>
                <c:manualLayout>
                  <c:x val="-0.01875"/>
                  <c:y val="0.0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c:v>
                </c:pt>
                <c:pt idx="1">
                  <c:v>公务用车购置费</c:v>
                </c:pt>
                <c:pt idx="2">
                  <c:v>公务用车运行维护费</c:v>
                </c:pt>
                <c:pt idx="3">
                  <c:v>公务接待费</c:v>
                </c:pt>
              </c:strCache>
            </c:strRef>
          </c:cat>
          <c:val>
            <c:numRef>
              <c:f>Sheet1!$B$2:$B$5</c:f>
              <c:numCache>
                <c:formatCode>General</c:formatCode>
                <c:ptCount val="4"/>
                <c:pt idx="0">
                  <c:v>0</c:v>
                </c:pt>
                <c:pt idx="1">
                  <c:v>0</c:v>
                </c:pt>
                <c:pt idx="2">
                  <c:v>0</c:v>
                </c:pt>
                <c:pt idx="3">
                  <c:v>0.21</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a:t>
            </a:r>
            <a:r>
              <a:t>公务接待费预决算比较柱形图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公务接待费</c:v>
                </c:pt>
              </c:strCache>
            </c:strRef>
          </c:cat>
          <c:val>
            <c:numRef>
              <c:f>Sheet1!$B$2</c:f>
              <c:numCache>
                <c:formatCode>General</c:formatCode>
                <c:ptCount val="1"/>
                <c:pt idx="0">
                  <c:v>0.25</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公务接待费</c:v>
                </c:pt>
              </c:strCache>
            </c:strRef>
          </c:cat>
          <c:val>
            <c:numRef>
              <c:f>Sheet1!$C$2</c:f>
              <c:numCache>
                <c:formatCode>General</c:formatCode>
                <c:ptCount val="1"/>
                <c:pt idx="0">
                  <c:v>0.21</c:v>
                </c:pt>
              </c:numCache>
            </c:numRef>
          </c:val>
        </c:ser>
        <c:dLbls>
          <c:showLegendKey val="0"/>
          <c:showVal val="1"/>
          <c:showCatName val="0"/>
          <c:showSerName val="0"/>
          <c:showPercent val="0"/>
          <c:showBubbleSize val="0"/>
        </c:dLbls>
        <c:gapWidth val="150"/>
        <c:overlap val="0"/>
        <c:axId val="689977461"/>
        <c:axId val="25031096"/>
      </c:barChart>
      <c:catAx>
        <c:axId val="68997746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31096"/>
        <c:crosses val="autoZero"/>
        <c:auto val="1"/>
        <c:lblAlgn val="ctr"/>
        <c:lblOffset val="100"/>
        <c:noMultiLvlLbl val="0"/>
      </c:catAx>
      <c:valAx>
        <c:axId val="2503109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97746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4</TotalTime>
  <ScaleCrop>false</ScaleCrop>
  <LinksUpToDate>false</LinksUpToDate>
  <CharactersWithSpaces>8778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NIB</cp:lastModifiedBy>
  <cp:lastPrinted>2020-10-27T02:09:00Z</cp:lastPrinted>
  <dcterms:modified xsi:type="dcterms:W3CDTF">2021-06-10T12:33:45Z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BD62BFF16B514239ABED776648632562</vt:lpwstr>
  </property>
</Properties>
</file>