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2E" w:rsidRDefault="00B87E2E">
      <w:pPr>
        <w:jc w:val="center"/>
        <w:rPr>
          <w:rFonts w:ascii="黑体" w:eastAsia="黑体" w:hAnsi="黑体"/>
          <w:sz w:val="32"/>
          <w:szCs w:val="32"/>
        </w:rPr>
      </w:pPr>
    </w:p>
    <w:p w:rsidR="002D56DA" w:rsidRDefault="002D56DA">
      <w:pPr>
        <w:jc w:val="center"/>
        <w:rPr>
          <w:rFonts w:ascii="宋体" w:hAnsi="宋体" w:cs="宋体"/>
          <w:b/>
          <w:bCs/>
          <w:sz w:val="44"/>
          <w:szCs w:val="44"/>
        </w:rPr>
      </w:pPr>
    </w:p>
    <w:p w:rsidR="00B87E2E" w:rsidRDefault="00B87E2E">
      <w:pPr>
        <w:spacing w:line="440" w:lineRule="exact"/>
        <w:jc w:val="center"/>
        <w:rPr>
          <w:rFonts w:ascii="宋体" w:hAnsi="宋体" w:cs="宋体"/>
          <w:b/>
          <w:bCs/>
          <w:sz w:val="44"/>
          <w:szCs w:val="44"/>
        </w:rPr>
      </w:pPr>
    </w:p>
    <w:p w:rsidR="00B87E2E" w:rsidRDefault="005740CD">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杨陵区</w:t>
      </w:r>
      <w:r w:rsidR="0042234C">
        <w:rPr>
          <w:rFonts w:asciiTheme="majorEastAsia" w:eastAsiaTheme="majorEastAsia" w:hAnsiTheme="majorEastAsia" w:cstheme="majorEastAsia" w:hint="eastAsia"/>
          <w:b/>
          <w:bCs/>
          <w:sz w:val="48"/>
          <w:szCs w:val="48"/>
        </w:rPr>
        <w:t>财务管理服务中心</w:t>
      </w:r>
      <w:r>
        <w:rPr>
          <w:rFonts w:asciiTheme="majorEastAsia" w:eastAsiaTheme="majorEastAsia" w:hAnsiTheme="majorEastAsia" w:cstheme="majorEastAsia" w:hint="eastAsia"/>
          <w:b/>
          <w:bCs/>
          <w:sz w:val="48"/>
          <w:szCs w:val="48"/>
        </w:rPr>
        <w:t>2019年部门决算</w:t>
      </w:r>
    </w:p>
    <w:p w:rsidR="00B87E2E" w:rsidRPr="006558BE" w:rsidRDefault="00B87E2E">
      <w:pPr>
        <w:spacing w:line="560" w:lineRule="exact"/>
        <w:jc w:val="center"/>
        <w:rPr>
          <w:rFonts w:asciiTheme="majorEastAsia" w:eastAsiaTheme="majorEastAsia" w:hAnsiTheme="majorEastAsia" w:cstheme="majorEastAsia"/>
          <w:b/>
          <w:bCs/>
          <w:sz w:val="44"/>
          <w:szCs w:val="44"/>
        </w:rPr>
      </w:pPr>
    </w:p>
    <w:p w:rsidR="00B87E2E" w:rsidRDefault="00B87E2E">
      <w:pPr>
        <w:spacing w:line="560" w:lineRule="exact"/>
        <w:jc w:val="center"/>
        <w:rPr>
          <w:rFonts w:asciiTheme="majorEastAsia" w:eastAsiaTheme="majorEastAsia" w:hAnsiTheme="majorEastAsia" w:cstheme="majorEastAsia"/>
          <w:b/>
          <w:bCs/>
          <w:sz w:val="44"/>
          <w:szCs w:val="44"/>
        </w:rPr>
      </w:pPr>
    </w:p>
    <w:p w:rsidR="00B87E2E" w:rsidRDefault="00B87E2E">
      <w:pPr>
        <w:spacing w:line="560" w:lineRule="exact"/>
        <w:jc w:val="center"/>
        <w:rPr>
          <w:rFonts w:asciiTheme="majorEastAsia" w:eastAsiaTheme="majorEastAsia" w:hAnsiTheme="majorEastAsia" w:cstheme="majorEastAsia"/>
          <w:b/>
          <w:bCs/>
          <w:sz w:val="44"/>
          <w:szCs w:val="44"/>
        </w:rPr>
      </w:pPr>
    </w:p>
    <w:p w:rsidR="00B87E2E" w:rsidRDefault="00B87E2E">
      <w:pPr>
        <w:spacing w:line="560" w:lineRule="exact"/>
        <w:jc w:val="center"/>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560" w:lineRule="exact"/>
        <w:rPr>
          <w:rFonts w:asciiTheme="majorEastAsia" w:eastAsiaTheme="majorEastAsia" w:hAnsiTheme="majorEastAsia" w:cstheme="majorEastAsia"/>
          <w:b/>
          <w:bCs/>
          <w:sz w:val="44"/>
          <w:szCs w:val="44"/>
        </w:rPr>
      </w:pPr>
    </w:p>
    <w:p w:rsidR="00B87E2E" w:rsidRDefault="00B87E2E">
      <w:pPr>
        <w:spacing w:line="400" w:lineRule="exact"/>
        <w:ind w:firstLineChars="800" w:firstLine="2570"/>
        <w:rPr>
          <w:rFonts w:asciiTheme="majorEastAsia" w:eastAsiaTheme="majorEastAsia" w:hAnsiTheme="majorEastAsia" w:cstheme="majorEastAsia"/>
          <w:b/>
          <w:bCs/>
          <w:sz w:val="32"/>
          <w:szCs w:val="32"/>
        </w:rPr>
      </w:pPr>
    </w:p>
    <w:p w:rsidR="00B87E2E" w:rsidRDefault="00B87E2E">
      <w:pPr>
        <w:spacing w:line="400" w:lineRule="exact"/>
        <w:ind w:firstLineChars="800" w:firstLine="2570"/>
        <w:rPr>
          <w:rFonts w:asciiTheme="majorEastAsia" w:eastAsiaTheme="majorEastAsia" w:hAnsiTheme="majorEastAsia" w:cstheme="majorEastAsia"/>
          <w:b/>
          <w:bCs/>
          <w:sz w:val="32"/>
          <w:szCs w:val="32"/>
        </w:rPr>
      </w:pPr>
    </w:p>
    <w:p w:rsidR="00B87E2E" w:rsidRDefault="005740CD">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CA7D3C">
        <w:rPr>
          <w:rFonts w:asciiTheme="majorEastAsia" w:eastAsiaTheme="majorEastAsia" w:hAnsiTheme="majorEastAsia" w:cstheme="majorEastAsia" w:hint="eastAsia"/>
          <w:b/>
          <w:bCs/>
          <w:sz w:val="32"/>
          <w:szCs w:val="32"/>
        </w:rPr>
        <w:t>已审查</w:t>
      </w:r>
    </w:p>
    <w:p w:rsidR="00B87E2E" w:rsidRDefault="00B87E2E">
      <w:pPr>
        <w:spacing w:line="400" w:lineRule="exact"/>
        <w:jc w:val="center"/>
        <w:rPr>
          <w:rFonts w:ascii="宋体" w:hAnsi="宋体" w:cs="宋体"/>
          <w:b/>
          <w:bCs/>
          <w:sz w:val="32"/>
          <w:szCs w:val="32"/>
        </w:rPr>
      </w:pPr>
    </w:p>
    <w:p w:rsidR="00B87E2E" w:rsidRDefault="005740CD">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CA7D3C">
        <w:rPr>
          <w:rFonts w:ascii="宋体" w:hAnsi="宋体" w:cs="宋体" w:hint="eastAsia"/>
          <w:b/>
          <w:bCs/>
          <w:sz w:val="32"/>
          <w:szCs w:val="32"/>
        </w:rPr>
        <w:t>已审签</w:t>
      </w:r>
    </w:p>
    <w:p w:rsidR="00B87E2E" w:rsidRDefault="00B87E2E">
      <w:pPr>
        <w:spacing w:line="400" w:lineRule="exact"/>
        <w:rPr>
          <w:rFonts w:ascii="宋体" w:hAnsi="宋体" w:cs="宋体"/>
          <w:b/>
          <w:bCs/>
          <w:sz w:val="32"/>
          <w:szCs w:val="32"/>
        </w:rPr>
      </w:pPr>
    </w:p>
    <w:p w:rsidR="00B87E2E" w:rsidRDefault="00B87E2E">
      <w:pPr>
        <w:spacing w:line="400" w:lineRule="exact"/>
        <w:rPr>
          <w:rFonts w:ascii="宋体" w:hAnsi="宋体" w:cs="宋体"/>
          <w:b/>
          <w:bCs/>
          <w:sz w:val="32"/>
          <w:szCs w:val="32"/>
        </w:rPr>
      </w:pPr>
    </w:p>
    <w:p w:rsidR="00B87E2E" w:rsidRDefault="00880530" w:rsidP="00880530">
      <w:pPr>
        <w:rPr>
          <w:rFonts w:ascii="黑体" w:eastAsia="黑体" w:hAnsi="宋体"/>
          <w:bCs/>
          <w:color w:val="000000"/>
          <w:kern w:val="0"/>
          <w:sz w:val="36"/>
          <w:szCs w:val="36"/>
        </w:rPr>
      </w:pPr>
      <w:bookmarkStart w:id="0" w:name="_GoBack"/>
      <w:bookmarkEnd w:id="0"/>
      <w:r>
        <w:rPr>
          <w:rFonts w:ascii="黑体" w:eastAsia="黑体" w:hAnsi="宋体"/>
          <w:bCs/>
          <w:color w:val="000000"/>
          <w:kern w:val="0"/>
          <w:sz w:val="36"/>
          <w:szCs w:val="36"/>
        </w:rPr>
        <w:t xml:space="preserve"> </w:t>
      </w:r>
    </w:p>
    <w:p w:rsidR="00CA7D3C" w:rsidRDefault="00CA7D3C" w:rsidP="00CA7D3C">
      <w:pPr>
        <w:jc w:val="center"/>
        <w:rPr>
          <w:rFonts w:ascii="黑体" w:eastAsia="黑体" w:hAnsi="宋体"/>
          <w:bCs/>
          <w:color w:val="000000"/>
          <w:kern w:val="0"/>
          <w:sz w:val="36"/>
          <w:szCs w:val="36"/>
        </w:rPr>
      </w:pPr>
      <w:r>
        <w:rPr>
          <w:rFonts w:ascii="黑体" w:eastAsia="黑体" w:hAnsi="宋体"/>
          <w:bCs/>
          <w:color w:val="000000"/>
          <w:kern w:val="0"/>
          <w:sz w:val="36"/>
          <w:szCs w:val="36"/>
        </w:rPr>
        <w:lastRenderedPageBreak/>
        <w:t>目录</w:t>
      </w:r>
    </w:p>
    <w:p w:rsidR="00CA7D3C" w:rsidRDefault="00CA7D3C" w:rsidP="00CA7D3C">
      <w:pPr>
        <w:widowControl/>
        <w:jc w:val="center"/>
      </w:pPr>
      <w:r>
        <w:rPr>
          <w:rFonts w:ascii="黑体" w:eastAsia="黑体" w:hAnsi="宋体" w:hint="eastAsia"/>
          <w:color w:val="000000"/>
          <w:kern w:val="0"/>
          <w:sz w:val="32"/>
          <w:szCs w:val="32"/>
        </w:rPr>
        <w:t>第一部分 部门概况</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CA7D3C" w:rsidRDefault="00CA7D3C" w:rsidP="00CA7D3C">
      <w:pPr>
        <w:widowControl/>
        <w:jc w:val="center"/>
      </w:pPr>
      <w:r>
        <w:rPr>
          <w:rFonts w:ascii="黑体" w:eastAsia="黑体" w:hAnsi="宋体" w:hint="eastAsia"/>
          <w:color w:val="000000"/>
          <w:kern w:val="0"/>
          <w:sz w:val="32"/>
          <w:szCs w:val="32"/>
        </w:rPr>
        <w:t>第二部分  2019年部门决算表</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CA7D3C" w:rsidRDefault="00CA7D3C" w:rsidP="00CA7D3C">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CA7D3C" w:rsidRDefault="00CA7D3C" w:rsidP="00CA7D3C">
      <w:pPr>
        <w:widowControl/>
        <w:jc w:val="center"/>
      </w:pPr>
      <w:r>
        <w:rPr>
          <w:rFonts w:ascii="黑体" w:eastAsia="黑体" w:hAnsi="宋体" w:hint="eastAsia"/>
          <w:color w:val="000000"/>
          <w:kern w:val="0"/>
          <w:sz w:val="32"/>
          <w:szCs w:val="32"/>
        </w:rPr>
        <w:t>第三部分 2019年部门决算情况说明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p>
    <w:p w:rsidR="00CA7D3C" w:rsidRDefault="00CA7D3C" w:rsidP="00CA7D3C">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p>
    <w:p w:rsidR="00CA7D3C" w:rsidRDefault="00CA7D3C" w:rsidP="00CA7D3C">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p>
    <w:p w:rsidR="00CA7D3C" w:rsidRDefault="00CA7D3C" w:rsidP="00CA7D3C">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p>
    <w:p w:rsidR="00CA7D3C" w:rsidRDefault="00CA7D3C" w:rsidP="00CA7D3C">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B87E2E" w:rsidRPr="00BA471A" w:rsidRDefault="005740CD">
      <w:pPr>
        <w:widowControl/>
        <w:jc w:val="center"/>
        <w:rPr>
          <w:sz w:val="44"/>
          <w:szCs w:val="44"/>
        </w:rPr>
      </w:pPr>
      <w:r w:rsidRPr="00BA471A">
        <w:rPr>
          <w:rFonts w:ascii="黑体" w:eastAsia="黑体" w:hAnsi="宋体" w:hint="eastAsia"/>
          <w:color w:val="000000"/>
          <w:kern w:val="0"/>
          <w:sz w:val="44"/>
          <w:szCs w:val="44"/>
        </w:rPr>
        <w:lastRenderedPageBreak/>
        <w:t>第一部分 部门概况</w:t>
      </w:r>
    </w:p>
    <w:p w:rsidR="00B87E2E" w:rsidRPr="00880530" w:rsidRDefault="00880530" w:rsidP="00880530">
      <w:pPr>
        <w:widowControl/>
        <w:ind w:firstLineChars="200" w:firstLine="643"/>
        <w:jc w:val="left"/>
        <w:rPr>
          <w:rFonts w:ascii="黑体" w:eastAsia="黑体" w:hAnsi="黑体" w:cs="楷体"/>
          <w:b/>
          <w:color w:val="000000"/>
          <w:kern w:val="0"/>
          <w:sz w:val="32"/>
          <w:szCs w:val="32"/>
        </w:rPr>
      </w:pPr>
      <w:r w:rsidRPr="00880530">
        <w:rPr>
          <w:rFonts w:ascii="黑体" w:eastAsia="黑体" w:hAnsi="黑体" w:cs="楷体" w:hint="eastAsia"/>
          <w:b/>
          <w:color w:val="000000"/>
          <w:kern w:val="0"/>
          <w:sz w:val="32"/>
          <w:szCs w:val="32"/>
        </w:rPr>
        <w:t>一、</w:t>
      </w:r>
      <w:r w:rsidR="005740CD" w:rsidRPr="00880530">
        <w:rPr>
          <w:rFonts w:ascii="黑体" w:eastAsia="黑体" w:hAnsi="黑体" w:cs="楷体" w:hint="eastAsia"/>
          <w:b/>
          <w:color w:val="000000"/>
          <w:kern w:val="0"/>
          <w:sz w:val="32"/>
          <w:szCs w:val="32"/>
        </w:rPr>
        <w:t>部门主要职责及内设机构</w:t>
      </w:r>
    </w:p>
    <w:p w:rsidR="007514B8" w:rsidRPr="007514B8" w:rsidRDefault="007514B8" w:rsidP="007514B8">
      <w:pPr>
        <w:spacing w:line="600" w:lineRule="exact"/>
        <w:ind w:firstLineChars="221" w:firstLine="710"/>
        <w:rPr>
          <w:rFonts w:ascii="仿宋_GB2312" w:eastAsia="仿宋_GB2312" w:hAnsi="仿宋_GB2312" w:cs="仿宋_GB2312"/>
          <w:b/>
          <w:sz w:val="32"/>
          <w:szCs w:val="32"/>
        </w:rPr>
      </w:pPr>
      <w:r w:rsidRPr="007514B8">
        <w:rPr>
          <w:rFonts w:ascii="仿宋_GB2312" w:eastAsia="仿宋_GB2312" w:hAnsi="仿宋_GB2312" w:cs="仿宋_GB2312" w:hint="eastAsia"/>
          <w:b/>
          <w:sz w:val="32"/>
          <w:szCs w:val="32"/>
        </w:rPr>
        <w:t>（一）主要职责。</w:t>
      </w:r>
    </w:p>
    <w:p w:rsidR="007514B8" w:rsidRDefault="007514B8" w:rsidP="007514B8">
      <w:pPr>
        <w:spacing w:line="600" w:lineRule="exact"/>
        <w:ind w:firstLineChars="221" w:firstLine="707"/>
        <w:rPr>
          <w:rFonts w:ascii="仿宋_GB2312" w:eastAsia="仿宋_GB2312" w:hAnsi="仿宋_GB2312" w:cs="仿宋_GB2312"/>
          <w:sz w:val="32"/>
          <w:szCs w:val="32"/>
        </w:rPr>
      </w:pPr>
      <w:r w:rsidRPr="007514B8">
        <w:rPr>
          <w:rFonts w:ascii="仿宋_GB2312" w:eastAsia="仿宋_GB2312" w:hAnsi="仿宋_GB2312" w:cs="仿宋_GB2312" w:hint="eastAsia"/>
          <w:sz w:val="32"/>
          <w:szCs w:val="32"/>
        </w:rPr>
        <w:t>杨陵区财务管理服务中心负责行政、事业单位（以下统称服务对象）的会计审核、记账、核算、填制会计报表等工作；根据服务对象提供的原始凭证和其他资料，按照国家统一的会计准则和制度规定，负责原始凭证审核、记账凭证填制、会计账簿登记、会计报表编制等核算工作；定期向服务对象、区财政局和其它报表使用者提供会计报表；协助服务对象办理债权债务的登记清理等工作；负责会计档案的归集和保管；完成服务对象和区政府交办的其他会计业务工作。</w:t>
      </w:r>
    </w:p>
    <w:p w:rsidR="00880530" w:rsidRPr="00880530" w:rsidRDefault="007514B8" w:rsidP="00880530">
      <w:pPr>
        <w:spacing w:line="600" w:lineRule="exact"/>
        <w:ind w:firstLineChars="221" w:firstLine="710"/>
        <w:rPr>
          <w:rFonts w:ascii="仿宋_GB2312" w:eastAsia="仿宋_GB2312" w:hAnsi="仿宋_GB2312" w:cs="仿宋_GB2312"/>
          <w:b/>
          <w:sz w:val="32"/>
          <w:szCs w:val="32"/>
        </w:rPr>
      </w:pPr>
      <w:r w:rsidRPr="00880530">
        <w:rPr>
          <w:rFonts w:ascii="仿宋_GB2312" w:eastAsia="仿宋_GB2312" w:hAnsi="仿宋_GB2312" w:cs="仿宋_GB2312" w:hint="eastAsia"/>
          <w:b/>
          <w:sz w:val="32"/>
          <w:szCs w:val="32"/>
        </w:rPr>
        <w:t>（二）</w:t>
      </w:r>
      <w:r w:rsidR="00880530" w:rsidRPr="00880530">
        <w:rPr>
          <w:rFonts w:ascii="仿宋_GB2312" w:eastAsia="仿宋_GB2312" w:hAnsi="仿宋_GB2312" w:cs="仿宋_GB2312" w:hint="eastAsia"/>
          <w:b/>
          <w:sz w:val="32"/>
          <w:szCs w:val="32"/>
        </w:rPr>
        <w:t>内设机构。</w:t>
      </w:r>
    </w:p>
    <w:p w:rsidR="00880530" w:rsidRPr="00CB624A" w:rsidRDefault="00880530" w:rsidP="00880530">
      <w:pPr>
        <w:spacing w:line="640" w:lineRule="exact"/>
        <w:ind w:firstLineChars="200" w:firstLine="640"/>
        <w:rPr>
          <w:rFonts w:ascii="仿宋_GB2312" w:eastAsia="仿宋_GB2312" w:hAnsi="仿宋_GB2312" w:cs="Times New Roman"/>
          <w:sz w:val="32"/>
          <w:szCs w:val="20"/>
        </w:rPr>
      </w:pPr>
      <w:r>
        <w:rPr>
          <w:rFonts w:ascii="仿宋_GB2312" w:eastAsia="仿宋_GB2312" w:hAnsi="仿宋_GB2312" w:cs="Times New Roman" w:hint="eastAsia"/>
          <w:sz w:val="32"/>
          <w:szCs w:val="20"/>
        </w:rPr>
        <w:t>杨陵区财务管理服务中心为区政府直属事业单位，正科级规格，财政全额拨款，核定事业编制25名，其中：主任1名，副主任2名，工作人员22名。</w:t>
      </w:r>
    </w:p>
    <w:p w:rsidR="00B87E2E" w:rsidRPr="002574D8" w:rsidRDefault="005740CD" w:rsidP="002574D8">
      <w:pPr>
        <w:widowControl/>
        <w:ind w:firstLineChars="200" w:firstLine="643"/>
        <w:jc w:val="left"/>
        <w:rPr>
          <w:rFonts w:ascii="仿宋" w:eastAsia="仿宋" w:hAnsi="仿宋" w:cs="楷体"/>
          <w:b/>
          <w:color w:val="000000"/>
          <w:kern w:val="0"/>
          <w:sz w:val="32"/>
          <w:szCs w:val="32"/>
        </w:rPr>
      </w:pPr>
      <w:r w:rsidRPr="002574D8">
        <w:rPr>
          <w:rFonts w:ascii="仿宋" w:eastAsia="仿宋" w:hAnsi="仿宋" w:cs="楷体" w:hint="eastAsia"/>
          <w:b/>
          <w:color w:val="000000"/>
          <w:kern w:val="0"/>
          <w:sz w:val="32"/>
          <w:szCs w:val="32"/>
        </w:rPr>
        <w:t>二、部门决算单位构成</w:t>
      </w:r>
    </w:p>
    <w:p w:rsidR="00F438AA" w:rsidRDefault="002574D8" w:rsidP="00F438AA">
      <w:pPr>
        <w:spacing w:line="640" w:lineRule="exact"/>
        <w:ind w:firstLineChars="200" w:firstLine="640"/>
        <w:rPr>
          <w:rFonts w:ascii="仿宋_GB2312" w:eastAsia="仿宋_GB2312" w:hAnsi="仿宋_GB2312" w:cs="Times New Roman"/>
          <w:sz w:val="32"/>
          <w:szCs w:val="20"/>
        </w:rPr>
      </w:pPr>
      <w:r w:rsidRPr="00CB624A">
        <w:rPr>
          <w:rFonts w:ascii="仿宋_GB2312" w:eastAsia="仿宋_GB2312" w:hAnsi="仿宋_GB2312" w:cs="Times New Roman" w:hint="eastAsia"/>
          <w:sz w:val="32"/>
          <w:szCs w:val="20"/>
        </w:rPr>
        <w:t>本部门2019年部门</w:t>
      </w:r>
      <w:r>
        <w:rPr>
          <w:rFonts w:ascii="仿宋_GB2312" w:eastAsia="仿宋_GB2312" w:hAnsi="仿宋_GB2312" w:cs="Times New Roman" w:hint="eastAsia"/>
          <w:sz w:val="32"/>
          <w:szCs w:val="20"/>
        </w:rPr>
        <w:t>决</w:t>
      </w:r>
      <w:r w:rsidRPr="00CB624A">
        <w:rPr>
          <w:rFonts w:ascii="仿宋_GB2312" w:eastAsia="仿宋_GB2312" w:hAnsi="仿宋_GB2312" w:cs="Times New Roman" w:hint="eastAsia"/>
          <w:sz w:val="32"/>
          <w:szCs w:val="20"/>
        </w:rPr>
        <w:t>算编制范围</w:t>
      </w:r>
      <w:r>
        <w:rPr>
          <w:rFonts w:ascii="仿宋_GB2312" w:eastAsia="仿宋_GB2312" w:hAnsi="仿宋_GB2312" w:cs="Times New Roman" w:hint="eastAsia"/>
          <w:sz w:val="32"/>
          <w:szCs w:val="20"/>
        </w:rPr>
        <w:t>的单位1个，</w:t>
      </w:r>
      <w:r w:rsidRPr="00CB624A">
        <w:rPr>
          <w:rFonts w:ascii="仿宋_GB2312" w:eastAsia="仿宋_GB2312" w:hAnsi="仿宋_GB2312" w:cs="Times New Roman" w:hint="eastAsia"/>
          <w:sz w:val="32"/>
          <w:szCs w:val="20"/>
        </w:rPr>
        <w:t>无二级</w:t>
      </w:r>
      <w:r>
        <w:rPr>
          <w:rFonts w:ascii="仿宋_GB2312" w:eastAsia="仿宋_GB2312" w:hAnsi="仿宋_GB2312" w:cs="Times New Roman" w:hint="eastAsia"/>
          <w:sz w:val="32"/>
          <w:szCs w:val="20"/>
        </w:rPr>
        <w:t>决</w:t>
      </w:r>
      <w:r w:rsidRPr="00CB624A">
        <w:rPr>
          <w:rFonts w:ascii="仿宋_GB2312" w:eastAsia="仿宋_GB2312" w:hAnsi="仿宋_GB2312" w:cs="Times New Roman" w:hint="eastAsia"/>
          <w:sz w:val="32"/>
          <w:szCs w:val="20"/>
        </w:rPr>
        <w:t>算单位。</w:t>
      </w:r>
    </w:p>
    <w:tbl>
      <w:tblPr>
        <w:tblStyle w:val="a8"/>
        <w:tblW w:w="0" w:type="auto"/>
        <w:tblInd w:w="392" w:type="dxa"/>
        <w:tblLook w:val="04A0"/>
      </w:tblPr>
      <w:tblGrid>
        <w:gridCol w:w="1701"/>
        <w:gridCol w:w="6379"/>
      </w:tblGrid>
      <w:tr w:rsidR="002574D8" w:rsidTr="00F438AA">
        <w:trPr>
          <w:trHeight w:val="455"/>
        </w:trPr>
        <w:tc>
          <w:tcPr>
            <w:tcW w:w="1701" w:type="dxa"/>
          </w:tcPr>
          <w:p w:rsidR="002574D8" w:rsidRDefault="002574D8" w:rsidP="002574D8">
            <w:pPr>
              <w:spacing w:line="640" w:lineRule="exact"/>
              <w:jc w:val="center"/>
              <w:rPr>
                <w:rFonts w:ascii="仿宋_GB2312" w:eastAsia="仿宋_GB2312" w:hAnsi="仿宋_GB2312" w:cs="Times New Roman"/>
                <w:sz w:val="32"/>
                <w:szCs w:val="20"/>
              </w:rPr>
            </w:pPr>
            <w:r>
              <w:rPr>
                <w:rFonts w:ascii="仿宋_GB2312" w:eastAsia="仿宋_GB2312" w:hAnsi="仿宋_GB2312" w:cs="Times New Roman" w:hint="eastAsia"/>
                <w:sz w:val="32"/>
                <w:szCs w:val="20"/>
              </w:rPr>
              <w:t>序号</w:t>
            </w:r>
          </w:p>
        </w:tc>
        <w:tc>
          <w:tcPr>
            <w:tcW w:w="6379" w:type="dxa"/>
          </w:tcPr>
          <w:p w:rsidR="002574D8" w:rsidRDefault="002574D8" w:rsidP="002574D8">
            <w:pPr>
              <w:spacing w:line="640" w:lineRule="exact"/>
              <w:ind w:firstLineChars="750" w:firstLine="2400"/>
              <w:rPr>
                <w:rFonts w:ascii="仿宋_GB2312" w:eastAsia="仿宋_GB2312" w:hAnsi="仿宋_GB2312" w:cs="Times New Roman"/>
                <w:sz w:val="32"/>
                <w:szCs w:val="20"/>
              </w:rPr>
            </w:pPr>
            <w:r>
              <w:rPr>
                <w:rFonts w:ascii="仿宋_GB2312" w:eastAsia="仿宋_GB2312" w:hAnsi="仿宋_GB2312" w:cs="Times New Roman" w:hint="eastAsia"/>
                <w:sz w:val="32"/>
                <w:szCs w:val="20"/>
              </w:rPr>
              <w:t>单位名称</w:t>
            </w:r>
          </w:p>
        </w:tc>
      </w:tr>
      <w:tr w:rsidR="002574D8" w:rsidTr="00F438AA">
        <w:trPr>
          <w:trHeight w:val="553"/>
        </w:trPr>
        <w:tc>
          <w:tcPr>
            <w:tcW w:w="1701" w:type="dxa"/>
          </w:tcPr>
          <w:p w:rsidR="002574D8" w:rsidRDefault="002574D8" w:rsidP="002574D8">
            <w:pPr>
              <w:spacing w:line="640" w:lineRule="exact"/>
              <w:jc w:val="center"/>
              <w:rPr>
                <w:rFonts w:ascii="仿宋_GB2312" w:eastAsia="仿宋_GB2312" w:hAnsi="仿宋_GB2312" w:cs="Times New Roman"/>
                <w:sz w:val="32"/>
                <w:szCs w:val="20"/>
              </w:rPr>
            </w:pPr>
            <w:r>
              <w:rPr>
                <w:rFonts w:ascii="仿宋_GB2312" w:eastAsia="仿宋_GB2312" w:hAnsi="仿宋_GB2312" w:cs="Times New Roman" w:hint="eastAsia"/>
                <w:sz w:val="32"/>
                <w:szCs w:val="20"/>
              </w:rPr>
              <w:t>1</w:t>
            </w:r>
          </w:p>
        </w:tc>
        <w:tc>
          <w:tcPr>
            <w:tcW w:w="6379" w:type="dxa"/>
          </w:tcPr>
          <w:p w:rsidR="002574D8" w:rsidRDefault="002574D8" w:rsidP="002574D8">
            <w:pPr>
              <w:spacing w:line="640" w:lineRule="exact"/>
              <w:ind w:firstLineChars="350" w:firstLine="1120"/>
              <w:rPr>
                <w:rFonts w:ascii="仿宋_GB2312" w:eastAsia="仿宋_GB2312" w:hAnsi="仿宋_GB2312" w:cs="Times New Roman"/>
                <w:sz w:val="32"/>
                <w:szCs w:val="20"/>
              </w:rPr>
            </w:pPr>
            <w:r w:rsidRPr="00D34A04">
              <w:rPr>
                <w:rFonts w:ascii="仿宋_GB2312" w:eastAsia="仿宋_GB2312" w:hAnsi="仿宋_GB2312" w:cs="Times New Roman" w:hint="eastAsia"/>
                <w:sz w:val="32"/>
                <w:szCs w:val="20"/>
              </w:rPr>
              <w:t>杨陵区财务管理服务中心</w:t>
            </w:r>
            <w:r>
              <w:rPr>
                <w:rFonts w:ascii="仿宋_GB2312" w:eastAsia="仿宋_GB2312" w:hAnsi="仿宋_GB2312" w:cs="Times New Roman" w:hint="eastAsia"/>
                <w:sz w:val="32"/>
                <w:szCs w:val="20"/>
              </w:rPr>
              <w:t>(本级)</w:t>
            </w:r>
          </w:p>
        </w:tc>
      </w:tr>
    </w:tbl>
    <w:p w:rsidR="00B87E2E" w:rsidRPr="002574D8" w:rsidRDefault="005740CD" w:rsidP="002574D8">
      <w:pPr>
        <w:widowControl/>
        <w:ind w:firstLineChars="200" w:firstLine="643"/>
        <w:jc w:val="left"/>
        <w:rPr>
          <w:rFonts w:ascii="仿宋" w:eastAsia="仿宋" w:hAnsi="仿宋" w:cs="楷体"/>
          <w:b/>
          <w:color w:val="000000"/>
          <w:kern w:val="0"/>
          <w:sz w:val="32"/>
          <w:szCs w:val="32"/>
        </w:rPr>
      </w:pPr>
      <w:r w:rsidRPr="002574D8">
        <w:rPr>
          <w:rFonts w:ascii="仿宋" w:eastAsia="仿宋" w:hAnsi="仿宋" w:cs="楷体" w:hint="eastAsia"/>
          <w:b/>
          <w:color w:val="000000"/>
          <w:kern w:val="0"/>
          <w:sz w:val="32"/>
          <w:szCs w:val="32"/>
        </w:rPr>
        <w:lastRenderedPageBreak/>
        <w:t>三、部门人员情况</w:t>
      </w:r>
    </w:p>
    <w:p w:rsidR="00880530" w:rsidRDefault="00880530" w:rsidP="00880530">
      <w:pPr>
        <w:widowControl/>
        <w:ind w:firstLineChars="200" w:firstLine="640"/>
        <w:jc w:val="left"/>
        <w:rPr>
          <w:rFonts w:ascii="仿宋_GB2312" w:eastAsia="仿宋_GB2312" w:hAnsi="仿宋_GB2312" w:cs="仿宋_GB2312"/>
          <w:sz w:val="32"/>
          <w:szCs w:val="32"/>
        </w:rPr>
      </w:pPr>
      <w:r w:rsidRPr="007514B8">
        <w:rPr>
          <w:rFonts w:ascii="仿宋_GB2312" w:eastAsia="仿宋_GB2312" w:hAnsi="仿宋_GB2312" w:cs="仿宋_GB2312" w:hint="eastAsia"/>
          <w:sz w:val="32"/>
          <w:szCs w:val="32"/>
        </w:rPr>
        <w:t>杨陵区财务管理服务中心为区直属事业单位，人员编制25人，其中行政编制0人、事业编制25人；实有在编人员19人，其中行政人员0人、事业人员19人。</w:t>
      </w:r>
    </w:p>
    <w:p w:rsidR="002574D8" w:rsidRDefault="00094003" w:rsidP="00094003">
      <w:pPr>
        <w:widowControl/>
        <w:jc w:val="left"/>
        <w:rPr>
          <w:rFonts w:ascii="仿宋" w:eastAsia="仿宋" w:hAnsi="仿宋" w:cs="楷体"/>
          <w:color w:val="000000"/>
          <w:kern w:val="0"/>
          <w:sz w:val="32"/>
          <w:szCs w:val="32"/>
        </w:rPr>
      </w:pPr>
      <w:r>
        <w:rPr>
          <w:rFonts w:ascii="仿宋" w:eastAsia="仿宋" w:hAnsi="仿宋" w:cs="楷体" w:hint="eastAsia"/>
          <w:noProof/>
          <w:color w:val="000000"/>
          <w:kern w:val="0"/>
          <w:sz w:val="32"/>
          <w:szCs w:val="32"/>
        </w:rPr>
        <w:drawing>
          <wp:anchor distT="0" distB="0" distL="114300" distR="114300" simplePos="0" relativeHeight="251658240" behindDoc="0" locked="0" layoutInCell="1" allowOverlap="1">
            <wp:simplePos x="0" y="0"/>
            <wp:positionH relativeFrom="column">
              <wp:posOffset>88477</wp:posOffset>
            </wp:positionH>
            <wp:positionV relativeFrom="paragraph">
              <wp:posOffset>212724</wp:posOffset>
            </wp:positionV>
            <wp:extent cx="5664200" cy="4580467"/>
            <wp:effectExtent l="0" t="0" r="0" b="0"/>
            <wp:wrapNone/>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574D8" w:rsidRDefault="002574D8" w:rsidP="00880530">
      <w:pPr>
        <w:widowControl/>
        <w:ind w:firstLineChars="200" w:firstLine="640"/>
        <w:jc w:val="left"/>
        <w:rPr>
          <w:rFonts w:ascii="仿宋" w:eastAsia="仿宋" w:hAnsi="仿宋" w:cs="楷体"/>
          <w:color w:val="000000"/>
          <w:kern w:val="0"/>
          <w:sz w:val="32"/>
          <w:szCs w:val="32"/>
        </w:rPr>
      </w:pPr>
    </w:p>
    <w:p w:rsidR="002574D8" w:rsidRDefault="002574D8"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094003" w:rsidRDefault="00094003" w:rsidP="00880530">
      <w:pPr>
        <w:widowControl/>
        <w:ind w:firstLineChars="200" w:firstLine="640"/>
        <w:jc w:val="left"/>
        <w:rPr>
          <w:rFonts w:ascii="仿宋" w:eastAsia="仿宋" w:hAnsi="仿宋" w:cs="楷体"/>
          <w:color w:val="000000"/>
          <w:kern w:val="0"/>
          <w:sz w:val="32"/>
          <w:szCs w:val="32"/>
        </w:rPr>
      </w:pPr>
    </w:p>
    <w:p w:rsidR="00CA7D3C" w:rsidRDefault="00CA7D3C">
      <w:pPr>
        <w:widowControl/>
        <w:jc w:val="center"/>
        <w:rPr>
          <w:rFonts w:ascii="黑体" w:eastAsia="黑体" w:hAnsi="宋体"/>
          <w:color w:val="000000"/>
          <w:kern w:val="0"/>
          <w:sz w:val="44"/>
          <w:szCs w:val="44"/>
        </w:rPr>
      </w:pPr>
    </w:p>
    <w:p w:rsidR="00F438AA" w:rsidRDefault="00F438AA">
      <w:pPr>
        <w:widowControl/>
        <w:jc w:val="center"/>
        <w:rPr>
          <w:rFonts w:ascii="黑体" w:eastAsia="黑体" w:hAnsi="宋体"/>
          <w:color w:val="000000"/>
          <w:kern w:val="0"/>
          <w:sz w:val="44"/>
          <w:szCs w:val="44"/>
        </w:rPr>
      </w:pPr>
    </w:p>
    <w:p w:rsidR="00F438AA" w:rsidRDefault="00F438AA">
      <w:pPr>
        <w:widowControl/>
        <w:jc w:val="center"/>
        <w:rPr>
          <w:rFonts w:ascii="黑体" w:eastAsia="黑体" w:hAnsi="宋体"/>
          <w:color w:val="000000"/>
          <w:kern w:val="0"/>
          <w:sz w:val="44"/>
          <w:szCs w:val="44"/>
        </w:rPr>
      </w:pPr>
    </w:p>
    <w:p w:rsidR="00CA7D3C" w:rsidRDefault="00CA7D3C">
      <w:pPr>
        <w:widowControl/>
        <w:jc w:val="center"/>
        <w:rPr>
          <w:rFonts w:ascii="黑体" w:eastAsia="黑体" w:hAnsi="宋体"/>
          <w:color w:val="000000"/>
          <w:kern w:val="0"/>
          <w:sz w:val="44"/>
          <w:szCs w:val="44"/>
        </w:rPr>
      </w:pPr>
    </w:p>
    <w:p w:rsidR="00F438AA" w:rsidRDefault="00F438AA">
      <w:pPr>
        <w:widowControl/>
        <w:jc w:val="center"/>
        <w:rPr>
          <w:rFonts w:ascii="黑体" w:eastAsia="黑体" w:hAnsi="宋体"/>
          <w:color w:val="000000"/>
          <w:kern w:val="0"/>
          <w:sz w:val="44"/>
          <w:szCs w:val="44"/>
        </w:rPr>
      </w:pPr>
    </w:p>
    <w:p w:rsidR="00CA7D3C" w:rsidRDefault="00CA7D3C">
      <w:pPr>
        <w:widowControl/>
        <w:jc w:val="center"/>
        <w:rPr>
          <w:rFonts w:ascii="黑体" w:eastAsia="黑体" w:hAnsi="宋体"/>
          <w:color w:val="000000"/>
          <w:kern w:val="0"/>
          <w:sz w:val="44"/>
          <w:szCs w:val="44"/>
        </w:rPr>
      </w:pPr>
    </w:p>
    <w:p w:rsidR="00B87E2E" w:rsidRDefault="005740CD">
      <w:pPr>
        <w:widowControl/>
        <w:jc w:val="center"/>
        <w:rPr>
          <w:sz w:val="44"/>
          <w:szCs w:val="44"/>
        </w:rPr>
      </w:pPr>
      <w:r>
        <w:rPr>
          <w:rFonts w:ascii="黑体" w:eastAsia="黑体" w:hAnsi="宋体"/>
          <w:color w:val="000000"/>
          <w:kern w:val="0"/>
          <w:sz w:val="44"/>
          <w:szCs w:val="44"/>
        </w:rPr>
        <w:lastRenderedPageBreak/>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B87E2E">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B87E2E" w:rsidRDefault="005740CD">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B87E2E">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CA7D3C">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CA7D3C">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CA7D3C">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8A782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8A782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8A7821">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B87E2E">
            <w:pPr>
              <w:jc w:val="center"/>
              <w:rPr>
                <w:rFonts w:ascii="宋体" w:hAnsi="宋体" w:cs="宋体"/>
                <w:color w:val="000000"/>
                <w:sz w:val="24"/>
              </w:rPr>
            </w:pPr>
          </w:p>
        </w:tc>
      </w:tr>
      <w:tr w:rsidR="00B87E2E">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87E2E" w:rsidRDefault="005740CD">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87E2E" w:rsidRDefault="006558BE">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87E2E" w:rsidRDefault="006558BE" w:rsidP="006558BE">
            <w:pPr>
              <w:jc w:val="left"/>
              <w:rPr>
                <w:rFonts w:ascii="宋体" w:hAnsi="宋体" w:cs="宋体"/>
                <w:color w:val="000000"/>
                <w:sz w:val="24"/>
              </w:rPr>
            </w:pPr>
            <w:r>
              <w:rPr>
                <w:rFonts w:ascii="宋体" w:hAnsi="宋体" w:cs="宋体" w:hint="eastAsia"/>
                <w:color w:val="000000"/>
                <w:sz w:val="24"/>
              </w:rPr>
              <w:t>本年未发生</w:t>
            </w:r>
            <w:r>
              <w:rPr>
                <w:rFonts w:ascii="宋体" w:hAnsi="宋体" w:cs="宋体" w:hint="eastAsia"/>
                <w:color w:val="000000"/>
                <w:kern w:val="0"/>
                <w:sz w:val="24"/>
              </w:rPr>
              <w:t>“三公”经费及会议费、培训费支出</w:t>
            </w:r>
          </w:p>
        </w:tc>
      </w:tr>
      <w:tr w:rsidR="00B87E2E">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5740CD">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B87E2E" w:rsidRDefault="005740CD">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8A7821">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87E2E" w:rsidRDefault="00C41014" w:rsidP="00C41014">
            <w:pPr>
              <w:jc w:val="left"/>
              <w:rPr>
                <w:rFonts w:ascii="宋体" w:hAnsi="宋体" w:cs="宋体"/>
                <w:color w:val="000000"/>
                <w:sz w:val="24"/>
              </w:rPr>
            </w:pPr>
            <w:r>
              <w:rPr>
                <w:rFonts w:ascii="宋体" w:hAnsi="宋体" w:cs="宋体" w:hint="eastAsia"/>
                <w:color w:val="000000"/>
                <w:sz w:val="24"/>
              </w:rPr>
              <w:t>无政府性基金</w:t>
            </w:r>
            <w:r>
              <w:rPr>
                <w:rFonts w:ascii="宋体" w:hAnsi="宋体" w:cs="宋体" w:hint="eastAsia"/>
                <w:color w:val="000000"/>
                <w:kern w:val="0"/>
                <w:sz w:val="24"/>
              </w:rPr>
              <w:t>预算财政拨款收入支出</w:t>
            </w:r>
          </w:p>
        </w:tc>
      </w:tr>
    </w:tbl>
    <w:p w:rsidR="00B87E2E" w:rsidRDefault="00B87E2E">
      <w:pPr>
        <w:widowControl/>
        <w:rPr>
          <w:rFonts w:ascii="黑体" w:eastAsia="黑体" w:hAnsi="宋体"/>
          <w:color w:val="000000"/>
          <w:kern w:val="0"/>
          <w:sz w:val="44"/>
          <w:szCs w:val="44"/>
        </w:rPr>
      </w:pPr>
    </w:p>
    <w:p w:rsidR="00B87E2E" w:rsidRDefault="005740CD">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B87E2E" w:rsidRDefault="005740CD">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B87E2E" w:rsidRDefault="005740CD">
      <w:pPr>
        <w:rPr>
          <w:rFonts w:ascii="宋体" w:hAnsi="宋体" w:cs="宋体"/>
          <w:b/>
          <w:bCs/>
          <w:szCs w:val="21"/>
        </w:rPr>
      </w:pPr>
      <w:r>
        <w:rPr>
          <w:rFonts w:ascii="宋体" w:hAnsi="宋体" w:cs="宋体" w:hint="eastAsia"/>
          <w:b/>
          <w:bCs/>
          <w:szCs w:val="21"/>
        </w:rPr>
        <w:t>公开01表</w:t>
      </w:r>
    </w:p>
    <w:p w:rsidR="00B87E2E" w:rsidRDefault="005740CD">
      <w:pPr>
        <w:rPr>
          <w:rFonts w:ascii="宋体" w:hAnsi="宋体" w:cs="宋体"/>
          <w:b/>
          <w:bCs/>
          <w:szCs w:val="21"/>
        </w:rPr>
      </w:pPr>
      <w:r>
        <w:rPr>
          <w:rFonts w:ascii="宋体" w:hAnsi="宋体" w:cs="宋体" w:hint="eastAsia"/>
          <w:b/>
          <w:bCs/>
          <w:szCs w:val="21"/>
        </w:rPr>
        <w:t>编制部门：</w:t>
      </w:r>
      <w:r w:rsidR="006B480D">
        <w:rPr>
          <w:rFonts w:ascii="宋体" w:hAnsi="宋体" w:cs="宋体" w:hint="eastAsia"/>
          <w:b/>
          <w:bCs/>
          <w:szCs w:val="21"/>
        </w:rPr>
        <w:t xml:space="preserve">杨陵区财务管理服务中心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B87E2E">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B87E2E">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6B480D">
            <w:pPr>
              <w:jc w:val="right"/>
              <w:rPr>
                <w:rFonts w:ascii="宋体" w:hAnsi="宋体" w:cs="宋体"/>
                <w:color w:val="000000"/>
                <w:szCs w:val="21"/>
              </w:rPr>
            </w:pPr>
            <w:r>
              <w:rPr>
                <w:rFonts w:ascii="宋体" w:hAnsi="宋体" w:cs="宋体" w:hint="eastAsia"/>
                <w:color w:val="000000"/>
                <w:kern w:val="0"/>
                <w:szCs w:val="21"/>
              </w:rPr>
              <w:t>250.93</w:t>
            </w: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rsidP="006B480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6B480D">
            <w:pPr>
              <w:jc w:val="right"/>
              <w:rPr>
                <w:rFonts w:ascii="宋体" w:hAnsi="宋体" w:cs="宋体"/>
                <w:color w:val="000000"/>
                <w:szCs w:val="21"/>
              </w:rPr>
            </w:pPr>
            <w:r>
              <w:rPr>
                <w:rFonts w:ascii="宋体" w:hAnsi="宋体" w:cs="宋体" w:hint="eastAsia"/>
                <w:color w:val="000000"/>
                <w:szCs w:val="21"/>
              </w:rPr>
              <w:t>258.97</w:t>
            </w: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B87E2E" w:rsidRDefault="00B87E2E">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B87E2E" w:rsidRDefault="006B480D">
            <w:pPr>
              <w:widowControl/>
              <w:jc w:val="right"/>
              <w:textAlignment w:val="center"/>
              <w:rPr>
                <w:rFonts w:ascii="宋体" w:hAnsi="宋体" w:cs="宋体"/>
                <w:color w:val="000000"/>
                <w:szCs w:val="21"/>
              </w:rPr>
            </w:pPr>
            <w:r>
              <w:rPr>
                <w:rFonts w:ascii="宋体" w:hAnsi="宋体" w:cs="宋体" w:hint="eastAsia"/>
                <w:color w:val="000000"/>
                <w:szCs w:val="21"/>
              </w:rPr>
              <w:t>14.97</w:t>
            </w: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6B480D">
            <w:pPr>
              <w:jc w:val="right"/>
              <w:rPr>
                <w:rFonts w:ascii="宋体" w:hAnsi="宋体" w:cs="宋体"/>
                <w:color w:val="000000"/>
                <w:szCs w:val="21"/>
              </w:rPr>
            </w:pPr>
            <w:r>
              <w:rPr>
                <w:rFonts w:ascii="宋体" w:hAnsi="宋体" w:cs="宋体" w:hint="eastAsia"/>
                <w:color w:val="000000"/>
                <w:szCs w:val="21"/>
              </w:rPr>
              <w:t>7.08</w:t>
            </w: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B87E2E" w:rsidRDefault="00B87E2E">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9C7BF3">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rsidP="009C7BF3">
            <w:pPr>
              <w:jc w:val="right"/>
              <w:rPr>
                <w:rFonts w:ascii="宋体" w:hAnsi="宋体" w:cs="宋体"/>
                <w:color w:val="000000"/>
                <w:szCs w:val="21"/>
              </w:rPr>
            </w:pPr>
          </w:p>
        </w:tc>
      </w:tr>
      <w:tr w:rsidR="00B87E2E" w:rsidTr="009C7BF3">
        <w:trPr>
          <w:trHeight w:val="415"/>
        </w:trPr>
        <w:tc>
          <w:tcPr>
            <w:tcW w:w="3388" w:type="dxa"/>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B87E2E" w:rsidRPr="009C7BF3" w:rsidRDefault="006B480D" w:rsidP="009C7BF3">
            <w:pPr>
              <w:widowControl/>
              <w:jc w:val="right"/>
              <w:textAlignment w:val="center"/>
              <w:rPr>
                <w:rFonts w:ascii="宋体" w:hAnsi="宋体" w:cs="宋体"/>
                <w:b/>
                <w:color w:val="000000"/>
                <w:szCs w:val="21"/>
              </w:rPr>
            </w:pPr>
            <w:r w:rsidRPr="009C7BF3">
              <w:rPr>
                <w:rFonts w:ascii="宋体" w:hAnsi="宋体" w:cs="宋体" w:hint="eastAsia"/>
                <w:b/>
                <w:color w:val="000000"/>
                <w:szCs w:val="21"/>
              </w:rPr>
              <w:t>265.90</w:t>
            </w:r>
          </w:p>
        </w:tc>
        <w:tc>
          <w:tcPr>
            <w:tcW w:w="3090" w:type="dxa"/>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B87E2E" w:rsidRDefault="006B480D" w:rsidP="009C7BF3">
            <w:pPr>
              <w:jc w:val="right"/>
              <w:rPr>
                <w:rFonts w:ascii="宋体" w:hAnsi="宋体" w:cs="宋体"/>
                <w:b/>
                <w:color w:val="000000"/>
                <w:szCs w:val="21"/>
              </w:rPr>
            </w:pPr>
            <w:r>
              <w:rPr>
                <w:rFonts w:ascii="宋体" w:hAnsi="宋体" w:cs="宋体" w:hint="eastAsia"/>
                <w:b/>
                <w:color w:val="000000"/>
                <w:szCs w:val="21"/>
              </w:rPr>
              <w:t>266.05</w:t>
            </w:r>
          </w:p>
        </w:tc>
      </w:tr>
      <w:tr w:rsidR="00B87E2E" w:rsidTr="009C7BF3">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Pr="009C7BF3" w:rsidRDefault="00B87E2E" w:rsidP="009C7BF3">
            <w:pPr>
              <w:jc w:val="right"/>
              <w:rPr>
                <w:rFonts w:ascii="宋体" w:hAnsi="宋体" w:cs="宋体"/>
                <w:b/>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B87E2E" w:rsidP="009C7BF3">
            <w:pPr>
              <w:jc w:val="right"/>
              <w:rPr>
                <w:rFonts w:ascii="宋体" w:hAnsi="宋体" w:cs="宋体"/>
                <w:b/>
                <w:color w:val="000000"/>
                <w:szCs w:val="21"/>
              </w:rPr>
            </w:pPr>
          </w:p>
        </w:tc>
      </w:tr>
      <w:tr w:rsidR="00B87E2E" w:rsidTr="009C7BF3">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Pr="009C7BF3" w:rsidRDefault="006B480D" w:rsidP="009C7BF3">
            <w:pPr>
              <w:jc w:val="right"/>
              <w:rPr>
                <w:rFonts w:ascii="宋体" w:hAnsi="宋体" w:cs="宋体"/>
                <w:b/>
                <w:bCs/>
                <w:color w:val="000000"/>
                <w:szCs w:val="21"/>
              </w:rPr>
            </w:pPr>
            <w:r w:rsidRPr="009C7BF3">
              <w:rPr>
                <w:rFonts w:ascii="宋体" w:hAnsi="宋体" w:cs="宋体" w:hint="eastAsia"/>
                <w:b/>
                <w:bCs/>
                <w:color w:val="000000"/>
                <w:szCs w:val="21"/>
              </w:rPr>
              <w:t>2.67</w:t>
            </w: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6B480D" w:rsidP="009C7BF3">
            <w:pPr>
              <w:jc w:val="right"/>
              <w:rPr>
                <w:rFonts w:ascii="宋体" w:hAnsi="宋体" w:cs="宋体"/>
                <w:b/>
                <w:color w:val="000000"/>
                <w:szCs w:val="21"/>
              </w:rPr>
            </w:pPr>
            <w:r>
              <w:rPr>
                <w:rFonts w:ascii="宋体" w:hAnsi="宋体" w:cs="宋体" w:hint="eastAsia"/>
                <w:b/>
                <w:color w:val="000000"/>
                <w:szCs w:val="21"/>
              </w:rPr>
              <w:t>2.51</w:t>
            </w:r>
          </w:p>
        </w:tc>
      </w:tr>
      <w:tr w:rsidR="00B87E2E" w:rsidTr="009C7BF3">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87E2E" w:rsidRPr="009C7BF3" w:rsidRDefault="006B480D" w:rsidP="009C7BF3">
            <w:pPr>
              <w:jc w:val="right"/>
              <w:rPr>
                <w:rFonts w:ascii="宋体" w:hAnsi="宋体" w:cs="宋体"/>
                <w:b/>
                <w:color w:val="000000"/>
                <w:szCs w:val="21"/>
              </w:rPr>
            </w:pPr>
            <w:r w:rsidRPr="009C7BF3">
              <w:rPr>
                <w:rFonts w:ascii="宋体" w:hAnsi="宋体" w:cs="宋体" w:hint="eastAsia"/>
                <w:b/>
                <w:color w:val="000000"/>
                <w:szCs w:val="21"/>
              </w:rPr>
              <w:t>268.56</w:t>
            </w:r>
          </w:p>
        </w:tc>
        <w:tc>
          <w:tcPr>
            <w:tcW w:w="309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B87E2E" w:rsidRDefault="006B480D" w:rsidP="009C7BF3">
            <w:pPr>
              <w:jc w:val="right"/>
              <w:rPr>
                <w:rFonts w:ascii="宋体" w:hAnsi="宋体" w:cs="宋体"/>
                <w:b/>
                <w:color w:val="000000"/>
                <w:szCs w:val="21"/>
              </w:rPr>
            </w:pPr>
            <w:r>
              <w:rPr>
                <w:rFonts w:ascii="宋体" w:hAnsi="宋体" w:cs="宋体" w:hint="eastAsia"/>
                <w:b/>
                <w:color w:val="000000"/>
                <w:szCs w:val="21"/>
              </w:rPr>
              <w:t>268.56</w:t>
            </w:r>
          </w:p>
        </w:tc>
      </w:tr>
    </w:tbl>
    <w:p w:rsidR="00B87E2E" w:rsidRDefault="005740CD">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1E6E3E" w:rsidRDefault="006B480D" w:rsidP="006B480D">
      <w:pPr>
        <w:jc w:val="center"/>
        <w:rPr>
          <w:rFonts w:ascii="宋体" w:hAnsi="宋体" w:cs="宋体"/>
          <w:b/>
          <w:bCs/>
          <w:sz w:val="32"/>
          <w:szCs w:val="32"/>
        </w:rPr>
      </w:pPr>
      <w:r>
        <w:rPr>
          <w:rFonts w:ascii="宋体" w:hAnsi="宋体" w:cs="宋体" w:hint="eastAsia"/>
          <w:b/>
          <w:bCs/>
          <w:sz w:val="32"/>
          <w:szCs w:val="32"/>
        </w:rPr>
        <w:lastRenderedPageBreak/>
        <w:t>收入决算</w:t>
      </w:r>
    </w:p>
    <w:p w:rsidR="00B87E2E" w:rsidRDefault="005740CD" w:rsidP="001E6E3E">
      <w:pPr>
        <w:rPr>
          <w:rFonts w:ascii="宋体" w:hAnsi="宋体" w:cs="宋体"/>
          <w:b/>
          <w:bCs/>
          <w:szCs w:val="21"/>
        </w:rPr>
      </w:pPr>
      <w:r>
        <w:rPr>
          <w:rFonts w:ascii="宋体" w:hAnsi="宋体" w:cs="宋体" w:hint="eastAsia"/>
          <w:b/>
          <w:bCs/>
          <w:szCs w:val="21"/>
        </w:rPr>
        <w:t>公开02表</w:t>
      </w:r>
    </w:p>
    <w:p w:rsidR="00B87E2E" w:rsidRDefault="005740CD">
      <w:pPr>
        <w:rPr>
          <w:rFonts w:ascii="宋体" w:hAnsi="宋体" w:cs="宋体"/>
          <w:b/>
          <w:bCs/>
          <w:sz w:val="48"/>
          <w:szCs w:val="48"/>
        </w:rPr>
      </w:pPr>
      <w:r>
        <w:rPr>
          <w:rFonts w:ascii="宋体" w:hAnsi="宋体" w:cs="宋体" w:hint="eastAsia"/>
          <w:b/>
          <w:bCs/>
          <w:szCs w:val="21"/>
        </w:rPr>
        <w:t xml:space="preserve">编制部门：  </w:t>
      </w:r>
      <w:r w:rsidR="006B480D">
        <w:rPr>
          <w:rFonts w:ascii="宋体" w:hAnsi="宋体" w:cs="宋体" w:hint="eastAsia"/>
          <w:b/>
          <w:bCs/>
          <w:szCs w:val="21"/>
        </w:rPr>
        <w:t>杨陵区财务管理服务中心</w:t>
      </w:r>
      <w:r>
        <w:rPr>
          <w:rFonts w:ascii="宋体" w:hAnsi="宋体" w:cs="宋体" w:hint="eastAsia"/>
          <w:b/>
          <w:bCs/>
          <w:szCs w:val="21"/>
        </w:rPr>
        <w:t xml:space="preserve">                            </w:t>
      </w:r>
      <w:r w:rsidR="006B480D">
        <w:rPr>
          <w:rFonts w:ascii="宋体" w:hAnsi="宋体" w:cs="宋体" w:hint="eastAsia"/>
          <w:b/>
          <w:bCs/>
          <w:szCs w:val="21"/>
        </w:rPr>
        <w:t xml:space="preserve">   </w:t>
      </w:r>
      <w:r>
        <w:rPr>
          <w:rFonts w:ascii="宋体" w:hAnsi="宋体" w:cs="宋体" w:hint="eastAsia"/>
          <w:b/>
          <w:bCs/>
          <w:szCs w:val="21"/>
        </w:rPr>
        <w:t xml:space="preserve"> 金额单位：万元</w:t>
      </w:r>
    </w:p>
    <w:tbl>
      <w:tblPr>
        <w:tblW w:w="8867" w:type="dxa"/>
        <w:tblLayout w:type="fixed"/>
        <w:tblCellMar>
          <w:top w:w="15" w:type="dxa"/>
          <w:left w:w="15" w:type="dxa"/>
          <w:bottom w:w="15" w:type="dxa"/>
          <w:right w:w="15" w:type="dxa"/>
        </w:tblCellMar>
        <w:tblLook w:val="04A0"/>
      </w:tblPr>
      <w:tblGrid>
        <w:gridCol w:w="927"/>
        <w:gridCol w:w="1923"/>
        <w:gridCol w:w="993"/>
        <w:gridCol w:w="850"/>
        <w:gridCol w:w="567"/>
        <w:gridCol w:w="567"/>
        <w:gridCol w:w="851"/>
        <w:gridCol w:w="708"/>
        <w:gridCol w:w="671"/>
        <w:gridCol w:w="810"/>
      </w:tblGrid>
      <w:tr w:rsidR="00E9554E" w:rsidTr="00E9554E">
        <w:trPr>
          <w:trHeight w:val="439"/>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B87E2E" w:rsidRDefault="005740CD">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E9554E" w:rsidTr="00E9554E">
        <w:trPr>
          <w:trHeight w:val="794"/>
        </w:trPr>
        <w:tc>
          <w:tcPr>
            <w:tcW w:w="927" w:type="dxa"/>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923" w:type="dxa"/>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993"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5740CD">
            <w:pPr>
              <w:jc w:val="center"/>
              <w:rPr>
                <w:rFonts w:ascii="宋体" w:hAnsi="宋体" w:cs="宋体"/>
                <w:b/>
                <w:color w:val="000000"/>
                <w:szCs w:val="21"/>
              </w:rPr>
            </w:pPr>
            <w:r>
              <w:rPr>
                <w:rFonts w:ascii="宋体" w:hAnsi="宋体" w:cs="宋体" w:hint="eastAsia"/>
                <w:b/>
                <w:color w:val="000000"/>
                <w:szCs w:val="21"/>
              </w:rPr>
              <w:t>小计</w:t>
            </w: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5740CD" w:rsidP="006B480D">
            <w:pPr>
              <w:jc w:val="center"/>
              <w:rPr>
                <w:rFonts w:ascii="宋体" w:hAnsi="宋体" w:cs="宋体"/>
                <w:b/>
                <w:color w:val="000000"/>
                <w:szCs w:val="21"/>
              </w:rPr>
            </w:pPr>
            <w:r>
              <w:rPr>
                <w:rFonts w:ascii="宋体" w:hAnsi="宋体" w:cs="宋体" w:hint="eastAsia"/>
                <w:b/>
                <w:color w:val="000000"/>
                <w:szCs w:val="21"/>
              </w:rPr>
              <w:t>其中：教育收费</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671"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E9554E" w:rsidTr="00546BED">
        <w:trPr>
          <w:trHeight w:val="439"/>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E9554E" w:rsidP="00546BED">
            <w:pPr>
              <w:jc w:val="center"/>
              <w:rPr>
                <w:rFonts w:ascii="宋体" w:hAnsi="宋体" w:cs="宋体"/>
                <w:color w:val="000000"/>
                <w:szCs w:val="21"/>
              </w:rPr>
            </w:pPr>
            <w:r>
              <w:rPr>
                <w:rFonts w:ascii="宋体" w:hAnsi="宋体" w:cs="宋体" w:hint="eastAsia"/>
                <w:color w:val="000000"/>
                <w:szCs w:val="21"/>
              </w:rPr>
              <w:t>265.90</w:t>
            </w: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250.93</w:t>
            </w: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14.97</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201</w:t>
            </w:r>
          </w:p>
        </w:tc>
        <w:tc>
          <w:tcPr>
            <w:tcW w:w="1923"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一般公共服务支出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pPr>
            <w:r w:rsidRPr="00BA07B0">
              <w:rPr>
                <w:rFonts w:ascii="宋体" w:hAnsi="宋体" w:cs="宋体" w:hint="eastAsia"/>
                <w:color w:val="000000"/>
                <w:szCs w:val="21"/>
              </w:rPr>
              <w:t>258.32</w:t>
            </w:r>
          </w:p>
        </w:tc>
        <w:tc>
          <w:tcPr>
            <w:tcW w:w="85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pPr>
            <w:r w:rsidRPr="003E0FB9">
              <w:rPr>
                <w:rFonts w:ascii="宋体" w:hAnsi="宋体" w:cs="宋体" w:hint="eastAsia"/>
                <w:color w:val="000000"/>
                <w:szCs w:val="21"/>
              </w:rPr>
              <w:t>250.93</w:t>
            </w: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r>
              <w:rPr>
                <w:rFonts w:ascii="宋体" w:hAnsi="宋体" w:cs="宋体" w:hint="eastAsia"/>
                <w:color w:val="000000"/>
                <w:szCs w:val="21"/>
              </w:rPr>
              <w:t>7.39</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20103</w:t>
            </w:r>
          </w:p>
        </w:tc>
        <w:tc>
          <w:tcPr>
            <w:tcW w:w="1923"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政府办公厅（室）及相关机构事务</w:t>
            </w:r>
          </w:p>
        </w:tc>
        <w:tc>
          <w:tcPr>
            <w:tcW w:w="993" w:type="dxa"/>
            <w:tcBorders>
              <w:top w:val="single" w:sz="4" w:space="0" w:color="000000"/>
              <w:left w:val="single" w:sz="4" w:space="0" w:color="000000"/>
              <w:bottom w:val="single" w:sz="4" w:space="0" w:color="000000"/>
              <w:right w:val="single" w:sz="4" w:space="0" w:color="000000"/>
            </w:tcBorders>
            <w:vAlign w:val="center"/>
          </w:tcPr>
          <w:p w:rsidR="001E6E3E" w:rsidRPr="00E9554E" w:rsidRDefault="001E6E3E" w:rsidP="00546BED">
            <w:pPr>
              <w:jc w:val="center"/>
              <w:rPr>
                <w:rFonts w:ascii="宋体" w:hAnsi="宋体" w:cs="宋体"/>
                <w:color w:val="000000"/>
                <w:szCs w:val="21"/>
              </w:rPr>
            </w:pPr>
            <w:r w:rsidRPr="00BA07B0">
              <w:rPr>
                <w:rFonts w:ascii="宋体" w:hAnsi="宋体" w:cs="宋体" w:hint="eastAsia"/>
                <w:color w:val="000000"/>
                <w:szCs w:val="21"/>
              </w:rPr>
              <w:t>258.32</w:t>
            </w:r>
          </w:p>
        </w:tc>
        <w:tc>
          <w:tcPr>
            <w:tcW w:w="850" w:type="dxa"/>
            <w:tcBorders>
              <w:top w:val="single" w:sz="4" w:space="0" w:color="000000"/>
              <w:left w:val="single" w:sz="4" w:space="0" w:color="000000"/>
              <w:bottom w:val="single" w:sz="4" w:space="0" w:color="000000"/>
              <w:right w:val="single" w:sz="4" w:space="0" w:color="000000"/>
            </w:tcBorders>
            <w:vAlign w:val="center"/>
          </w:tcPr>
          <w:p w:rsidR="001E6E3E" w:rsidRPr="00E9554E" w:rsidRDefault="001E6E3E" w:rsidP="00546BED">
            <w:pPr>
              <w:jc w:val="center"/>
              <w:rPr>
                <w:rFonts w:ascii="宋体" w:hAnsi="宋体" w:cs="宋体"/>
                <w:color w:val="000000"/>
                <w:szCs w:val="21"/>
              </w:rPr>
            </w:pPr>
            <w:r w:rsidRPr="003E0FB9">
              <w:rPr>
                <w:rFonts w:ascii="宋体" w:hAnsi="宋体" w:cs="宋体" w:hint="eastAsia"/>
                <w:color w:val="000000"/>
                <w:szCs w:val="21"/>
              </w:rPr>
              <w:t>250.93</w:t>
            </w: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r>
              <w:rPr>
                <w:rFonts w:ascii="宋体" w:hAnsi="宋体" w:cs="宋体" w:hint="eastAsia"/>
                <w:color w:val="000000"/>
                <w:szCs w:val="21"/>
              </w:rPr>
              <w:t>7.39</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6B480D">
            <w:pPr>
              <w:jc w:val="left"/>
              <w:rPr>
                <w:rFonts w:ascii="宋体" w:hAnsi="宋体" w:cs="宋体"/>
                <w:color w:val="000000"/>
                <w:szCs w:val="21"/>
              </w:rPr>
            </w:pPr>
            <w:r>
              <w:rPr>
                <w:rFonts w:ascii="宋体" w:hAnsi="宋体" w:cs="宋体" w:hint="eastAsia"/>
                <w:color w:val="000000"/>
                <w:szCs w:val="21"/>
              </w:rPr>
              <w:t>2010350</w:t>
            </w: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1E6E3E">
            <w:pPr>
              <w:jc w:val="left"/>
              <w:rPr>
                <w:rFonts w:ascii="宋体" w:hAnsi="宋体" w:cs="宋体"/>
                <w:color w:val="000000"/>
                <w:szCs w:val="21"/>
              </w:rPr>
            </w:pPr>
            <w:r>
              <w:rPr>
                <w:rFonts w:ascii="宋体" w:hAnsi="宋体" w:cs="宋体" w:hint="eastAsia"/>
                <w:color w:val="000000"/>
                <w:szCs w:val="21"/>
              </w:rPr>
              <w:t>事业运行</w:t>
            </w: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236.17</w:t>
            </w: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236.17</w:t>
            </w: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6B480D">
            <w:pPr>
              <w:jc w:val="left"/>
              <w:rPr>
                <w:rFonts w:ascii="宋体" w:hAnsi="宋体" w:cs="宋体"/>
                <w:color w:val="000000"/>
                <w:szCs w:val="21"/>
              </w:rPr>
            </w:pPr>
            <w:r>
              <w:rPr>
                <w:rFonts w:ascii="宋体" w:hAnsi="宋体" w:cs="宋体" w:hint="eastAsia"/>
                <w:color w:val="000000"/>
                <w:szCs w:val="21"/>
              </w:rPr>
              <w:t>2010399</w:t>
            </w: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1E6E3E">
            <w:pPr>
              <w:jc w:val="left"/>
              <w:rPr>
                <w:rFonts w:ascii="宋体" w:hAnsi="宋体" w:cs="宋体"/>
                <w:color w:val="000000"/>
                <w:szCs w:val="21"/>
              </w:rPr>
            </w:pPr>
            <w:r>
              <w:rPr>
                <w:rFonts w:ascii="宋体" w:hAnsi="宋体" w:cs="宋体" w:hint="eastAsia"/>
                <w:color w:val="000000"/>
                <w:szCs w:val="21"/>
              </w:rPr>
              <w:t>其他办公厅（室）及相关机构事务支出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22.15</w:t>
            </w: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14.76</w:t>
            </w: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1E6E3E" w:rsidP="00546BED">
            <w:pPr>
              <w:jc w:val="center"/>
              <w:rPr>
                <w:rFonts w:ascii="宋体" w:hAnsi="宋体" w:cs="宋体"/>
                <w:color w:val="000000"/>
                <w:szCs w:val="21"/>
              </w:rPr>
            </w:pPr>
            <w:r>
              <w:rPr>
                <w:rFonts w:ascii="宋体" w:hAnsi="宋体" w:cs="宋体" w:hint="eastAsia"/>
                <w:color w:val="000000"/>
                <w:szCs w:val="21"/>
              </w:rPr>
              <w:t>7.39</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208</w:t>
            </w:r>
          </w:p>
        </w:tc>
        <w:tc>
          <w:tcPr>
            <w:tcW w:w="1923"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社会保障和就业支出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r>
              <w:rPr>
                <w:rFonts w:ascii="宋体" w:hAnsi="宋体" w:cs="宋体" w:hint="eastAsia"/>
                <w:color w:val="000000"/>
                <w:szCs w:val="21"/>
              </w:rPr>
              <w:t>7.58</w:t>
            </w:r>
          </w:p>
        </w:tc>
        <w:tc>
          <w:tcPr>
            <w:tcW w:w="85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pPr>
            <w:r w:rsidRPr="00113B07">
              <w:rPr>
                <w:rFonts w:ascii="宋体" w:hAnsi="宋体" w:cs="宋体" w:hint="eastAsia"/>
                <w:color w:val="000000"/>
                <w:szCs w:val="21"/>
              </w:rPr>
              <w:t>7.58</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20807</w:t>
            </w:r>
          </w:p>
        </w:tc>
        <w:tc>
          <w:tcPr>
            <w:tcW w:w="1923" w:type="dxa"/>
            <w:tcBorders>
              <w:top w:val="single" w:sz="4" w:space="0" w:color="000000"/>
              <w:left w:val="single" w:sz="4" w:space="0" w:color="000000"/>
              <w:bottom w:val="single" w:sz="4" w:space="0" w:color="000000"/>
              <w:right w:val="single" w:sz="4" w:space="0" w:color="000000"/>
            </w:tcBorders>
            <w:vAlign w:val="center"/>
          </w:tcPr>
          <w:p w:rsidR="001E6E3E" w:rsidRDefault="001E6E3E" w:rsidP="001E6E3E">
            <w:pPr>
              <w:jc w:val="left"/>
              <w:rPr>
                <w:rFonts w:ascii="宋体" w:hAnsi="宋体" w:cs="宋体"/>
                <w:color w:val="000000"/>
                <w:szCs w:val="21"/>
              </w:rPr>
            </w:pPr>
            <w:r>
              <w:rPr>
                <w:rFonts w:ascii="宋体" w:hAnsi="宋体" w:cs="宋体" w:hint="eastAsia"/>
                <w:color w:val="000000"/>
                <w:szCs w:val="21"/>
              </w:rPr>
              <w:t>就业补助</w:t>
            </w:r>
          </w:p>
        </w:tc>
        <w:tc>
          <w:tcPr>
            <w:tcW w:w="993"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r>
              <w:rPr>
                <w:rFonts w:ascii="宋体" w:hAnsi="宋体" w:cs="宋体" w:hint="eastAsia"/>
                <w:color w:val="000000"/>
                <w:szCs w:val="21"/>
              </w:rPr>
              <w:t>7.58</w:t>
            </w:r>
          </w:p>
        </w:tc>
        <w:tc>
          <w:tcPr>
            <w:tcW w:w="85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pPr>
            <w:r w:rsidRPr="00113B07">
              <w:rPr>
                <w:rFonts w:ascii="宋体" w:hAnsi="宋体" w:cs="宋体" w:hint="eastAsia"/>
                <w:color w:val="000000"/>
                <w:szCs w:val="21"/>
              </w:rPr>
              <w:t>7.58</w:t>
            </w:r>
          </w:p>
        </w:tc>
      </w:tr>
      <w:tr w:rsidR="00E9554E" w:rsidTr="00546BE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2080799</w:t>
            </w:r>
          </w:p>
        </w:tc>
        <w:tc>
          <w:tcPr>
            <w:tcW w:w="1923" w:type="dxa"/>
            <w:tcBorders>
              <w:top w:val="single" w:sz="4" w:space="0" w:color="000000"/>
              <w:left w:val="single" w:sz="4" w:space="0" w:color="000000"/>
              <w:bottom w:val="single" w:sz="4" w:space="0" w:color="000000"/>
              <w:right w:val="single" w:sz="4" w:space="0" w:color="000000"/>
            </w:tcBorders>
            <w:vAlign w:val="center"/>
          </w:tcPr>
          <w:p w:rsidR="001E6E3E" w:rsidRDefault="001E6E3E">
            <w:pPr>
              <w:jc w:val="left"/>
              <w:rPr>
                <w:rFonts w:ascii="宋体" w:hAnsi="宋体" w:cs="宋体"/>
                <w:color w:val="000000"/>
                <w:szCs w:val="21"/>
              </w:rPr>
            </w:pPr>
            <w:r>
              <w:rPr>
                <w:rFonts w:ascii="宋体" w:hAnsi="宋体" w:cs="宋体" w:hint="eastAsia"/>
                <w:color w:val="000000"/>
                <w:szCs w:val="21"/>
              </w:rPr>
              <w:t>其他就业补助支出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r>
              <w:rPr>
                <w:rFonts w:ascii="宋体" w:hAnsi="宋体" w:cs="宋体" w:hint="eastAsia"/>
                <w:color w:val="000000"/>
                <w:szCs w:val="21"/>
              </w:rPr>
              <w:t>7.58</w:t>
            </w:r>
          </w:p>
        </w:tc>
        <w:tc>
          <w:tcPr>
            <w:tcW w:w="85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E6E3E" w:rsidRDefault="001E6E3E" w:rsidP="00546BED">
            <w:pPr>
              <w:jc w:val="center"/>
            </w:pPr>
            <w:r w:rsidRPr="00113B07">
              <w:rPr>
                <w:rFonts w:ascii="宋体" w:hAnsi="宋体" w:cs="宋体" w:hint="eastAsia"/>
                <w:color w:val="000000"/>
                <w:szCs w:val="21"/>
              </w:rPr>
              <w:t>7.58</w:t>
            </w: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449"/>
        </w:trPr>
        <w:tc>
          <w:tcPr>
            <w:tcW w:w="92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bl>
    <w:p w:rsidR="00B87E2E" w:rsidRDefault="005740CD">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B87E2E" w:rsidRDefault="005740CD">
      <w:pPr>
        <w:jc w:val="center"/>
        <w:rPr>
          <w:rFonts w:ascii="宋体" w:hAnsi="宋体" w:cs="宋体"/>
          <w:b/>
          <w:bCs/>
          <w:sz w:val="32"/>
          <w:szCs w:val="32"/>
        </w:rPr>
      </w:pPr>
      <w:r>
        <w:rPr>
          <w:rFonts w:ascii="宋体" w:hAnsi="宋体" w:cs="宋体" w:hint="eastAsia"/>
          <w:b/>
          <w:bCs/>
          <w:sz w:val="32"/>
          <w:szCs w:val="32"/>
        </w:rPr>
        <w:lastRenderedPageBreak/>
        <w:t>支出决算表</w:t>
      </w:r>
    </w:p>
    <w:p w:rsidR="00B87E2E" w:rsidRDefault="005740CD">
      <w:pPr>
        <w:rPr>
          <w:rFonts w:ascii="宋体" w:hAnsi="宋体" w:cs="宋体"/>
          <w:b/>
          <w:bCs/>
          <w:szCs w:val="21"/>
        </w:rPr>
      </w:pPr>
      <w:r>
        <w:rPr>
          <w:rFonts w:ascii="宋体" w:hAnsi="宋体" w:cs="宋体" w:hint="eastAsia"/>
          <w:b/>
          <w:bCs/>
          <w:szCs w:val="21"/>
        </w:rPr>
        <w:t>公开03表</w:t>
      </w:r>
    </w:p>
    <w:p w:rsidR="00B87E2E" w:rsidRDefault="005740CD">
      <w:pPr>
        <w:rPr>
          <w:rFonts w:ascii="宋体" w:hAnsi="宋体" w:cs="宋体"/>
          <w:b/>
          <w:bCs/>
          <w:sz w:val="48"/>
          <w:szCs w:val="48"/>
        </w:rPr>
      </w:pPr>
      <w:r>
        <w:rPr>
          <w:rFonts w:ascii="宋体" w:hAnsi="宋体" w:cs="宋体" w:hint="eastAsia"/>
          <w:b/>
          <w:bCs/>
          <w:szCs w:val="21"/>
        </w:rPr>
        <w:t xml:space="preserve">编制部门： </w:t>
      </w:r>
      <w:r w:rsidR="00E9554E">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9087" w:type="dxa"/>
        <w:tblLayout w:type="fixed"/>
        <w:tblCellMar>
          <w:top w:w="15" w:type="dxa"/>
          <w:left w:w="15" w:type="dxa"/>
          <w:bottom w:w="15" w:type="dxa"/>
          <w:right w:w="15" w:type="dxa"/>
        </w:tblCellMar>
        <w:tblLook w:val="04A0"/>
      </w:tblPr>
      <w:tblGrid>
        <w:gridCol w:w="1149"/>
        <w:gridCol w:w="1985"/>
        <w:gridCol w:w="1417"/>
        <w:gridCol w:w="993"/>
        <w:gridCol w:w="992"/>
        <w:gridCol w:w="850"/>
        <w:gridCol w:w="567"/>
        <w:gridCol w:w="1134"/>
      </w:tblGrid>
      <w:tr w:rsidR="00E9554E" w:rsidTr="00E9554E">
        <w:trPr>
          <w:trHeight w:val="372"/>
        </w:trPr>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rsidP="00E9554E">
            <w:pPr>
              <w:widowControl/>
              <w:jc w:val="center"/>
              <w:textAlignment w:val="center"/>
              <w:rPr>
                <w:rFonts w:ascii="宋体" w:hAnsi="宋体" w:cs="宋体"/>
                <w:b/>
                <w:color w:val="000000"/>
                <w:szCs w:val="21"/>
              </w:rPr>
            </w:pPr>
            <w:r>
              <w:rPr>
                <w:rFonts w:ascii="宋体" w:hAnsi="宋体" w:cs="宋体" w:hint="eastAsia"/>
                <w:b/>
                <w:color w:val="000000"/>
                <w:kern w:val="0"/>
                <w:szCs w:val="21"/>
              </w:rPr>
              <w:t>对附属单位补助支出</w:t>
            </w:r>
          </w:p>
        </w:tc>
      </w:tr>
      <w:tr w:rsidR="00E9554E" w:rsidTr="00E9554E">
        <w:trPr>
          <w:trHeight w:val="70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E9554E" w:rsidTr="00AF71DB">
        <w:trPr>
          <w:trHeight w:val="372"/>
        </w:trPr>
        <w:tc>
          <w:tcPr>
            <w:tcW w:w="3134"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E9554E" w:rsidP="00AF71DB">
            <w:pPr>
              <w:jc w:val="center"/>
              <w:rPr>
                <w:rFonts w:ascii="宋体" w:hAnsi="宋体" w:cs="宋体"/>
                <w:color w:val="000000"/>
                <w:szCs w:val="21"/>
              </w:rPr>
            </w:pPr>
            <w:r>
              <w:rPr>
                <w:rFonts w:ascii="宋体" w:hAnsi="宋体" w:cs="宋体" w:hint="eastAsia"/>
                <w:color w:val="000000"/>
                <w:szCs w:val="21"/>
              </w:rPr>
              <w:t>266.05</w:t>
            </w: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E9554E" w:rsidP="00AF71DB">
            <w:pPr>
              <w:jc w:val="center"/>
              <w:rPr>
                <w:rFonts w:ascii="宋体" w:hAnsi="宋体" w:cs="宋体"/>
                <w:color w:val="000000"/>
                <w:szCs w:val="21"/>
              </w:rPr>
            </w:pPr>
            <w:r>
              <w:rPr>
                <w:rFonts w:ascii="宋体" w:hAnsi="宋体" w:cs="宋体" w:hint="eastAsia"/>
                <w:color w:val="000000"/>
                <w:szCs w:val="21"/>
              </w:rPr>
              <w:t>239.42</w:t>
            </w: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E9554E" w:rsidP="00AF71DB">
            <w:pPr>
              <w:jc w:val="center"/>
              <w:rPr>
                <w:rFonts w:ascii="宋体" w:hAnsi="宋体" w:cs="宋体"/>
                <w:color w:val="000000"/>
                <w:szCs w:val="21"/>
              </w:rPr>
            </w:pPr>
            <w:r>
              <w:rPr>
                <w:rFonts w:ascii="宋体" w:hAnsi="宋体" w:cs="宋体" w:hint="eastAsia"/>
                <w:color w:val="000000"/>
                <w:szCs w:val="21"/>
              </w:rPr>
              <w:t>26.64</w:t>
            </w: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201</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一般公共服务支出</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258.97</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pPr>
            <w:r w:rsidRPr="00FC78D7">
              <w:rPr>
                <w:rFonts w:ascii="宋体" w:hAnsi="宋体" w:cs="宋体" w:hint="eastAsia"/>
                <w:color w:val="000000"/>
                <w:szCs w:val="21"/>
              </w:rPr>
              <w:t>239.42</w:t>
            </w: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A3127E" w:rsidP="00AF71DB">
            <w:pPr>
              <w:jc w:val="center"/>
              <w:rPr>
                <w:rFonts w:ascii="宋体" w:hAnsi="宋体" w:cs="宋体"/>
                <w:color w:val="000000"/>
                <w:szCs w:val="21"/>
              </w:rPr>
            </w:pPr>
            <w:r>
              <w:rPr>
                <w:rFonts w:ascii="宋体" w:hAnsi="宋体" w:cs="宋体" w:hint="eastAsia"/>
                <w:color w:val="000000"/>
                <w:szCs w:val="21"/>
              </w:rPr>
              <w:t>19.56</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20103</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政府办公厅（室）及相关机构事务</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258.97</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pPr>
            <w:r w:rsidRPr="00FC78D7">
              <w:rPr>
                <w:rFonts w:ascii="宋体" w:hAnsi="宋体" w:cs="宋体" w:hint="eastAsia"/>
                <w:color w:val="000000"/>
                <w:szCs w:val="21"/>
              </w:rPr>
              <w:t>239.42</w:t>
            </w: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A3127E" w:rsidP="00AF71DB">
            <w:pPr>
              <w:jc w:val="center"/>
              <w:rPr>
                <w:rFonts w:ascii="宋体" w:hAnsi="宋体" w:cs="宋体"/>
                <w:color w:val="000000"/>
                <w:szCs w:val="21"/>
              </w:rPr>
            </w:pPr>
            <w:r>
              <w:rPr>
                <w:rFonts w:ascii="宋体" w:hAnsi="宋体" w:cs="宋体" w:hint="eastAsia"/>
                <w:color w:val="000000"/>
                <w:szCs w:val="21"/>
              </w:rPr>
              <w:t>19.56</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2010350</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事业运行</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236.17</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236.17</w:t>
            </w: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2010399</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其他办公厅（室）及相关机构事务支出</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22.80</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3.25</w:t>
            </w: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A3127E" w:rsidP="00AF71DB">
            <w:pPr>
              <w:jc w:val="center"/>
              <w:rPr>
                <w:rFonts w:ascii="宋体" w:hAnsi="宋体" w:cs="宋体"/>
                <w:color w:val="000000"/>
                <w:szCs w:val="21"/>
              </w:rPr>
            </w:pPr>
            <w:r>
              <w:rPr>
                <w:rFonts w:ascii="宋体" w:hAnsi="宋体" w:cs="宋体" w:hint="eastAsia"/>
                <w:color w:val="000000"/>
                <w:szCs w:val="21"/>
              </w:rPr>
              <w:t>19.56</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208</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社会保障和就业支出</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ind w:right="105"/>
              <w:jc w:val="center"/>
              <w:rPr>
                <w:rFonts w:ascii="宋体" w:hAnsi="宋体" w:cs="宋体"/>
                <w:color w:val="000000"/>
                <w:szCs w:val="21"/>
              </w:rPr>
            </w:pPr>
            <w:r>
              <w:rPr>
                <w:rFonts w:ascii="宋体" w:hAnsi="宋体" w:cs="宋体" w:hint="eastAsia"/>
                <w:color w:val="000000"/>
                <w:szCs w:val="21"/>
              </w:rPr>
              <w:t>7.08</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pPr>
            <w:r w:rsidRPr="007A0B99">
              <w:rPr>
                <w:rFonts w:ascii="宋体" w:hAnsi="宋体" w:cs="宋体" w:hint="eastAsia"/>
                <w:color w:val="000000"/>
                <w:szCs w:val="21"/>
              </w:rPr>
              <w:t>7.08</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20807</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就业补助</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7.08</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pPr>
            <w:r w:rsidRPr="007A0B99">
              <w:rPr>
                <w:rFonts w:ascii="宋体" w:hAnsi="宋体" w:cs="宋体" w:hint="eastAsia"/>
                <w:color w:val="000000"/>
                <w:szCs w:val="21"/>
              </w:rPr>
              <w:t>7.08</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AF71DB">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2080799</w:t>
            </w:r>
          </w:p>
        </w:tc>
        <w:tc>
          <w:tcPr>
            <w:tcW w:w="1985" w:type="dxa"/>
            <w:tcBorders>
              <w:top w:val="single" w:sz="4" w:space="0" w:color="000000"/>
              <w:left w:val="single" w:sz="4" w:space="0" w:color="000000"/>
              <w:bottom w:val="single" w:sz="4" w:space="0" w:color="000000"/>
              <w:right w:val="single" w:sz="4" w:space="0" w:color="000000"/>
            </w:tcBorders>
            <w:vAlign w:val="center"/>
          </w:tcPr>
          <w:p w:rsidR="00E9554E" w:rsidRDefault="00E9554E" w:rsidP="00B50909">
            <w:pPr>
              <w:jc w:val="left"/>
              <w:rPr>
                <w:rFonts w:ascii="宋体" w:hAnsi="宋体" w:cs="宋体"/>
                <w:color w:val="000000"/>
                <w:szCs w:val="21"/>
              </w:rPr>
            </w:pPr>
            <w:r>
              <w:rPr>
                <w:rFonts w:ascii="宋体" w:hAnsi="宋体" w:cs="宋体" w:hint="eastAsia"/>
                <w:color w:val="000000"/>
                <w:szCs w:val="21"/>
              </w:rPr>
              <w:t>其他就业补助支出</w:t>
            </w:r>
          </w:p>
        </w:tc>
        <w:tc>
          <w:tcPr>
            <w:tcW w:w="1417"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r>
              <w:rPr>
                <w:rFonts w:ascii="宋体" w:hAnsi="宋体" w:cs="宋体" w:hint="eastAsia"/>
                <w:color w:val="000000"/>
                <w:szCs w:val="21"/>
              </w:rPr>
              <w:t>7.08</w:t>
            </w:r>
          </w:p>
        </w:tc>
        <w:tc>
          <w:tcPr>
            <w:tcW w:w="993"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9554E" w:rsidRDefault="00E9554E" w:rsidP="00AF71DB">
            <w:pPr>
              <w:jc w:val="center"/>
            </w:pPr>
            <w:r w:rsidRPr="007A0B99">
              <w:rPr>
                <w:rFonts w:ascii="宋体" w:hAnsi="宋体" w:cs="宋体" w:hint="eastAsia"/>
                <w:color w:val="000000"/>
                <w:szCs w:val="21"/>
              </w:rPr>
              <w:t>7.08</w:t>
            </w:r>
          </w:p>
        </w:tc>
        <w:tc>
          <w:tcPr>
            <w:tcW w:w="850"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9554E" w:rsidRDefault="00E9554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tabs>
                <w:tab w:val="left" w:pos="506"/>
              </w:tabs>
              <w:jc w:val="lef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72"/>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E9554E" w:rsidTr="00E9554E">
        <w:trPr>
          <w:trHeight w:val="383"/>
        </w:trPr>
        <w:tc>
          <w:tcPr>
            <w:tcW w:w="11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bl>
    <w:p w:rsidR="00B87E2E" w:rsidRDefault="005740CD">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B87E2E" w:rsidRDefault="005740CD">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B87E2E" w:rsidRDefault="005740CD">
      <w:pPr>
        <w:rPr>
          <w:rFonts w:ascii="宋体" w:hAnsi="宋体" w:cs="宋体"/>
          <w:b/>
          <w:bCs/>
          <w:szCs w:val="21"/>
        </w:rPr>
      </w:pPr>
      <w:r>
        <w:rPr>
          <w:rFonts w:ascii="宋体" w:hAnsi="宋体" w:cs="宋体" w:hint="eastAsia"/>
          <w:b/>
          <w:bCs/>
          <w:szCs w:val="21"/>
        </w:rPr>
        <w:t>公开04表</w:t>
      </w:r>
    </w:p>
    <w:p w:rsidR="00B87E2E" w:rsidRDefault="005740CD">
      <w:pPr>
        <w:rPr>
          <w:rFonts w:ascii="宋体" w:hAnsi="宋体" w:cs="宋体"/>
          <w:b/>
          <w:bCs/>
          <w:szCs w:val="21"/>
        </w:rPr>
      </w:pPr>
      <w:r>
        <w:rPr>
          <w:rFonts w:ascii="宋体" w:hAnsi="宋体" w:cs="宋体" w:hint="eastAsia"/>
          <w:b/>
          <w:bCs/>
          <w:szCs w:val="21"/>
        </w:rPr>
        <w:t xml:space="preserve">编制部门： </w:t>
      </w:r>
      <w:r w:rsidR="008A7821">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B87E2E">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B87E2E">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B87E2E">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8A7821">
            <w:pPr>
              <w:jc w:val="right"/>
              <w:rPr>
                <w:rFonts w:ascii="宋体" w:hAnsi="宋体" w:cs="宋体"/>
                <w:color w:val="000000"/>
                <w:szCs w:val="21"/>
              </w:rPr>
            </w:pPr>
            <w:r>
              <w:rPr>
                <w:rFonts w:ascii="宋体" w:hAnsi="宋体" w:cs="宋体" w:hint="eastAsia"/>
                <w:color w:val="000000"/>
                <w:szCs w:val="21"/>
              </w:rPr>
              <w:t>250.93</w:t>
            </w: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8A7821" w:rsidP="00672652">
            <w:pPr>
              <w:widowControl/>
              <w:jc w:val="right"/>
              <w:textAlignment w:val="center"/>
              <w:rPr>
                <w:rFonts w:ascii="宋体" w:hAnsi="宋体" w:cs="宋体"/>
                <w:color w:val="000000"/>
                <w:szCs w:val="21"/>
              </w:rPr>
            </w:pPr>
            <w:r>
              <w:rPr>
                <w:rFonts w:ascii="宋体" w:hAnsi="宋体" w:cs="宋体" w:hint="eastAsia"/>
                <w:color w:val="000000"/>
                <w:szCs w:val="21"/>
              </w:rPr>
              <w:t>251.59</w:t>
            </w: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8A7821" w:rsidP="00672652">
            <w:pPr>
              <w:jc w:val="right"/>
              <w:rPr>
                <w:rFonts w:ascii="宋体" w:hAnsi="宋体" w:cs="宋体"/>
                <w:color w:val="000000"/>
                <w:szCs w:val="21"/>
              </w:rPr>
            </w:pPr>
            <w:r>
              <w:rPr>
                <w:rFonts w:ascii="宋体" w:hAnsi="宋体" w:cs="宋体" w:hint="eastAsia"/>
                <w:color w:val="000000"/>
                <w:szCs w:val="21"/>
              </w:rPr>
              <w:t>251.59</w:t>
            </w: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B87E2E" w:rsidRDefault="00B87E2E">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B87E2E" w:rsidRDefault="00B87E2E">
            <w:pPr>
              <w:rPr>
                <w:rFonts w:ascii="宋体" w:hAnsi="宋体" w:cs="宋体"/>
                <w:b/>
                <w:color w:val="000000"/>
                <w:szCs w:val="21"/>
              </w:rPr>
            </w:pPr>
          </w:p>
        </w:tc>
      </w:tr>
    </w:tbl>
    <w:p w:rsidR="00B87E2E" w:rsidRDefault="005740CD">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B87E2E" w:rsidRDefault="005740CD">
      <w:pPr>
        <w:rPr>
          <w:rFonts w:ascii="宋体" w:hAnsi="宋体" w:cs="宋体"/>
          <w:b/>
          <w:bCs/>
          <w:szCs w:val="21"/>
        </w:rPr>
      </w:pPr>
      <w:r>
        <w:rPr>
          <w:rFonts w:ascii="宋体" w:hAnsi="宋体" w:cs="宋体" w:hint="eastAsia"/>
          <w:b/>
          <w:bCs/>
          <w:szCs w:val="21"/>
        </w:rPr>
        <w:t>公开04表</w:t>
      </w:r>
    </w:p>
    <w:p w:rsidR="00B87E2E" w:rsidRDefault="005740CD">
      <w:pPr>
        <w:rPr>
          <w:rFonts w:ascii="宋体" w:hAnsi="宋体" w:cs="宋体"/>
          <w:b/>
          <w:bCs/>
          <w:szCs w:val="21"/>
        </w:rPr>
      </w:pPr>
      <w:r>
        <w:rPr>
          <w:rFonts w:ascii="宋体" w:hAnsi="宋体" w:cs="宋体" w:hint="eastAsia"/>
          <w:b/>
          <w:bCs/>
          <w:szCs w:val="21"/>
        </w:rPr>
        <w:t>编制部门：</w:t>
      </w:r>
      <w:r w:rsidR="008A7821">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B87E2E">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B87E2E">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672652">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672652" w:rsidRDefault="00672652" w:rsidP="00A0353C">
            <w:pPr>
              <w:widowControl/>
              <w:jc w:val="center"/>
              <w:textAlignment w:val="center"/>
              <w:rPr>
                <w:rFonts w:ascii="宋体" w:hAnsi="宋体" w:cs="宋体"/>
                <w:color w:val="000000"/>
                <w:szCs w:val="21"/>
              </w:rPr>
            </w:pPr>
            <w:r>
              <w:rPr>
                <w:rFonts w:ascii="宋体" w:hAnsi="宋体" w:cs="宋体" w:hint="eastAsia"/>
                <w:color w:val="000000"/>
                <w:szCs w:val="21"/>
              </w:rPr>
              <w:t>250.93</w:t>
            </w:r>
          </w:p>
        </w:tc>
        <w:tc>
          <w:tcPr>
            <w:tcW w:w="1815"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251.59</w:t>
            </w:r>
          </w:p>
        </w:tc>
        <w:tc>
          <w:tcPr>
            <w:tcW w:w="1061" w:type="dxa"/>
            <w:tcBorders>
              <w:top w:val="single" w:sz="4" w:space="0" w:color="000000"/>
              <w:left w:val="single" w:sz="4" w:space="0" w:color="000000"/>
              <w:bottom w:val="single" w:sz="4" w:space="0" w:color="000000"/>
              <w:right w:val="single" w:sz="4" w:space="0" w:color="000000"/>
            </w:tcBorders>
            <w:vAlign w:val="center"/>
          </w:tcPr>
          <w:p w:rsidR="00672652" w:rsidRDefault="00672652" w:rsidP="00B50909">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251.59</w:t>
            </w:r>
          </w:p>
        </w:tc>
        <w:tc>
          <w:tcPr>
            <w:tcW w:w="1197"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kern w:val="0"/>
                <w:szCs w:val="21"/>
              </w:rPr>
            </w:pPr>
          </w:p>
        </w:tc>
      </w:tr>
      <w:tr w:rsidR="00672652">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672652" w:rsidRDefault="00672652" w:rsidP="00A0353C">
            <w:pPr>
              <w:jc w:val="center"/>
              <w:rPr>
                <w:rFonts w:ascii="宋体" w:hAnsi="宋体" w:cs="宋体"/>
                <w:b/>
                <w:color w:val="000000"/>
                <w:kern w:val="0"/>
                <w:szCs w:val="21"/>
              </w:rPr>
            </w:pPr>
            <w:r>
              <w:rPr>
                <w:rFonts w:ascii="宋体" w:hAnsi="宋体" w:cs="宋体" w:hint="eastAsia"/>
                <w:b/>
                <w:color w:val="000000"/>
                <w:kern w:val="0"/>
                <w:szCs w:val="21"/>
              </w:rPr>
              <w:t>2.67</w:t>
            </w:r>
          </w:p>
        </w:tc>
        <w:tc>
          <w:tcPr>
            <w:tcW w:w="1815"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672652" w:rsidRDefault="00672652">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2.01</w:t>
            </w:r>
          </w:p>
        </w:tc>
        <w:tc>
          <w:tcPr>
            <w:tcW w:w="1061" w:type="dxa"/>
            <w:tcBorders>
              <w:top w:val="single" w:sz="4" w:space="0" w:color="000000"/>
              <w:left w:val="single" w:sz="4" w:space="0" w:color="000000"/>
              <w:bottom w:val="single" w:sz="4" w:space="0" w:color="000000"/>
              <w:right w:val="single" w:sz="4" w:space="0" w:color="000000"/>
            </w:tcBorders>
            <w:vAlign w:val="center"/>
          </w:tcPr>
          <w:p w:rsidR="00672652" w:rsidRDefault="00672652" w:rsidP="00B50909">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2.01</w:t>
            </w:r>
          </w:p>
        </w:tc>
        <w:tc>
          <w:tcPr>
            <w:tcW w:w="1197" w:type="dxa"/>
            <w:tcBorders>
              <w:top w:val="single" w:sz="4" w:space="0" w:color="000000"/>
              <w:left w:val="single" w:sz="4" w:space="0" w:color="000000"/>
              <w:bottom w:val="single" w:sz="4" w:space="0" w:color="000000"/>
              <w:right w:val="single" w:sz="4" w:space="0" w:color="000000"/>
            </w:tcBorders>
            <w:vAlign w:val="center"/>
          </w:tcPr>
          <w:p w:rsidR="00672652" w:rsidRDefault="00672652">
            <w:pPr>
              <w:widowControl/>
              <w:jc w:val="center"/>
              <w:textAlignment w:val="center"/>
              <w:rPr>
                <w:rFonts w:ascii="宋体" w:hAnsi="宋体" w:cs="宋体"/>
                <w:b/>
                <w:color w:val="000000"/>
                <w:kern w:val="0"/>
                <w:szCs w:val="21"/>
              </w:rPr>
            </w:pPr>
          </w:p>
        </w:tc>
      </w:tr>
      <w:tr w:rsidR="00B87E2E">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kern w:val="0"/>
                <w:szCs w:val="21"/>
              </w:rPr>
            </w:pPr>
            <w:r>
              <w:rPr>
                <w:rFonts w:ascii="宋体" w:hAnsi="宋体" w:cs="宋体" w:hint="eastAsia"/>
                <w:color w:val="000000"/>
                <w:kern w:val="0"/>
                <w:szCs w:val="21"/>
              </w:rPr>
              <w:t>一、一般公共预</w:t>
            </w:r>
          </w:p>
          <w:p w:rsidR="00B87E2E" w:rsidRDefault="005740CD">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87E2E" w:rsidRDefault="00672652" w:rsidP="00A0353C">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2.67</w:t>
            </w:r>
          </w:p>
        </w:tc>
        <w:tc>
          <w:tcPr>
            <w:tcW w:w="1815" w:type="dxa"/>
            <w:tcBorders>
              <w:top w:val="single" w:sz="4" w:space="0" w:color="000000"/>
              <w:left w:val="single" w:sz="4" w:space="0" w:color="000000"/>
              <w:bottom w:val="single" w:sz="4" w:space="0" w:color="000000"/>
              <w:right w:val="single" w:sz="4" w:space="0" w:color="000000"/>
            </w:tcBorders>
            <w:vAlign w:val="center"/>
          </w:tcPr>
          <w:p w:rsidR="00B87E2E" w:rsidRDefault="00B87E2E" w:rsidP="00672652">
            <w:pPr>
              <w:widowControl/>
              <w:jc w:val="right"/>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r>
      <w:tr w:rsidR="00B87E2E">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textAlignment w:val="center"/>
              <w:rPr>
                <w:rFonts w:ascii="宋体" w:hAnsi="宋体" w:cs="宋体"/>
                <w:color w:val="000000"/>
                <w:kern w:val="0"/>
                <w:szCs w:val="21"/>
              </w:rPr>
            </w:pPr>
            <w:r>
              <w:rPr>
                <w:rFonts w:ascii="宋体" w:hAnsi="宋体" w:cs="宋体" w:hint="eastAsia"/>
                <w:color w:val="000000"/>
                <w:kern w:val="0"/>
                <w:szCs w:val="21"/>
              </w:rPr>
              <w:t>二、政府性基金预</w:t>
            </w:r>
          </w:p>
          <w:p w:rsidR="00B87E2E" w:rsidRDefault="005740CD">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B87E2E" w:rsidRDefault="00B87E2E" w:rsidP="00A0353C">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r>
      <w:tr w:rsidR="00B87E2E">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B87E2E" w:rsidRDefault="008A7821" w:rsidP="00A0353C">
            <w:pPr>
              <w:jc w:val="center"/>
              <w:rPr>
                <w:rFonts w:ascii="宋体" w:hAnsi="宋体" w:cs="宋体"/>
                <w:b/>
                <w:color w:val="000000"/>
                <w:kern w:val="0"/>
                <w:szCs w:val="21"/>
              </w:rPr>
            </w:pPr>
            <w:r>
              <w:rPr>
                <w:rFonts w:ascii="宋体" w:hAnsi="宋体" w:cs="宋体" w:hint="eastAsia"/>
                <w:b/>
                <w:color w:val="000000"/>
                <w:kern w:val="0"/>
                <w:szCs w:val="21"/>
              </w:rPr>
              <w:t>253.60</w:t>
            </w:r>
          </w:p>
        </w:tc>
        <w:tc>
          <w:tcPr>
            <w:tcW w:w="181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B87E2E" w:rsidRDefault="008A7821">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253.60</w:t>
            </w:r>
          </w:p>
        </w:tc>
        <w:tc>
          <w:tcPr>
            <w:tcW w:w="1061" w:type="dxa"/>
            <w:tcBorders>
              <w:top w:val="single" w:sz="4" w:space="0" w:color="000000"/>
              <w:left w:val="single" w:sz="4" w:space="0" w:color="000000"/>
              <w:bottom w:val="single" w:sz="4" w:space="0" w:color="000000"/>
              <w:right w:val="single" w:sz="4" w:space="0" w:color="000000"/>
            </w:tcBorders>
            <w:vAlign w:val="center"/>
          </w:tcPr>
          <w:p w:rsidR="00B87E2E" w:rsidRDefault="00672652">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253.60</w:t>
            </w:r>
          </w:p>
        </w:tc>
        <w:tc>
          <w:tcPr>
            <w:tcW w:w="1197" w:type="dxa"/>
            <w:tcBorders>
              <w:top w:val="single" w:sz="4" w:space="0" w:color="000000"/>
              <w:left w:val="single" w:sz="4" w:space="0" w:color="000000"/>
              <w:bottom w:val="single" w:sz="4" w:space="0" w:color="000000"/>
              <w:right w:val="single" w:sz="4" w:space="0" w:color="000000"/>
            </w:tcBorders>
            <w:vAlign w:val="center"/>
          </w:tcPr>
          <w:p w:rsidR="00B87E2E" w:rsidRDefault="00B87E2E">
            <w:pPr>
              <w:widowControl/>
              <w:jc w:val="center"/>
              <w:textAlignment w:val="center"/>
              <w:rPr>
                <w:rFonts w:ascii="宋体" w:hAnsi="宋体" w:cs="宋体"/>
                <w:b/>
                <w:color w:val="000000"/>
                <w:kern w:val="0"/>
                <w:szCs w:val="21"/>
              </w:rPr>
            </w:pPr>
          </w:p>
        </w:tc>
      </w:tr>
    </w:tbl>
    <w:p w:rsidR="00B87E2E" w:rsidRDefault="00B87E2E">
      <w:pPr>
        <w:rPr>
          <w:rFonts w:ascii="宋体" w:hAnsi="宋体" w:cs="宋体"/>
          <w:szCs w:val="21"/>
        </w:rPr>
      </w:pPr>
    </w:p>
    <w:p w:rsidR="00B87E2E" w:rsidRDefault="005740CD">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B87E2E" w:rsidRDefault="00B87E2E">
      <w:pPr>
        <w:rPr>
          <w:rFonts w:ascii="仿宋_GB2312" w:eastAsia="仿宋_GB2312" w:hAnsi="仿宋_GB2312" w:cs="仿宋_GB2312"/>
          <w:sz w:val="32"/>
          <w:szCs w:val="32"/>
        </w:rPr>
      </w:pPr>
    </w:p>
    <w:p w:rsidR="00B87E2E" w:rsidRDefault="00B87E2E"/>
    <w:p w:rsidR="00B87E2E" w:rsidRDefault="00B87E2E">
      <w:pPr>
        <w:rPr>
          <w:rFonts w:ascii="仿宋_GB2312" w:eastAsia="仿宋_GB2312" w:hAnsi="仿宋_GB2312" w:cs="仿宋_GB2312"/>
          <w:sz w:val="32"/>
          <w:szCs w:val="32"/>
        </w:rPr>
      </w:pPr>
    </w:p>
    <w:p w:rsidR="00B87E2E" w:rsidRDefault="00B87E2E">
      <w:pPr>
        <w:rPr>
          <w:rFonts w:ascii="仿宋_GB2312" w:eastAsia="仿宋_GB2312" w:hAnsi="仿宋_GB2312" w:cs="仿宋_GB2312"/>
          <w:sz w:val="32"/>
          <w:szCs w:val="32"/>
        </w:rPr>
      </w:pPr>
    </w:p>
    <w:p w:rsidR="00B87E2E" w:rsidRDefault="00B87E2E">
      <w:pPr>
        <w:rPr>
          <w:rFonts w:ascii="仿宋_GB2312" w:eastAsia="仿宋_GB2312" w:hAnsi="仿宋_GB2312" w:cs="仿宋_GB2312"/>
          <w:sz w:val="32"/>
          <w:szCs w:val="32"/>
        </w:rPr>
      </w:pPr>
    </w:p>
    <w:p w:rsidR="00B87E2E" w:rsidRDefault="00B87E2E">
      <w:pPr>
        <w:rPr>
          <w:rFonts w:ascii="仿宋_GB2312" w:eastAsia="仿宋_GB2312" w:hAnsi="仿宋_GB2312" w:cs="仿宋_GB2312"/>
          <w:sz w:val="32"/>
          <w:szCs w:val="32"/>
        </w:rPr>
      </w:pPr>
    </w:p>
    <w:p w:rsidR="00B87E2E" w:rsidRDefault="00B87E2E">
      <w:pPr>
        <w:rPr>
          <w:rFonts w:ascii="仿宋_GB2312" w:eastAsia="仿宋_GB2312" w:hAnsi="仿宋_GB2312" w:cs="仿宋_GB2312"/>
          <w:sz w:val="32"/>
          <w:szCs w:val="32"/>
        </w:rPr>
      </w:pPr>
    </w:p>
    <w:p w:rsidR="00B87E2E" w:rsidRDefault="005740CD">
      <w:pPr>
        <w:rPr>
          <w:rFonts w:ascii="宋体" w:hAnsi="宋体" w:cs="宋体"/>
          <w:b/>
          <w:bCs/>
          <w:sz w:val="32"/>
          <w:szCs w:val="32"/>
        </w:rPr>
      </w:pPr>
      <w:r>
        <w:rPr>
          <w:rFonts w:ascii="宋体" w:hAnsi="宋体" w:cs="宋体" w:hint="eastAsia"/>
          <w:b/>
          <w:bCs/>
          <w:sz w:val="32"/>
          <w:szCs w:val="32"/>
        </w:rPr>
        <w:br w:type="page"/>
      </w:r>
    </w:p>
    <w:p w:rsidR="00B87E2E" w:rsidRDefault="005740CD">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B87E2E" w:rsidRDefault="005740CD">
      <w:pPr>
        <w:rPr>
          <w:rFonts w:ascii="宋体" w:hAnsi="宋体" w:cs="宋体"/>
          <w:b/>
          <w:bCs/>
          <w:szCs w:val="21"/>
        </w:rPr>
      </w:pPr>
      <w:r>
        <w:rPr>
          <w:rFonts w:ascii="宋体" w:hAnsi="宋体" w:cs="宋体" w:hint="eastAsia"/>
          <w:b/>
          <w:bCs/>
          <w:szCs w:val="21"/>
        </w:rPr>
        <w:t>公开05表</w:t>
      </w:r>
    </w:p>
    <w:p w:rsidR="00B87E2E" w:rsidRDefault="005740CD">
      <w:pPr>
        <w:rPr>
          <w:rFonts w:ascii="宋体" w:hAnsi="宋体" w:cs="宋体"/>
          <w:b/>
          <w:bCs/>
          <w:szCs w:val="21"/>
        </w:rPr>
      </w:pPr>
      <w:r>
        <w:rPr>
          <w:rFonts w:ascii="宋体" w:hAnsi="宋体" w:cs="宋体" w:hint="eastAsia"/>
          <w:b/>
          <w:bCs/>
          <w:szCs w:val="21"/>
        </w:rPr>
        <w:t xml:space="preserve">编制部门： </w:t>
      </w:r>
      <w:r w:rsidR="008A7821">
        <w:rPr>
          <w:rFonts w:ascii="宋体" w:hAnsi="宋体" w:cs="宋体" w:hint="eastAsia"/>
          <w:b/>
          <w:bCs/>
          <w:szCs w:val="21"/>
        </w:rPr>
        <w:t xml:space="preserve"> 杨陵区财务管理服务中心</w:t>
      </w:r>
      <w:r>
        <w:rPr>
          <w:rFonts w:ascii="宋体" w:hAnsi="宋体" w:cs="宋体" w:hint="eastAsia"/>
          <w:b/>
          <w:bCs/>
          <w:szCs w:val="21"/>
        </w:rPr>
        <w:t xml:space="preserve">                      </w:t>
      </w:r>
      <w:r w:rsidR="008A7821">
        <w:rPr>
          <w:rFonts w:ascii="宋体" w:hAnsi="宋体" w:cs="宋体" w:hint="eastAsia"/>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4A0"/>
      </w:tblPr>
      <w:tblGrid>
        <w:gridCol w:w="1008"/>
        <w:gridCol w:w="1699"/>
        <w:gridCol w:w="1006"/>
        <w:gridCol w:w="1020"/>
        <w:gridCol w:w="935"/>
        <w:gridCol w:w="1039"/>
        <w:gridCol w:w="1020"/>
        <w:gridCol w:w="1050"/>
      </w:tblGrid>
      <w:tr w:rsidR="00B87E2E">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B87E2E" w:rsidTr="00757EC9">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rsidTr="005152F3">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4259D8" w:rsidP="005152F3">
            <w:pPr>
              <w:jc w:val="center"/>
              <w:rPr>
                <w:rFonts w:ascii="宋体" w:hAnsi="宋体" w:cs="宋体"/>
                <w:color w:val="000000"/>
                <w:szCs w:val="21"/>
              </w:rPr>
            </w:pPr>
            <w:r>
              <w:rPr>
                <w:rFonts w:ascii="宋体" w:hAnsi="宋体" w:cs="宋体" w:hint="eastAsia"/>
                <w:color w:val="000000"/>
                <w:szCs w:val="21"/>
              </w:rPr>
              <w:t>251.59</w:t>
            </w: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239.42</w:t>
            </w: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234.68</w:t>
            </w: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4.73</w:t>
            </w: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12.17</w:t>
            </w: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211AE5" w:rsidTr="005152F3">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211AE5" w:rsidRDefault="00211AE5">
            <w:pPr>
              <w:widowControl/>
              <w:jc w:val="left"/>
              <w:textAlignment w:val="center"/>
              <w:rPr>
                <w:rFonts w:ascii="宋体" w:hAnsi="宋体" w:cs="宋体"/>
                <w:color w:val="000000"/>
                <w:szCs w:val="21"/>
              </w:rPr>
            </w:pPr>
            <w:r>
              <w:rPr>
                <w:rFonts w:ascii="宋体" w:hAnsi="宋体" w:cs="宋体" w:hint="eastAsia"/>
                <w:color w:val="000000"/>
                <w:kern w:val="0"/>
                <w:szCs w:val="21"/>
              </w:rPr>
              <w:t>201</w:t>
            </w:r>
          </w:p>
        </w:tc>
        <w:tc>
          <w:tcPr>
            <w:tcW w:w="1699" w:type="dxa"/>
            <w:tcBorders>
              <w:top w:val="single" w:sz="4" w:space="0" w:color="000000"/>
              <w:left w:val="single" w:sz="4" w:space="0" w:color="000000"/>
              <w:bottom w:val="single" w:sz="4" w:space="0" w:color="000000"/>
              <w:right w:val="single" w:sz="4" w:space="0" w:color="000000"/>
            </w:tcBorders>
            <w:vAlign w:val="center"/>
          </w:tcPr>
          <w:p w:rsidR="00211AE5" w:rsidRDefault="00211AE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一般公共服务</w:t>
            </w:r>
          </w:p>
          <w:p w:rsidR="00211AE5" w:rsidRDefault="00211AE5">
            <w:pPr>
              <w:widowControl/>
              <w:jc w:val="center"/>
              <w:textAlignment w:val="center"/>
              <w:rPr>
                <w:rFonts w:ascii="宋体" w:hAnsi="宋体" w:cs="宋体"/>
                <w:color w:val="000000"/>
                <w:szCs w:val="21"/>
              </w:rPr>
            </w:pPr>
            <w:r>
              <w:rPr>
                <w:rFonts w:ascii="宋体" w:hAnsi="宋体" w:cs="宋体" w:hint="eastAsia"/>
                <w:color w:val="000000"/>
                <w:kern w:val="0"/>
                <w:szCs w:val="21"/>
              </w:rPr>
              <w:t>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251.59</w:t>
            </w:r>
          </w:p>
        </w:tc>
        <w:tc>
          <w:tcPr>
            <w:tcW w:w="1020"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239.42</w:t>
            </w:r>
          </w:p>
        </w:tc>
        <w:tc>
          <w:tcPr>
            <w:tcW w:w="935"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234.68</w:t>
            </w:r>
          </w:p>
        </w:tc>
        <w:tc>
          <w:tcPr>
            <w:tcW w:w="1039"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4.73</w:t>
            </w:r>
          </w:p>
        </w:tc>
        <w:tc>
          <w:tcPr>
            <w:tcW w:w="1020"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12.17</w:t>
            </w:r>
          </w:p>
        </w:tc>
        <w:tc>
          <w:tcPr>
            <w:tcW w:w="1050" w:type="dxa"/>
            <w:tcBorders>
              <w:top w:val="single" w:sz="4" w:space="0" w:color="000000"/>
              <w:left w:val="single" w:sz="4" w:space="0" w:color="000000"/>
              <w:bottom w:val="single" w:sz="4" w:space="0" w:color="000000"/>
              <w:right w:val="single" w:sz="4" w:space="0" w:color="000000"/>
            </w:tcBorders>
            <w:vAlign w:val="center"/>
          </w:tcPr>
          <w:p w:rsidR="00211AE5" w:rsidRDefault="00211AE5">
            <w:pPr>
              <w:jc w:val="right"/>
              <w:rPr>
                <w:rFonts w:ascii="宋体" w:hAnsi="宋体" w:cs="宋体"/>
                <w:color w:val="000000"/>
                <w:szCs w:val="21"/>
              </w:rPr>
            </w:pPr>
          </w:p>
        </w:tc>
      </w:tr>
      <w:tr w:rsidR="00211AE5" w:rsidTr="005152F3">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211AE5" w:rsidRDefault="00211AE5" w:rsidP="00757EC9">
            <w:pPr>
              <w:widowControl/>
              <w:jc w:val="left"/>
              <w:textAlignment w:val="center"/>
              <w:rPr>
                <w:rFonts w:ascii="宋体" w:hAnsi="宋体" w:cs="宋体"/>
                <w:color w:val="000000"/>
                <w:szCs w:val="21"/>
              </w:rPr>
            </w:pPr>
            <w:r>
              <w:rPr>
                <w:rFonts w:ascii="宋体" w:hAnsi="宋体" w:cs="宋体" w:hint="eastAsia"/>
                <w:color w:val="000000"/>
                <w:kern w:val="0"/>
                <w:szCs w:val="21"/>
              </w:rPr>
              <w:t>20103</w:t>
            </w:r>
          </w:p>
        </w:tc>
        <w:tc>
          <w:tcPr>
            <w:tcW w:w="1699" w:type="dxa"/>
            <w:tcBorders>
              <w:top w:val="single" w:sz="4" w:space="0" w:color="000000"/>
              <w:left w:val="single" w:sz="4" w:space="0" w:color="000000"/>
              <w:bottom w:val="single" w:sz="4" w:space="0" w:color="000000"/>
              <w:right w:val="single" w:sz="4" w:space="0" w:color="000000"/>
            </w:tcBorders>
            <w:vAlign w:val="center"/>
          </w:tcPr>
          <w:p w:rsidR="00211AE5" w:rsidRDefault="00211AE5">
            <w:pPr>
              <w:widowControl/>
              <w:jc w:val="center"/>
              <w:textAlignment w:val="center"/>
              <w:rPr>
                <w:rFonts w:ascii="宋体" w:hAnsi="宋体" w:cs="宋体"/>
                <w:color w:val="000000"/>
                <w:szCs w:val="21"/>
              </w:rPr>
            </w:pPr>
            <w:r>
              <w:rPr>
                <w:rFonts w:ascii="宋体" w:hAnsi="宋体" w:cs="宋体" w:hint="eastAsia"/>
                <w:color w:val="000000"/>
                <w:szCs w:val="21"/>
              </w:rPr>
              <w:t>政府办公厅（室）及相关机构事务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251.59</w:t>
            </w:r>
          </w:p>
        </w:tc>
        <w:tc>
          <w:tcPr>
            <w:tcW w:w="1020"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239.42</w:t>
            </w:r>
          </w:p>
        </w:tc>
        <w:tc>
          <w:tcPr>
            <w:tcW w:w="935"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234.68</w:t>
            </w:r>
          </w:p>
        </w:tc>
        <w:tc>
          <w:tcPr>
            <w:tcW w:w="1039"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4.73</w:t>
            </w:r>
          </w:p>
        </w:tc>
        <w:tc>
          <w:tcPr>
            <w:tcW w:w="1020" w:type="dxa"/>
            <w:tcBorders>
              <w:top w:val="single" w:sz="4" w:space="0" w:color="000000"/>
              <w:left w:val="single" w:sz="4" w:space="0" w:color="000000"/>
              <w:bottom w:val="single" w:sz="4" w:space="0" w:color="000000"/>
              <w:right w:val="single" w:sz="4" w:space="0" w:color="000000"/>
            </w:tcBorders>
            <w:vAlign w:val="center"/>
          </w:tcPr>
          <w:p w:rsidR="00211AE5" w:rsidRDefault="00211AE5" w:rsidP="005152F3">
            <w:pPr>
              <w:jc w:val="center"/>
              <w:rPr>
                <w:rFonts w:ascii="宋体" w:hAnsi="宋体" w:cs="宋体"/>
                <w:color w:val="000000"/>
                <w:szCs w:val="21"/>
              </w:rPr>
            </w:pPr>
            <w:r>
              <w:rPr>
                <w:rFonts w:ascii="宋体" w:hAnsi="宋体" w:cs="宋体" w:hint="eastAsia"/>
                <w:color w:val="000000"/>
                <w:szCs w:val="21"/>
              </w:rPr>
              <w:t>12.17</w:t>
            </w:r>
          </w:p>
        </w:tc>
        <w:tc>
          <w:tcPr>
            <w:tcW w:w="1050" w:type="dxa"/>
            <w:tcBorders>
              <w:top w:val="single" w:sz="4" w:space="0" w:color="000000"/>
              <w:left w:val="single" w:sz="4" w:space="0" w:color="000000"/>
              <w:bottom w:val="single" w:sz="4" w:space="0" w:color="000000"/>
              <w:right w:val="single" w:sz="4" w:space="0" w:color="000000"/>
            </w:tcBorders>
            <w:vAlign w:val="center"/>
          </w:tcPr>
          <w:p w:rsidR="00211AE5" w:rsidRDefault="00211AE5">
            <w:pPr>
              <w:jc w:val="right"/>
              <w:rPr>
                <w:rFonts w:ascii="宋体" w:hAnsi="宋体" w:cs="宋体"/>
                <w:color w:val="000000"/>
                <w:szCs w:val="21"/>
              </w:rPr>
            </w:pPr>
          </w:p>
        </w:tc>
      </w:tr>
      <w:tr w:rsidR="00B87E2E" w:rsidTr="005152F3">
        <w:trPr>
          <w:trHeight w:val="781"/>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5740CD" w:rsidP="00757EC9">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sidR="00757EC9">
              <w:rPr>
                <w:rFonts w:ascii="宋体" w:hAnsi="宋体" w:cs="宋体" w:hint="eastAsia"/>
                <w:color w:val="000000"/>
                <w:kern w:val="0"/>
                <w:szCs w:val="21"/>
              </w:rPr>
              <w:t>2010350</w:t>
            </w: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757EC9" w:rsidP="00757EC9">
            <w:pPr>
              <w:widowControl/>
              <w:textAlignment w:val="center"/>
              <w:rPr>
                <w:rFonts w:ascii="宋体" w:hAnsi="宋体" w:cs="宋体"/>
                <w:color w:val="000000"/>
                <w:szCs w:val="21"/>
              </w:rPr>
            </w:pPr>
            <w:r>
              <w:rPr>
                <w:rFonts w:ascii="宋体" w:hAnsi="宋体" w:cs="宋体" w:hint="eastAsia"/>
                <w:color w:val="000000"/>
                <w:kern w:val="0"/>
                <w:szCs w:val="21"/>
              </w:rPr>
              <w:t>事业</w:t>
            </w:r>
            <w:r w:rsidR="005740CD">
              <w:rPr>
                <w:rFonts w:ascii="宋体" w:hAnsi="宋体" w:cs="宋体" w:hint="eastAsia"/>
                <w:color w:val="000000"/>
                <w:kern w:val="0"/>
                <w:szCs w:val="21"/>
              </w:rPr>
              <w:t>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239.42</w:t>
            </w: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239.42</w:t>
            </w: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234.68</w:t>
            </w: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4.73</w:t>
            </w: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152F3">
            <w:pPr>
              <w:jc w:val="center"/>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5152F3">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757EC9">
            <w:pPr>
              <w:widowControl/>
              <w:jc w:val="left"/>
              <w:textAlignment w:val="center"/>
              <w:rPr>
                <w:rFonts w:ascii="宋体" w:hAnsi="宋体" w:cs="宋体"/>
                <w:color w:val="000000"/>
                <w:szCs w:val="21"/>
              </w:rPr>
            </w:pPr>
            <w:r>
              <w:rPr>
                <w:rFonts w:ascii="宋体" w:hAnsi="宋体" w:cs="宋体" w:hint="eastAsia"/>
                <w:color w:val="000000"/>
                <w:kern w:val="0"/>
                <w:szCs w:val="21"/>
              </w:rPr>
              <w:t>2010399</w:t>
            </w: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757EC9">
            <w:pPr>
              <w:jc w:val="left"/>
              <w:rPr>
                <w:rFonts w:ascii="宋体" w:hAnsi="宋体" w:cs="宋体"/>
                <w:color w:val="000000"/>
                <w:szCs w:val="21"/>
              </w:rPr>
            </w:pPr>
            <w:r>
              <w:rPr>
                <w:rFonts w:ascii="宋体" w:hAnsi="宋体" w:cs="宋体" w:hint="eastAsia"/>
                <w:color w:val="000000"/>
                <w:szCs w:val="21"/>
              </w:rPr>
              <w:t>其他办公厅（室）及相关机构事务支出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12.17</w:t>
            </w: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152F3">
            <w:pPr>
              <w:jc w:val="center"/>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152F3">
            <w:pPr>
              <w:jc w:val="center"/>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rsidP="005152F3">
            <w:pPr>
              <w:jc w:val="center"/>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211AE5" w:rsidP="005152F3">
            <w:pPr>
              <w:jc w:val="center"/>
              <w:rPr>
                <w:rFonts w:ascii="宋体" w:hAnsi="宋体" w:cs="宋体"/>
                <w:color w:val="000000"/>
                <w:szCs w:val="21"/>
              </w:rPr>
            </w:pPr>
            <w:r>
              <w:rPr>
                <w:rFonts w:ascii="宋体" w:hAnsi="宋体" w:cs="宋体" w:hint="eastAsia"/>
                <w:color w:val="000000"/>
                <w:szCs w:val="21"/>
              </w:rPr>
              <w:t>12.17</w:t>
            </w: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rsidTr="00757EC9">
        <w:trPr>
          <w:trHeight w:val="414"/>
        </w:trPr>
        <w:tc>
          <w:tcPr>
            <w:tcW w:w="100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bl>
    <w:p w:rsidR="00B87E2E" w:rsidRDefault="005740CD">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B87E2E" w:rsidRDefault="005740CD" w:rsidP="008A7821">
      <w:pP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一般公共预算财政拨款基本支出决算表（按经济分类科目）</w:t>
      </w:r>
    </w:p>
    <w:p w:rsidR="00B87E2E" w:rsidRDefault="005740CD">
      <w:pPr>
        <w:rPr>
          <w:rFonts w:ascii="宋体" w:hAnsi="宋体" w:cs="宋体"/>
          <w:b/>
          <w:bCs/>
          <w:szCs w:val="21"/>
        </w:rPr>
      </w:pPr>
      <w:r>
        <w:rPr>
          <w:rFonts w:ascii="宋体" w:hAnsi="宋体" w:cs="宋体" w:hint="eastAsia"/>
          <w:b/>
          <w:bCs/>
          <w:szCs w:val="21"/>
        </w:rPr>
        <w:t>公开06表</w:t>
      </w:r>
    </w:p>
    <w:p w:rsidR="00B87E2E" w:rsidRDefault="005740CD">
      <w:pPr>
        <w:rPr>
          <w:rFonts w:ascii="宋体" w:hAnsi="宋体" w:cs="宋体"/>
          <w:b/>
          <w:bCs/>
          <w:szCs w:val="21"/>
        </w:rPr>
      </w:pPr>
      <w:r>
        <w:rPr>
          <w:rFonts w:ascii="宋体" w:hAnsi="宋体" w:cs="宋体" w:hint="eastAsia"/>
          <w:b/>
          <w:bCs/>
          <w:szCs w:val="21"/>
        </w:rPr>
        <w:t xml:space="preserve">编制部门：  </w:t>
      </w:r>
      <w:r w:rsidR="008A7821">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B87E2E">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B87E2E" w:rsidTr="000C6E33">
        <w:trPr>
          <w:trHeight w:val="652"/>
        </w:trPr>
        <w:tc>
          <w:tcPr>
            <w:tcW w:w="1157"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B87E2E" w:rsidRDefault="00745A14" w:rsidP="000C6E33">
            <w:pPr>
              <w:jc w:val="center"/>
              <w:rPr>
                <w:rFonts w:ascii="宋体" w:hAnsi="宋体" w:cs="宋体"/>
                <w:b/>
                <w:color w:val="000000"/>
                <w:szCs w:val="21"/>
              </w:rPr>
            </w:pPr>
            <w:r>
              <w:rPr>
                <w:rFonts w:ascii="宋体" w:hAnsi="宋体" w:cs="宋体" w:hint="eastAsia"/>
                <w:b/>
                <w:color w:val="000000"/>
                <w:szCs w:val="21"/>
              </w:rPr>
              <w:t>239.42</w:t>
            </w:r>
          </w:p>
        </w:tc>
        <w:tc>
          <w:tcPr>
            <w:tcW w:w="1437" w:type="dxa"/>
            <w:tcBorders>
              <w:left w:val="single" w:sz="4" w:space="0" w:color="000000"/>
              <w:bottom w:val="single" w:sz="4" w:space="0" w:color="000000"/>
              <w:right w:val="single" w:sz="4" w:space="0" w:color="000000"/>
            </w:tcBorders>
            <w:vAlign w:val="center"/>
          </w:tcPr>
          <w:p w:rsidR="00B87E2E" w:rsidRPr="00745A14" w:rsidRDefault="005F38A8" w:rsidP="00745A14">
            <w:pPr>
              <w:jc w:val="center"/>
              <w:rPr>
                <w:rFonts w:ascii="宋体" w:hAnsi="宋体" w:cs="宋体"/>
                <w:b/>
                <w:color w:val="000000"/>
                <w:szCs w:val="21"/>
              </w:rPr>
            </w:pPr>
            <w:r>
              <w:rPr>
                <w:rFonts w:ascii="宋体" w:hAnsi="宋体" w:cs="宋体" w:hint="eastAsia"/>
                <w:b/>
                <w:color w:val="000000"/>
                <w:szCs w:val="21"/>
              </w:rPr>
              <w:t>234.68</w:t>
            </w:r>
          </w:p>
        </w:tc>
        <w:tc>
          <w:tcPr>
            <w:tcW w:w="1363" w:type="dxa"/>
            <w:tcBorders>
              <w:left w:val="single" w:sz="4" w:space="0" w:color="000000"/>
              <w:bottom w:val="single" w:sz="4" w:space="0" w:color="000000"/>
              <w:right w:val="single" w:sz="4" w:space="0" w:color="000000"/>
            </w:tcBorders>
            <w:vAlign w:val="center"/>
          </w:tcPr>
          <w:p w:rsidR="00B87E2E" w:rsidRPr="00745A14" w:rsidRDefault="005F38A8" w:rsidP="00745A14">
            <w:pPr>
              <w:jc w:val="center"/>
              <w:rPr>
                <w:rFonts w:ascii="宋体" w:hAnsi="宋体" w:cs="宋体"/>
                <w:b/>
                <w:color w:val="000000"/>
                <w:szCs w:val="21"/>
              </w:rPr>
            </w:pPr>
            <w:r>
              <w:rPr>
                <w:rFonts w:ascii="宋体" w:hAnsi="宋体" w:cs="宋体" w:hint="eastAsia"/>
                <w:color w:val="000000"/>
                <w:szCs w:val="21"/>
              </w:rPr>
              <w:t>4.73</w:t>
            </w:r>
          </w:p>
        </w:tc>
        <w:tc>
          <w:tcPr>
            <w:tcW w:w="1155" w:type="dxa"/>
            <w:tcBorders>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F38A8">
            <w:pPr>
              <w:jc w:val="center"/>
              <w:rPr>
                <w:rFonts w:ascii="宋体" w:hAnsi="宋体" w:cs="宋体"/>
                <w:color w:val="000000"/>
                <w:szCs w:val="21"/>
              </w:rPr>
            </w:pPr>
            <w:r>
              <w:rPr>
                <w:rFonts w:ascii="宋体" w:hAnsi="宋体" w:cs="宋体" w:hint="eastAsia"/>
                <w:color w:val="000000"/>
                <w:szCs w:val="21"/>
              </w:rPr>
              <w:t>22</w:t>
            </w:r>
            <w:r w:rsidR="005F38A8">
              <w:rPr>
                <w:rFonts w:ascii="宋体" w:hAnsi="宋体" w:cs="宋体" w:hint="eastAsia"/>
                <w:color w:val="000000"/>
                <w:szCs w:val="21"/>
              </w:rPr>
              <w:t>9.51</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F38A8">
            <w:pPr>
              <w:jc w:val="center"/>
              <w:rPr>
                <w:rFonts w:ascii="宋体" w:hAnsi="宋体" w:cs="宋体"/>
                <w:color w:val="000000"/>
                <w:szCs w:val="21"/>
              </w:rPr>
            </w:pPr>
            <w:r>
              <w:rPr>
                <w:rFonts w:ascii="宋体" w:hAnsi="宋体" w:cs="宋体" w:hint="eastAsia"/>
                <w:color w:val="000000"/>
                <w:szCs w:val="21"/>
              </w:rPr>
              <w:t>22</w:t>
            </w:r>
            <w:r w:rsidR="005F38A8">
              <w:rPr>
                <w:rFonts w:ascii="宋体" w:hAnsi="宋体" w:cs="宋体" w:hint="eastAsia"/>
                <w:color w:val="000000"/>
                <w:szCs w:val="21"/>
              </w:rPr>
              <w:t>9.51</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kern w:val="0"/>
                <w:szCs w:val="21"/>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70.13</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70.13</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kern w:val="0"/>
                <w:szCs w:val="21"/>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9.47</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9.47</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37.33</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37.33</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伙食补助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3.25</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5F38A8" w:rsidP="000C6E33">
            <w:pPr>
              <w:jc w:val="center"/>
              <w:rPr>
                <w:rFonts w:ascii="宋体" w:hAnsi="宋体" w:cs="宋体"/>
                <w:color w:val="000000"/>
                <w:szCs w:val="21"/>
              </w:rPr>
            </w:pPr>
            <w:r>
              <w:rPr>
                <w:rFonts w:ascii="宋体" w:hAnsi="宋体" w:cs="宋体" w:hint="eastAsia"/>
                <w:color w:val="000000"/>
                <w:szCs w:val="21"/>
              </w:rPr>
              <w:t>3.25</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62.93</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62.93</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21.83</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21.83</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24.57</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r>
              <w:rPr>
                <w:rFonts w:ascii="宋体" w:hAnsi="宋体" w:cs="宋体" w:hint="eastAsia"/>
                <w:color w:val="000000"/>
                <w:szCs w:val="21"/>
              </w:rPr>
              <w:t>24.57</w:t>
            </w: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4.73</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4.73</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kern w:val="0"/>
                <w:szCs w:val="21"/>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0.12</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0.12</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kern w:val="0"/>
                <w:szCs w:val="21"/>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0.45</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0.45</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jc w:val="center"/>
              <w:rPr>
                <w:rFonts w:ascii="宋体" w:hAnsi="宋体" w:cs="宋体"/>
                <w:color w:val="000000"/>
                <w:szCs w:val="21"/>
              </w:rPr>
            </w:pPr>
            <w:r>
              <w:rPr>
                <w:rFonts w:ascii="宋体" w:hAnsi="宋体" w:cs="宋体" w:hint="eastAsia"/>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2.39</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2.39</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szCs w:val="21"/>
              </w:rPr>
            </w:pPr>
            <w:r>
              <w:rPr>
                <w:rFonts w:ascii="宋体" w:hAnsi="宋体" w:cs="宋体" w:hint="eastAsia"/>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1.5</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1.5</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其他交通费</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0.04</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745A14">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B5090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left"/>
              <w:rPr>
                <w:rFonts w:ascii="宋体" w:hAnsi="宋体" w:cs="宋体"/>
                <w:color w:val="000000"/>
                <w:szCs w:val="21"/>
              </w:rPr>
            </w:pPr>
            <w:r>
              <w:rPr>
                <w:rFonts w:ascii="宋体" w:hAnsi="宋体" w:cs="宋体" w:hint="eastAsia"/>
                <w:color w:val="000000"/>
                <w:szCs w:val="21"/>
              </w:rPr>
              <w:t>其他商品服务支出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0.25</w:t>
            </w:r>
          </w:p>
        </w:tc>
        <w:tc>
          <w:tcPr>
            <w:tcW w:w="1437" w:type="dxa"/>
            <w:tcBorders>
              <w:top w:val="single" w:sz="4" w:space="0" w:color="000000"/>
              <w:left w:val="single" w:sz="4" w:space="0" w:color="000000"/>
              <w:bottom w:val="single" w:sz="4" w:space="0" w:color="000000"/>
              <w:right w:val="single" w:sz="4" w:space="0" w:color="000000"/>
            </w:tcBorders>
            <w:vAlign w:val="center"/>
          </w:tcPr>
          <w:p w:rsidR="00745A14" w:rsidRDefault="00745A1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745A14" w:rsidRDefault="00745A14" w:rsidP="0056483E">
            <w:pPr>
              <w:jc w:val="center"/>
              <w:rPr>
                <w:rFonts w:ascii="宋体" w:hAnsi="宋体" w:cs="宋体"/>
                <w:color w:val="000000"/>
                <w:szCs w:val="21"/>
              </w:rPr>
            </w:pPr>
            <w:r>
              <w:rPr>
                <w:rFonts w:ascii="宋体" w:hAnsi="宋体" w:cs="宋体" w:hint="eastAsia"/>
                <w:color w:val="000000"/>
                <w:szCs w:val="21"/>
              </w:rPr>
              <w:t>0.25</w:t>
            </w:r>
          </w:p>
        </w:tc>
        <w:tc>
          <w:tcPr>
            <w:tcW w:w="1155" w:type="dxa"/>
            <w:tcBorders>
              <w:top w:val="single" w:sz="4" w:space="0" w:color="000000"/>
              <w:left w:val="single" w:sz="4" w:space="0" w:color="000000"/>
              <w:bottom w:val="single" w:sz="4" w:space="0" w:color="000000"/>
              <w:right w:val="single" w:sz="4" w:space="0" w:color="000000"/>
            </w:tcBorders>
            <w:vAlign w:val="center"/>
          </w:tcPr>
          <w:p w:rsidR="00745A14" w:rsidRDefault="00745A14">
            <w:pPr>
              <w:jc w:val="right"/>
              <w:rPr>
                <w:rFonts w:ascii="宋体" w:hAnsi="宋体" w:cs="宋体"/>
                <w:color w:val="000000"/>
                <w:szCs w:val="21"/>
              </w:rPr>
            </w:pPr>
          </w:p>
        </w:tc>
      </w:tr>
      <w:tr w:rsidR="005F38A8">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F38A8" w:rsidRDefault="005F38A8">
            <w:pPr>
              <w:widowControl/>
              <w:jc w:val="left"/>
              <w:textAlignment w:val="center"/>
              <w:rPr>
                <w:rFonts w:ascii="宋体" w:hAnsi="宋体" w:cs="宋体"/>
                <w:color w:val="000000"/>
                <w:kern w:val="0"/>
                <w:szCs w:val="21"/>
              </w:rPr>
            </w:pPr>
            <w:r>
              <w:rPr>
                <w:rFonts w:ascii="宋体" w:hAnsi="宋体" w:cs="宋体" w:hint="eastAsia"/>
                <w:color w:val="000000"/>
                <w:kern w:val="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5F38A8" w:rsidRDefault="005F38A8">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5F38A8" w:rsidRDefault="005F38A8" w:rsidP="0056483E">
            <w:pPr>
              <w:jc w:val="center"/>
              <w:rPr>
                <w:rFonts w:ascii="宋体" w:hAnsi="宋体" w:cs="宋体"/>
                <w:color w:val="000000"/>
                <w:szCs w:val="21"/>
              </w:rPr>
            </w:pPr>
            <w:r>
              <w:rPr>
                <w:rFonts w:ascii="宋体" w:hAnsi="宋体" w:cs="宋体" w:hint="eastAsia"/>
                <w:color w:val="000000"/>
                <w:szCs w:val="21"/>
              </w:rPr>
              <w:t>5.17</w:t>
            </w:r>
          </w:p>
        </w:tc>
        <w:tc>
          <w:tcPr>
            <w:tcW w:w="1437" w:type="dxa"/>
            <w:tcBorders>
              <w:top w:val="single" w:sz="4" w:space="0" w:color="000000"/>
              <w:left w:val="single" w:sz="4" w:space="0" w:color="000000"/>
              <w:bottom w:val="single" w:sz="4" w:space="0" w:color="000000"/>
              <w:right w:val="single" w:sz="4" w:space="0" w:color="000000"/>
            </w:tcBorders>
            <w:vAlign w:val="center"/>
          </w:tcPr>
          <w:p w:rsidR="005F38A8" w:rsidRDefault="005F38A8" w:rsidP="0056483E">
            <w:pPr>
              <w:jc w:val="center"/>
              <w:rPr>
                <w:rFonts w:ascii="宋体" w:hAnsi="宋体" w:cs="宋体"/>
                <w:color w:val="000000"/>
                <w:szCs w:val="21"/>
              </w:rPr>
            </w:pPr>
            <w:r>
              <w:rPr>
                <w:rFonts w:ascii="宋体" w:hAnsi="宋体" w:cs="宋体" w:hint="eastAsia"/>
                <w:color w:val="000000"/>
                <w:szCs w:val="21"/>
              </w:rPr>
              <w:t>5.17</w:t>
            </w:r>
          </w:p>
        </w:tc>
        <w:tc>
          <w:tcPr>
            <w:tcW w:w="1363" w:type="dxa"/>
            <w:tcBorders>
              <w:top w:val="single" w:sz="4" w:space="0" w:color="000000"/>
              <w:left w:val="single" w:sz="4" w:space="0" w:color="000000"/>
              <w:bottom w:val="single" w:sz="4" w:space="0" w:color="000000"/>
              <w:right w:val="single" w:sz="4" w:space="0" w:color="000000"/>
            </w:tcBorders>
            <w:vAlign w:val="center"/>
          </w:tcPr>
          <w:p w:rsidR="005F38A8" w:rsidRDefault="005F38A8" w:rsidP="00745A14">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F38A8" w:rsidRDefault="005F38A8">
            <w:pPr>
              <w:jc w:val="right"/>
              <w:rPr>
                <w:rFonts w:ascii="宋体" w:hAnsi="宋体" w:cs="宋体"/>
                <w:color w:val="000000"/>
                <w:szCs w:val="21"/>
              </w:rPr>
            </w:pPr>
          </w:p>
        </w:tc>
      </w:tr>
      <w:tr w:rsidR="005F38A8">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5F38A8" w:rsidRDefault="005F38A8" w:rsidP="000C6E33">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5F38A8" w:rsidRDefault="005F38A8">
            <w:pPr>
              <w:jc w:val="left"/>
              <w:rPr>
                <w:rFonts w:ascii="宋体" w:hAnsi="宋体" w:cs="宋体"/>
                <w:color w:val="000000"/>
                <w:szCs w:val="21"/>
              </w:rPr>
            </w:pPr>
            <w:r>
              <w:rPr>
                <w:rFonts w:ascii="宋体" w:hAns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5F38A8" w:rsidRDefault="005F38A8" w:rsidP="0056483E">
            <w:pPr>
              <w:jc w:val="center"/>
              <w:rPr>
                <w:rFonts w:ascii="宋体" w:hAnsi="宋体" w:cs="宋体"/>
                <w:color w:val="000000"/>
                <w:szCs w:val="21"/>
              </w:rPr>
            </w:pPr>
            <w:r>
              <w:rPr>
                <w:rFonts w:ascii="宋体" w:hAnsi="宋体" w:cs="宋体" w:hint="eastAsia"/>
                <w:color w:val="000000"/>
                <w:szCs w:val="21"/>
              </w:rPr>
              <w:t>5.17</w:t>
            </w:r>
          </w:p>
        </w:tc>
        <w:tc>
          <w:tcPr>
            <w:tcW w:w="1437" w:type="dxa"/>
            <w:tcBorders>
              <w:top w:val="single" w:sz="4" w:space="0" w:color="000000"/>
              <w:left w:val="single" w:sz="4" w:space="0" w:color="000000"/>
              <w:bottom w:val="single" w:sz="4" w:space="0" w:color="000000"/>
              <w:right w:val="single" w:sz="4" w:space="0" w:color="000000"/>
            </w:tcBorders>
            <w:vAlign w:val="center"/>
          </w:tcPr>
          <w:p w:rsidR="005F38A8" w:rsidRDefault="005F38A8" w:rsidP="0056483E">
            <w:pPr>
              <w:jc w:val="center"/>
              <w:rPr>
                <w:rFonts w:ascii="宋体" w:hAnsi="宋体" w:cs="宋体"/>
                <w:color w:val="000000"/>
                <w:szCs w:val="21"/>
              </w:rPr>
            </w:pPr>
            <w:r>
              <w:rPr>
                <w:rFonts w:ascii="宋体" w:hAnsi="宋体" w:cs="宋体" w:hint="eastAsia"/>
                <w:color w:val="000000"/>
                <w:szCs w:val="21"/>
              </w:rPr>
              <w:t>5.17</w:t>
            </w:r>
          </w:p>
        </w:tc>
        <w:tc>
          <w:tcPr>
            <w:tcW w:w="1363" w:type="dxa"/>
            <w:tcBorders>
              <w:top w:val="single" w:sz="4" w:space="0" w:color="000000"/>
              <w:left w:val="single" w:sz="4" w:space="0" w:color="000000"/>
              <w:bottom w:val="single" w:sz="4" w:space="0" w:color="000000"/>
              <w:right w:val="single" w:sz="4" w:space="0" w:color="000000"/>
            </w:tcBorders>
            <w:vAlign w:val="center"/>
          </w:tcPr>
          <w:p w:rsidR="005F38A8" w:rsidRDefault="005F38A8" w:rsidP="00A32302">
            <w:pPr>
              <w:jc w:val="center"/>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F38A8" w:rsidRDefault="005F38A8">
            <w:pPr>
              <w:jc w:val="right"/>
              <w:rPr>
                <w:rFonts w:ascii="宋体" w:hAnsi="宋体" w:cs="宋体"/>
                <w:color w:val="000000"/>
                <w:szCs w:val="21"/>
              </w:rPr>
            </w:pPr>
          </w:p>
        </w:tc>
      </w:tr>
      <w:tr w:rsidR="003F7DC4">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3F7DC4" w:rsidRDefault="003F7DC4">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3F7DC4" w:rsidRDefault="003F7DC4">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3F7DC4" w:rsidRDefault="003F7DC4" w:rsidP="000C6E33">
            <w:pPr>
              <w:jc w:val="center"/>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3F7DC4" w:rsidRDefault="003F7DC4" w:rsidP="000C6E33">
            <w:pPr>
              <w:jc w:val="center"/>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3F7DC4" w:rsidRDefault="003F7DC4">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3F7DC4" w:rsidRDefault="003F7DC4">
            <w:pPr>
              <w:jc w:val="right"/>
              <w:rPr>
                <w:rFonts w:ascii="宋体" w:hAnsi="宋体" w:cs="宋体"/>
                <w:color w:val="000000"/>
                <w:szCs w:val="21"/>
              </w:rPr>
            </w:pPr>
          </w:p>
        </w:tc>
      </w:tr>
    </w:tbl>
    <w:p w:rsidR="00B87E2E" w:rsidRDefault="005740CD">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B87E2E" w:rsidRDefault="005740CD">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B87E2E" w:rsidRDefault="005740CD">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B87E2E" w:rsidRDefault="005740CD">
      <w:pPr>
        <w:rPr>
          <w:rFonts w:ascii="宋体" w:hAnsi="宋体" w:cs="宋体"/>
          <w:b/>
          <w:bCs/>
          <w:szCs w:val="21"/>
        </w:rPr>
      </w:pPr>
      <w:r>
        <w:rPr>
          <w:rFonts w:ascii="宋体" w:hAnsi="宋体" w:cs="宋体" w:hint="eastAsia"/>
          <w:b/>
          <w:bCs/>
          <w:szCs w:val="21"/>
        </w:rPr>
        <w:t>公开07表</w:t>
      </w:r>
    </w:p>
    <w:p w:rsidR="00B87E2E" w:rsidRDefault="005740CD">
      <w:pPr>
        <w:rPr>
          <w:rFonts w:ascii="宋体" w:hAnsi="宋体" w:cs="宋体"/>
          <w:b/>
          <w:bCs/>
          <w:szCs w:val="21"/>
        </w:rPr>
      </w:pPr>
      <w:r>
        <w:rPr>
          <w:rFonts w:ascii="宋体" w:hAnsi="宋体" w:cs="宋体" w:hint="eastAsia"/>
          <w:b/>
          <w:bCs/>
          <w:szCs w:val="21"/>
        </w:rPr>
        <w:t>编制部门：</w:t>
      </w:r>
      <w:r w:rsidR="008A7821">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B87E2E">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B87E2E">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B87E2E">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87E2E" w:rsidRDefault="00E84DCF">
            <w:pPr>
              <w:jc w:val="center"/>
              <w:rPr>
                <w:rFonts w:ascii="宋体" w:hAnsi="宋体" w:cs="宋体"/>
                <w:b/>
                <w:color w:val="000000"/>
                <w:szCs w:val="21"/>
              </w:rPr>
            </w:pPr>
            <w:r>
              <w:rPr>
                <w:rFonts w:ascii="宋体" w:hAnsi="宋体" w:cs="宋体" w:hint="eastAsia"/>
                <w:b/>
                <w:color w:val="000000"/>
                <w:szCs w:val="21"/>
              </w:rPr>
              <w:t>2.7</w:t>
            </w:r>
          </w:p>
        </w:tc>
        <w:tc>
          <w:tcPr>
            <w:tcW w:w="11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E84DCF">
            <w:pPr>
              <w:jc w:val="center"/>
              <w:rPr>
                <w:rFonts w:ascii="宋体" w:hAnsi="宋体" w:cs="宋体"/>
                <w:b/>
                <w:color w:val="000000"/>
                <w:szCs w:val="21"/>
              </w:rPr>
            </w:pPr>
            <w:r>
              <w:rPr>
                <w:rFonts w:ascii="宋体" w:hAnsi="宋体" w:cs="宋体" w:hint="eastAsia"/>
                <w:b/>
                <w:color w:val="000000"/>
                <w:szCs w:val="21"/>
              </w:rPr>
              <w:t>1.35</w:t>
            </w: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B87E2E" w:rsidRDefault="00E84DCF">
            <w:pPr>
              <w:jc w:val="center"/>
              <w:rPr>
                <w:rFonts w:ascii="宋体" w:hAnsi="宋体" w:cs="宋体"/>
                <w:b/>
                <w:color w:val="000000"/>
                <w:szCs w:val="21"/>
              </w:rPr>
            </w:pPr>
            <w:r>
              <w:rPr>
                <w:rFonts w:ascii="宋体" w:hAnsi="宋体" w:cs="宋体" w:hint="eastAsia"/>
                <w:b/>
                <w:color w:val="000000"/>
                <w:szCs w:val="21"/>
              </w:rPr>
              <w:t>1.35</w:t>
            </w:r>
          </w:p>
        </w:tc>
        <w:tc>
          <w:tcPr>
            <w:tcW w:w="7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bl>
    <w:p w:rsidR="00B87E2E" w:rsidRDefault="005740CD">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B87E2E">
      <w:pPr>
        <w:rPr>
          <w:rFonts w:ascii="宋体" w:hAnsi="宋体" w:cs="宋体"/>
          <w:szCs w:val="21"/>
        </w:rPr>
      </w:pPr>
    </w:p>
    <w:p w:rsidR="00B87E2E" w:rsidRDefault="005740CD">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B87E2E" w:rsidRDefault="005740CD">
      <w:pPr>
        <w:rPr>
          <w:rFonts w:ascii="宋体" w:hAnsi="宋体" w:cs="宋体"/>
          <w:b/>
          <w:bCs/>
          <w:szCs w:val="21"/>
        </w:rPr>
      </w:pPr>
      <w:r>
        <w:rPr>
          <w:rFonts w:ascii="宋体" w:hAnsi="宋体" w:cs="宋体" w:hint="eastAsia"/>
          <w:b/>
          <w:bCs/>
          <w:szCs w:val="21"/>
        </w:rPr>
        <w:t>公开08表</w:t>
      </w:r>
    </w:p>
    <w:p w:rsidR="00B87E2E" w:rsidRDefault="005740CD">
      <w:pPr>
        <w:rPr>
          <w:rFonts w:ascii="宋体" w:hAnsi="宋体" w:cs="宋体"/>
          <w:b/>
          <w:bCs/>
          <w:szCs w:val="21"/>
        </w:rPr>
      </w:pPr>
      <w:r>
        <w:rPr>
          <w:rFonts w:ascii="宋体" w:hAnsi="宋体" w:cs="宋体" w:hint="eastAsia"/>
          <w:b/>
          <w:bCs/>
          <w:szCs w:val="21"/>
        </w:rPr>
        <w:t xml:space="preserve">编制部门：  </w:t>
      </w:r>
      <w:r w:rsidR="008A7821">
        <w:rPr>
          <w:rFonts w:ascii="宋体" w:hAnsi="宋体" w:cs="宋体" w:hint="eastAsia"/>
          <w:b/>
          <w:bCs/>
          <w:szCs w:val="21"/>
        </w:rPr>
        <w:t>杨陵区财务管理服务中心</w:t>
      </w:r>
      <w:r>
        <w:rPr>
          <w:rFonts w:ascii="宋体" w:hAnsi="宋体" w:cs="宋体" w:hint="eastAsia"/>
          <w:b/>
          <w:bCs/>
          <w:szCs w:val="21"/>
        </w:rPr>
        <w:t xml:space="preserve">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B87E2E">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B87E2E">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87E2E" w:rsidRDefault="005740CD">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center"/>
              <w:rPr>
                <w:rFonts w:ascii="宋体" w:hAnsi="宋体" w:cs="宋体"/>
                <w:b/>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r w:rsidR="00B87E2E">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B87E2E" w:rsidRDefault="00B87E2E">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87E2E" w:rsidRDefault="00B87E2E">
            <w:pPr>
              <w:jc w:val="right"/>
              <w:rPr>
                <w:rFonts w:ascii="宋体" w:hAnsi="宋体" w:cs="宋体"/>
                <w:color w:val="000000"/>
                <w:szCs w:val="21"/>
              </w:rPr>
            </w:pPr>
          </w:p>
        </w:tc>
      </w:tr>
    </w:tbl>
    <w:p w:rsidR="00B87E2E" w:rsidRDefault="005740CD">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B87E2E" w:rsidRDefault="00B87E2E">
      <w:pPr>
        <w:rPr>
          <w:rFonts w:ascii="宋体" w:hAnsi="宋体" w:cs="宋体"/>
          <w:szCs w:val="21"/>
        </w:rPr>
      </w:pPr>
    </w:p>
    <w:p w:rsidR="00B87E2E" w:rsidRDefault="005740CD">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A54544" w:rsidRDefault="00A54544" w:rsidP="0067618A">
      <w:pPr>
        <w:widowControl/>
        <w:ind w:firstLineChars="200" w:firstLine="640"/>
        <w:jc w:val="left"/>
        <w:rPr>
          <w:rFonts w:ascii="黑体" w:eastAsia="黑体" w:hAnsi="黑体"/>
          <w:color w:val="000000"/>
          <w:kern w:val="0"/>
          <w:sz w:val="32"/>
          <w:szCs w:val="32"/>
        </w:rPr>
      </w:pPr>
    </w:p>
    <w:p w:rsidR="00B87E2E" w:rsidRDefault="005740CD" w:rsidP="0067618A">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p>
    <w:p w:rsidR="0067618A" w:rsidRDefault="0067618A" w:rsidP="0067618A">
      <w:pPr>
        <w:spacing w:line="600" w:lineRule="exact"/>
        <w:ind w:firstLineChars="225" w:firstLine="720"/>
        <w:rPr>
          <w:rFonts w:ascii="仿宋_GB2312" w:eastAsia="仿宋_GB2312" w:hAnsi="仿宋"/>
          <w:sz w:val="32"/>
          <w:szCs w:val="32"/>
        </w:rPr>
      </w:pPr>
      <w:r>
        <w:rPr>
          <w:rFonts w:ascii="仿宋_GB2312" w:eastAsia="仿宋_GB2312" w:hAnsi="仿宋" w:hint="eastAsia"/>
          <w:sz w:val="32"/>
          <w:szCs w:val="32"/>
        </w:rPr>
        <w:t>1.杨陵区财务管理服务中心2019年度总收入</w:t>
      </w:r>
      <w:r w:rsidR="00E760C1">
        <w:rPr>
          <w:rFonts w:ascii="仿宋_GB2312" w:eastAsia="仿宋_GB2312" w:hAnsi="仿宋" w:hint="eastAsia"/>
          <w:sz w:val="32"/>
          <w:szCs w:val="32"/>
        </w:rPr>
        <w:t>265.9</w:t>
      </w:r>
      <w:r>
        <w:rPr>
          <w:rFonts w:ascii="仿宋_GB2312" w:eastAsia="仿宋_GB2312" w:hAnsi="仿宋" w:hint="eastAsia"/>
          <w:sz w:val="32"/>
          <w:szCs w:val="32"/>
        </w:rPr>
        <w:t>万元，较上年</w:t>
      </w:r>
      <w:r w:rsidR="00E760C1">
        <w:rPr>
          <w:rFonts w:ascii="仿宋_GB2312" w:eastAsia="仿宋_GB2312" w:hAnsi="仿宋" w:hint="eastAsia"/>
          <w:sz w:val="32"/>
          <w:szCs w:val="32"/>
        </w:rPr>
        <w:t>221.26</w:t>
      </w:r>
      <w:r>
        <w:rPr>
          <w:rFonts w:ascii="仿宋_GB2312" w:eastAsia="仿宋_GB2312" w:hAnsi="仿宋" w:hint="eastAsia"/>
          <w:sz w:val="32"/>
          <w:szCs w:val="32"/>
        </w:rPr>
        <w:t>万元增加</w:t>
      </w:r>
      <w:r w:rsidR="00E760C1">
        <w:rPr>
          <w:rFonts w:ascii="仿宋_GB2312" w:eastAsia="仿宋_GB2312" w:hAnsi="仿宋" w:hint="eastAsia"/>
          <w:sz w:val="32"/>
          <w:szCs w:val="32"/>
        </w:rPr>
        <w:t>44.64</w:t>
      </w:r>
      <w:r>
        <w:rPr>
          <w:rFonts w:ascii="仿宋_GB2312" w:eastAsia="仿宋_GB2312" w:hAnsi="仿宋" w:hint="eastAsia"/>
          <w:sz w:val="32"/>
          <w:szCs w:val="32"/>
        </w:rPr>
        <w:t>万元，主要原因是人员工资、日常</w:t>
      </w:r>
      <w:r w:rsidR="00E760C1">
        <w:rPr>
          <w:rFonts w:ascii="仿宋_GB2312" w:eastAsia="仿宋_GB2312" w:hAnsi="仿宋" w:hint="eastAsia"/>
          <w:sz w:val="32"/>
          <w:szCs w:val="32"/>
        </w:rPr>
        <w:t>公用</w:t>
      </w:r>
      <w:r>
        <w:rPr>
          <w:rFonts w:ascii="仿宋_GB2312" w:eastAsia="仿宋_GB2312" w:hAnsi="仿宋" w:hint="eastAsia"/>
          <w:sz w:val="32"/>
          <w:szCs w:val="32"/>
        </w:rPr>
        <w:t>经费增加；</w:t>
      </w:r>
      <w:r w:rsidR="00E760C1">
        <w:rPr>
          <w:rFonts w:ascii="仿宋_GB2312" w:eastAsia="仿宋_GB2312" w:hAnsi="仿宋"/>
          <w:sz w:val="32"/>
          <w:szCs w:val="32"/>
        </w:rPr>
        <w:t xml:space="preserve"> </w:t>
      </w:r>
    </w:p>
    <w:p w:rsidR="00791425" w:rsidRDefault="00791425" w:rsidP="00791425">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E760C1">
        <w:rPr>
          <w:rFonts w:ascii="仿宋_GB2312" w:eastAsia="仿宋_GB2312" w:hAnsi="仿宋" w:hint="eastAsia"/>
          <w:sz w:val="32"/>
          <w:szCs w:val="32"/>
        </w:rPr>
        <w:t>杨陵区财务管理服务中心2019年度总支出</w:t>
      </w:r>
      <w:r>
        <w:rPr>
          <w:rFonts w:ascii="仿宋_GB2312" w:eastAsia="仿宋_GB2312" w:hAnsi="仿宋" w:hint="eastAsia"/>
          <w:sz w:val="32"/>
          <w:szCs w:val="32"/>
        </w:rPr>
        <w:t>266.05</w:t>
      </w:r>
      <w:r w:rsidR="00E760C1">
        <w:rPr>
          <w:rFonts w:ascii="仿宋_GB2312" w:eastAsia="仿宋_GB2312" w:hAnsi="仿宋" w:hint="eastAsia"/>
          <w:sz w:val="32"/>
          <w:szCs w:val="32"/>
        </w:rPr>
        <w:t>万元</w:t>
      </w:r>
      <w:r>
        <w:rPr>
          <w:rFonts w:ascii="仿宋_GB2312" w:eastAsia="仿宋_GB2312" w:hAnsi="仿宋" w:hint="eastAsia"/>
          <w:sz w:val="32"/>
          <w:szCs w:val="32"/>
        </w:rPr>
        <w:t>，较上年218.59万元增加47.46万元，主要原因是人员工资、日常公用经费增加。</w:t>
      </w:r>
    </w:p>
    <w:p w:rsidR="0041086E" w:rsidRDefault="00EB2E53" w:rsidP="00791425">
      <w:pPr>
        <w:widowControl/>
        <w:ind w:firstLineChars="200" w:firstLine="640"/>
        <w:jc w:val="left"/>
        <w:rPr>
          <w:rFonts w:ascii="黑体" w:eastAsia="黑体" w:hAnsi="黑体"/>
          <w:color w:val="000000"/>
          <w:kern w:val="0"/>
          <w:sz w:val="32"/>
          <w:szCs w:val="32"/>
        </w:rPr>
      </w:pPr>
      <w:r>
        <w:rPr>
          <w:rFonts w:ascii="黑体" w:eastAsia="黑体" w:hAnsi="黑体" w:hint="eastAsia"/>
          <w:noProof/>
          <w:color w:val="000000"/>
          <w:kern w:val="0"/>
          <w:sz w:val="32"/>
          <w:szCs w:val="32"/>
        </w:rPr>
        <w:drawing>
          <wp:anchor distT="0" distB="0" distL="114300" distR="114300" simplePos="0" relativeHeight="251660288" behindDoc="0" locked="0" layoutInCell="1" allowOverlap="1">
            <wp:simplePos x="0" y="0"/>
            <wp:positionH relativeFrom="column">
              <wp:posOffset>183727</wp:posOffset>
            </wp:positionH>
            <wp:positionV relativeFrom="paragraph">
              <wp:posOffset>81492</wp:posOffset>
            </wp:positionV>
            <wp:extent cx="5480261" cy="4157133"/>
            <wp:effectExtent l="19050" t="0" r="25189"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41086E" w:rsidRDefault="0041086E" w:rsidP="00791425">
      <w:pPr>
        <w:widowControl/>
        <w:ind w:firstLineChars="200" w:firstLine="640"/>
        <w:jc w:val="left"/>
        <w:rPr>
          <w:rFonts w:ascii="黑体" w:eastAsia="黑体" w:hAnsi="黑体"/>
          <w:color w:val="000000"/>
          <w:kern w:val="0"/>
          <w:sz w:val="32"/>
          <w:szCs w:val="32"/>
        </w:rPr>
      </w:pPr>
    </w:p>
    <w:p w:rsidR="00C56A26" w:rsidRDefault="00C56A26" w:rsidP="00791425">
      <w:pPr>
        <w:widowControl/>
        <w:ind w:firstLineChars="200" w:firstLine="640"/>
        <w:jc w:val="left"/>
        <w:rPr>
          <w:rFonts w:ascii="黑体" w:eastAsia="黑体" w:hAnsi="黑体"/>
          <w:color w:val="000000"/>
          <w:kern w:val="0"/>
          <w:sz w:val="32"/>
          <w:szCs w:val="32"/>
        </w:rPr>
      </w:pPr>
    </w:p>
    <w:p w:rsidR="00A54544" w:rsidRDefault="00A54544" w:rsidP="00791425">
      <w:pPr>
        <w:widowControl/>
        <w:ind w:firstLineChars="200" w:firstLine="640"/>
        <w:jc w:val="left"/>
        <w:rPr>
          <w:rFonts w:ascii="黑体" w:eastAsia="黑体" w:hAnsi="黑体"/>
          <w:color w:val="000000"/>
          <w:kern w:val="0"/>
          <w:sz w:val="32"/>
          <w:szCs w:val="32"/>
        </w:rPr>
      </w:pPr>
    </w:p>
    <w:p w:rsidR="00791425" w:rsidRDefault="00791425" w:rsidP="00791425">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二、收入决算情况说明</w:t>
      </w:r>
    </w:p>
    <w:p w:rsidR="00791425" w:rsidRDefault="00791425" w:rsidP="00791425">
      <w:pPr>
        <w:spacing w:line="600" w:lineRule="exact"/>
        <w:ind w:firstLineChars="225" w:firstLine="720"/>
        <w:rPr>
          <w:rFonts w:ascii="仿宋_GB2312" w:eastAsia="仿宋_GB2312" w:hAnsi="仿宋"/>
          <w:sz w:val="32"/>
          <w:szCs w:val="32"/>
        </w:rPr>
      </w:pPr>
      <w:r>
        <w:rPr>
          <w:rFonts w:ascii="仿宋_GB2312" w:eastAsia="仿宋_GB2312" w:hAnsi="仿宋" w:hint="eastAsia"/>
          <w:sz w:val="32"/>
          <w:szCs w:val="32"/>
        </w:rPr>
        <w:t>杨陵区财务管理服务中心2019年度总收入265.9万元，其中：财政拨款收入250.93万元，</w:t>
      </w:r>
      <w:r w:rsidR="003E2984">
        <w:rPr>
          <w:rFonts w:ascii="仿宋_GB2312" w:eastAsia="仿宋_GB2312" w:hAnsi="仿宋" w:hint="eastAsia"/>
          <w:sz w:val="32"/>
          <w:szCs w:val="32"/>
        </w:rPr>
        <w:t>占</w:t>
      </w:r>
      <w:r w:rsidR="007455F4">
        <w:rPr>
          <w:rFonts w:ascii="仿宋_GB2312" w:eastAsia="仿宋_GB2312" w:hAnsi="仿宋" w:hint="eastAsia"/>
          <w:sz w:val="32"/>
          <w:szCs w:val="32"/>
        </w:rPr>
        <w:t>总收入</w:t>
      </w:r>
      <w:r w:rsidR="003E2984">
        <w:rPr>
          <w:rFonts w:ascii="仿宋_GB2312" w:eastAsia="仿宋_GB2312" w:hAnsi="仿宋" w:hint="eastAsia"/>
          <w:sz w:val="32"/>
          <w:szCs w:val="32"/>
        </w:rPr>
        <w:t>94%；</w:t>
      </w:r>
      <w:r w:rsidR="00605607">
        <w:rPr>
          <w:rFonts w:ascii="仿宋_GB2312" w:eastAsia="仿宋_GB2312" w:hAnsi="仿宋" w:hint="eastAsia"/>
          <w:sz w:val="32"/>
          <w:szCs w:val="32"/>
        </w:rPr>
        <w:t>事业收入</w:t>
      </w:r>
      <w:r w:rsidR="007455F4">
        <w:rPr>
          <w:rFonts w:ascii="仿宋_GB2312" w:eastAsia="仿宋_GB2312" w:hAnsi="仿宋" w:hint="eastAsia"/>
          <w:sz w:val="32"/>
          <w:szCs w:val="32"/>
        </w:rPr>
        <w:t>0万元，占总收入0%；经营收入0万元，占总收入0%；</w:t>
      </w:r>
      <w:r>
        <w:rPr>
          <w:rFonts w:ascii="仿宋_GB2312" w:eastAsia="仿宋_GB2312" w:hAnsi="仿宋" w:hint="eastAsia"/>
          <w:sz w:val="32"/>
          <w:szCs w:val="32"/>
        </w:rPr>
        <w:t>其他收入14.97万元，</w:t>
      </w:r>
      <w:r w:rsidR="003E2984">
        <w:rPr>
          <w:rFonts w:ascii="仿宋_GB2312" w:eastAsia="仿宋_GB2312" w:hAnsi="仿宋" w:hint="eastAsia"/>
          <w:sz w:val="32"/>
          <w:szCs w:val="32"/>
        </w:rPr>
        <w:t>占</w:t>
      </w:r>
      <w:r w:rsidR="007455F4">
        <w:rPr>
          <w:rFonts w:ascii="仿宋_GB2312" w:eastAsia="仿宋_GB2312" w:hAnsi="仿宋" w:hint="eastAsia"/>
          <w:sz w:val="32"/>
          <w:szCs w:val="32"/>
        </w:rPr>
        <w:t>总收入</w:t>
      </w:r>
      <w:r w:rsidR="003E2984">
        <w:rPr>
          <w:rFonts w:ascii="仿宋_GB2312" w:eastAsia="仿宋_GB2312" w:hAnsi="仿宋" w:hint="eastAsia"/>
          <w:sz w:val="32"/>
          <w:szCs w:val="32"/>
        </w:rPr>
        <w:t>6%</w:t>
      </w:r>
      <w:r>
        <w:rPr>
          <w:rFonts w:ascii="仿宋_GB2312" w:eastAsia="仿宋_GB2312" w:hAnsi="仿宋" w:hint="eastAsia"/>
          <w:sz w:val="32"/>
          <w:szCs w:val="32"/>
        </w:rPr>
        <w:t>。</w:t>
      </w:r>
    </w:p>
    <w:p w:rsidR="00A8649F" w:rsidRDefault="00EB2E53" w:rsidP="00791425">
      <w:pPr>
        <w:spacing w:line="600" w:lineRule="exact"/>
        <w:ind w:firstLineChars="225" w:firstLine="720"/>
        <w:rPr>
          <w:rFonts w:ascii="仿宋_GB2312" w:eastAsia="仿宋_GB2312" w:hAnsi="仿宋"/>
          <w:sz w:val="32"/>
          <w:szCs w:val="32"/>
        </w:rPr>
      </w:pPr>
      <w:r>
        <w:rPr>
          <w:rFonts w:ascii="仿宋_GB2312" w:eastAsia="仿宋_GB2312" w:hAnsi="仿宋" w:hint="eastAsia"/>
          <w:noProof/>
          <w:sz w:val="32"/>
          <w:szCs w:val="32"/>
        </w:rPr>
        <w:drawing>
          <wp:anchor distT="0" distB="0" distL="114300" distR="114300" simplePos="0" relativeHeight="251662336" behindDoc="0" locked="0" layoutInCell="1" allowOverlap="1">
            <wp:simplePos x="0" y="0"/>
            <wp:positionH relativeFrom="column">
              <wp:posOffset>22860</wp:posOffset>
            </wp:positionH>
            <wp:positionV relativeFrom="paragraph">
              <wp:posOffset>269874</wp:posOffset>
            </wp:positionV>
            <wp:extent cx="5457190" cy="4301067"/>
            <wp:effectExtent l="19050" t="0" r="10160" b="4233"/>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8649F" w:rsidRDefault="00A8649F" w:rsidP="00791425">
      <w:pPr>
        <w:spacing w:line="600" w:lineRule="exact"/>
        <w:ind w:firstLineChars="225" w:firstLine="720"/>
        <w:rPr>
          <w:rFonts w:ascii="仿宋_GB2312" w:eastAsia="仿宋_GB2312" w:hAnsi="仿宋"/>
          <w:sz w:val="32"/>
          <w:szCs w:val="32"/>
        </w:rPr>
      </w:pPr>
    </w:p>
    <w:p w:rsidR="00A54544" w:rsidRDefault="00A54544" w:rsidP="003E2984">
      <w:pPr>
        <w:widowControl/>
        <w:ind w:firstLineChars="200" w:firstLine="640"/>
        <w:jc w:val="left"/>
        <w:rPr>
          <w:rFonts w:ascii="黑体" w:eastAsia="黑体" w:hAnsi="黑体"/>
          <w:color w:val="000000"/>
          <w:kern w:val="0"/>
          <w:sz w:val="32"/>
          <w:szCs w:val="32"/>
        </w:rPr>
      </w:pPr>
    </w:p>
    <w:p w:rsidR="00A54544" w:rsidRDefault="00A54544" w:rsidP="003E2984">
      <w:pPr>
        <w:widowControl/>
        <w:ind w:firstLineChars="200" w:firstLine="640"/>
        <w:jc w:val="left"/>
        <w:rPr>
          <w:rFonts w:ascii="黑体" w:eastAsia="黑体" w:hAnsi="黑体"/>
          <w:color w:val="000000"/>
          <w:kern w:val="0"/>
          <w:sz w:val="32"/>
          <w:szCs w:val="32"/>
        </w:rPr>
      </w:pPr>
    </w:p>
    <w:p w:rsidR="003E2984" w:rsidRDefault="003E2984" w:rsidP="003E2984">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p>
    <w:p w:rsidR="00791425" w:rsidRDefault="003E2984" w:rsidP="003E2984">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杨陵区财务管理服务中心2019年度总支出266.05万元，其中：基本支出239.42万元，占总支出90%；项目支出26.63万元，占总支出10%</w:t>
      </w:r>
      <w:r w:rsidR="007455F4">
        <w:rPr>
          <w:rFonts w:ascii="仿宋_GB2312" w:eastAsia="仿宋_GB2312" w:hAnsi="仿宋" w:hint="eastAsia"/>
          <w:sz w:val="32"/>
          <w:szCs w:val="32"/>
        </w:rPr>
        <w:t>；经营支出0万元，占总支出0%</w:t>
      </w:r>
      <w:r>
        <w:rPr>
          <w:rFonts w:ascii="仿宋_GB2312" w:eastAsia="仿宋_GB2312" w:hAnsi="仿宋" w:hint="eastAsia"/>
          <w:sz w:val="32"/>
          <w:szCs w:val="32"/>
        </w:rPr>
        <w:t>。</w:t>
      </w:r>
    </w:p>
    <w:p w:rsidR="00A54544" w:rsidRPr="00791425" w:rsidRDefault="00E14774" w:rsidP="003E2984">
      <w:pPr>
        <w:widowControl/>
        <w:ind w:firstLineChars="200" w:firstLine="640"/>
        <w:jc w:val="left"/>
        <w:rPr>
          <w:rFonts w:ascii="仿宋_GB2312" w:eastAsia="仿宋_GB2312" w:hAnsi="仿宋"/>
          <w:sz w:val="32"/>
          <w:szCs w:val="32"/>
        </w:rPr>
      </w:pPr>
      <w:r>
        <w:rPr>
          <w:rFonts w:ascii="仿宋_GB2312" w:eastAsia="仿宋_GB2312" w:hAnsi="仿宋"/>
          <w:noProof/>
          <w:sz w:val="32"/>
          <w:szCs w:val="32"/>
        </w:rPr>
        <w:lastRenderedPageBreak/>
        <w:drawing>
          <wp:anchor distT="0" distB="0" distL="114300" distR="114300" simplePos="0" relativeHeight="251664384" behindDoc="0" locked="0" layoutInCell="1" allowOverlap="1">
            <wp:simplePos x="0" y="0"/>
            <wp:positionH relativeFrom="column">
              <wp:posOffset>90593</wp:posOffset>
            </wp:positionH>
            <wp:positionV relativeFrom="paragraph">
              <wp:posOffset>-100542</wp:posOffset>
            </wp:positionV>
            <wp:extent cx="5455920" cy="4326467"/>
            <wp:effectExtent l="19050" t="0" r="11430"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02E6C" w:rsidRDefault="00402E6C">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A54544" w:rsidRDefault="00A54544">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B87E2E" w:rsidRDefault="005740C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rsidR="008F684D" w:rsidRDefault="000913DF">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8F684D">
        <w:rPr>
          <w:rFonts w:ascii="仿宋_GB2312" w:eastAsia="仿宋_GB2312" w:hAnsi="仿宋" w:hint="eastAsia"/>
          <w:sz w:val="32"/>
          <w:szCs w:val="32"/>
        </w:rPr>
        <w:t>杨陵区财务管理服务中心2019年度财政拨款收入250.93万元，较上年193.54万元增加57.39万元，主要原因是人员工资增加</w:t>
      </w:r>
      <w:r w:rsidR="00EA489E">
        <w:rPr>
          <w:rFonts w:ascii="仿宋_GB2312" w:eastAsia="仿宋_GB2312" w:hAnsi="仿宋" w:hint="eastAsia"/>
          <w:sz w:val="32"/>
          <w:szCs w:val="32"/>
        </w:rPr>
        <w:t>等</w:t>
      </w:r>
      <w:r w:rsidR="008F684D">
        <w:rPr>
          <w:rFonts w:ascii="仿宋_GB2312" w:eastAsia="仿宋_GB2312" w:hAnsi="仿宋" w:hint="eastAsia"/>
          <w:sz w:val="32"/>
          <w:szCs w:val="32"/>
        </w:rPr>
        <w:t>;</w:t>
      </w:r>
    </w:p>
    <w:p w:rsidR="008F684D" w:rsidRDefault="008F684D">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2.杨陵区财务管理服务中心2019年度财政拨款支出25</w:t>
      </w:r>
      <w:r w:rsidR="001D5AA6">
        <w:rPr>
          <w:rFonts w:ascii="仿宋_GB2312" w:eastAsia="仿宋_GB2312" w:hAnsi="仿宋" w:hint="eastAsia"/>
          <w:sz w:val="32"/>
          <w:szCs w:val="32"/>
        </w:rPr>
        <w:t>1.59</w:t>
      </w:r>
      <w:r>
        <w:rPr>
          <w:rFonts w:ascii="仿宋_GB2312" w:eastAsia="仿宋_GB2312" w:hAnsi="仿宋" w:hint="eastAsia"/>
          <w:sz w:val="32"/>
          <w:szCs w:val="32"/>
        </w:rPr>
        <w:t>万元，较上年190.55万元增加6</w:t>
      </w:r>
      <w:r w:rsidR="001D5AA6">
        <w:rPr>
          <w:rFonts w:ascii="仿宋_GB2312" w:eastAsia="仿宋_GB2312" w:hAnsi="仿宋" w:hint="eastAsia"/>
          <w:sz w:val="32"/>
          <w:szCs w:val="32"/>
        </w:rPr>
        <w:t>1.04</w:t>
      </w:r>
      <w:r>
        <w:rPr>
          <w:rFonts w:ascii="仿宋_GB2312" w:eastAsia="仿宋_GB2312" w:hAnsi="仿宋" w:hint="eastAsia"/>
          <w:sz w:val="32"/>
          <w:szCs w:val="32"/>
        </w:rPr>
        <w:t>万元，主要原因是</w:t>
      </w:r>
      <w:r>
        <w:rPr>
          <w:rFonts w:ascii="仿宋_GB2312" w:eastAsia="仿宋_GB2312" w:hAnsi="仿宋_GB2312" w:cs="仿宋_GB2312" w:hint="eastAsia"/>
          <w:sz w:val="32"/>
          <w:szCs w:val="32"/>
        </w:rPr>
        <w:t>本年人员</w:t>
      </w:r>
      <w:r w:rsidR="00EA489E">
        <w:rPr>
          <w:rFonts w:ascii="仿宋_GB2312" w:eastAsia="仿宋_GB2312" w:hAnsi="仿宋_GB2312" w:cs="仿宋_GB2312" w:hint="eastAsia"/>
          <w:sz w:val="32"/>
          <w:szCs w:val="32"/>
        </w:rPr>
        <w:t>工资</w:t>
      </w:r>
      <w:r>
        <w:rPr>
          <w:rFonts w:ascii="仿宋_GB2312" w:eastAsia="仿宋_GB2312" w:hAnsi="仿宋_GB2312" w:cs="仿宋_GB2312" w:hint="eastAsia"/>
          <w:sz w:val="32"/>
          <w:szCs w:val="32"/>
        </w:rPr>
        <w:t>增加等</w:t>
      </w:r>
      <w:r>
        <w:rPr>
          <w:rFonts w:ascii="仿宋_GB2312" w:eastAsia="仿宋_GB2312" w:hAnsi="仿宋" w:hint="eastAsia"/>
          <w:sz w:val="32"/>
          <w:szCs w:val="32"/>
        </w:rPr>
        <w:t>。</w:t>
      </w:r>
    </w:p>
    <w:p w:rsidR="00E14774" w:rsidRDefault="00E14774">
      <w:pPr>
        <w:widowControl/>
        <w:ind w:firstLineChars="200" w:firstLine="640"/>
        <w:jc w:val="left"/>
        <w:rPr>
          <w:rFonts w:ascii="仿宋_GB2312" w:eastAsia="仿宋_GB2312" w:hAnsi="仿宋"/>
          <w:sz w:val="32"/>
          <w:szCs w:val="32"/>
        </w:rPr>
      </w:pPr>
    </w:p>
    <w:p w:rsidR="00EB2E53" w:rsidRDefault="00EB2E53">
      <w:pPr>
        <w:widowControl/>
        <w:ind w:firstLineChars="200" w:firstLine="640"/>
        <w:jc w:val="left"/>
        <w:rPr>
          <w:rFonts w:ascii="黑体" w:eastAsia="黑体" w:hAnsi="黑体"/>
          <w:color w:val="000000"/>
          <w:kern w:val="0"/>
          <w:sz w:val="32"/>
          <w:szCs w:val="32"/>
        </w:rPr>
      </w:pPr>
      <w:r>
        <w:rPr>
          <w:rFonts w:ascii="黑体" w:eastAsia="黑体" w:hAnsi="黑体" w:hint="eastAsia"/>
          <w:noProof/>
          <w:color w:val="000000"/>
          <w:kern w:val="0"/>
          <w:sz w:val="32"/>
          <w:szCs w:val="32"/>
        </w:rPr>
        <w:lastRenderedPageBreak/>
        <w:drawing>
          <wp:anchor distT="0" distB="0" distL="114300" distR="114300" simplePos="0" relativeHeight="251666432" behindDoc="0" locked="0" layoutInCell="1" allowOverlap="1">
            <wp:simplePos x="0" y="0"/>
            <wp:positionH relativeFrom="column">
              <wp:posOffset>141393</wp:posOffset>
            </wp:positionH>
            <wp:positionV relativeFrom="paragraph">
              <wp:posOffset>-325332</wp:posOffset>
            </wp:positionV>
            <wp:extent cx="5461424" cy="3459057"/>
            <wp:effectExtent l="19050" t="0" r="24976" b="8043"/>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EB2E53" w:rsidRDefault="00EB2E53">
      <w:pPr>
        <w:widowControl/>
        <w:ind w:firstLineChars="200" w:firstLine="640"/>
        <w:jc w:val="left"/>
        <w:rPr>
          <w:rFonts w:ascii="黑体" w:eastAsia="黑体" w:hAnsi="黑体"/>
          <w:color w:val="000000"/>
          <w:kern w:val="0"/>
          <w:sz w:val="32"/>
          <w:szCs w:val="32"/>
        </w:rPr>
      </w:pPr>
    </w:p>
    <w:p w:rsidR="00B87E2E" w:rsidRDefault="005740C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B87E2E" w:rsidRDefault="005740C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87E2E" w:rsidRDefault="005740CD" w:rsidP="00EA489E">
      <w:pPr>
        <w:widowControl/>
        <w:ind w:firstLineChars="200" w:firstLine="640"/>
        <w:jc w:val="left"/>
      </w:pPr>
      <w:r>
        <w:rPr>
          <w:rFonts w:ascii="仿宋_GB2312" w:eastAsia="仿宋_GB2312" w:hAnsi="宋体" w:cs="仿宋_GB2312"/>
          <w:color w:val="000000"/>
          <w:kern w:val="0"/>
          <w:sz w:val="32"/>
          <w:szCs w:val="32"/>
        </w:rPr>
        <w:t>2019 年财政拨款支出</w:t>
      </w:r>
      <w:r w:rsidR="00EA489E">
        <w:rPr>
          <w:rFonts w:ascii="仿宋_GB2312" w:eastAsia="仿宋_GB2312" w:hAnsi="宋体" w:cs="仿宋_GB2312" w:hint="eastAsia"/>
          <w:color w:val="000000"/>
          <w:kern w:val="0"/>
          <w:sz w:val="32"/>
          <w:szCs w:val="32"/>
        </w:rPr>
        <w:t>25</w:t>
      </w:r>
      <w:r w:rsidR="001D5AA6">
        <w:rPr>
          <w:rFonts w:ascii="仿宋_GB2312" w:eastAsia="仿宋_GB2312" w:hAnsi="宋体" w:cs="仿宋_GB2312" w:hint="eastAsia"/>
          <w:color w:val="000000"/>
          <w:kern w:val="0"/>
          <w:sz w:val="32"/>
          <w:szCs w:val="32"/>
        </w:rPr>
        <w:t>1.59</w:t>
      </w:r>
      <w:r>
        <w:rPr>
          <w:rFonts w:ascii="仿宋_GB2312" w:eastAsia="仿宋_GB2312" w:hAnsi="宋体" w:cs="仿宋_GB2312"/>
          <w:color w:val="000000"/>
          <w:kern w:val="0"/>
          <w:sz w:val="32"/>
          <w:szCs w:val="32"/>
        </w:rPr>
        <w:t xml:space="preserve"> 万元，占本年支出合计的</w:t>
      </w:r>
      <w:r w:rsidR="001D5AA6">
        <w:rPr>
          <w:rFonts w:ascii="仿宋_GB2312" w:eastAsia="仿宋_GB2312" w:hAnsi="宋体" w:cs="仿宋_GB2312" w:hint="eastAsia"/>
          <w:color w:val="000000"/>
          <w:kern w:val="0"/>
          <w:sz w:val="32"/>
          <w:szCs w:val="32"/>
        </w:rPr>
        <w:t>95</w:t>
      </w:r>
      <w:r>
        <w:rPr>
          <w:rFonts w:ascii="仿宋_GB2312" w:eastAsia="仿宋_GB2312" w:hAnsi="宋体" w:cs="仿宋_GB2312"/>
          <w:color w:val="000000"/>
          <w:kern w:val="0"/>
          <w:sz w:val="32"/>
          <w:szCs w:val="32"/>
        </w:rPr>
        <w:t>%</w:t>
      </w:r>
      <w:r w:rsidR="00EA489E">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相比，财政拨款支出增加</w:t>
      </w:r>
      <w:r w:rsidR="00EA489E">
        <w:rPr>
          <w:rFonts w:ascii="仿宋_GB2312" w:eastAsia="仿宋_GB2312" w:hAnsi="宋体" w:cs="仿宋_GB2312" w:hint="eastAsia"/>
          <w:color w:val="000000"/>
          <w:kern w:val="0"/>
          <w:sz w:val="32"/>
          <w:szCs w:val="32"/>
        </w:rPr>
        <w:t>6</w:t>
      </w:r>
      <w:r w:rsidR="001D5AA6">
        <w:rPr>
          <w:rFonts w:ascii="仿宋_GB2312" w:eastAsia="仿宋_GB2312" w:hAnsi="宋体" w:cs="仿宋_GB2312" w:hint="eastAsia"/>
          <w:color w:val="000000"/>
          <w:kern w:val="0"/>
          <w:sz w:val="32"/>
          <w:szCs w:val="32"/>
        </w:rPr>
        <w:t>1.04</w:t>
      </w:r>
      <w:r>
        <w:rPr>
          <w:rFonts w:ascii="仿宋_GB2312" w:eastAsia="仿宋_GB2312" w:hAnsi="宋体" w:cs="仿宋_GB2312"/>
          <w:color w:val="000000"/>
          <w:kern w:val="0"/>
          <w:sz w:val="32"/>
          <w:szCs w:val="32"/>
        </w:rPr>
        <w:t>万元，增长</w:t>
      </w:r>
      <w:r w:rsidR="00EA489E">
        <w:rPr>
          <w:rFonts w:ascii="仿宋_GB2312" w:eastAsia="仿宋_GB2312" w:hAnsi="宋体" w:cs="仿宋_GB2312" w:hint="eastAsia"/>
          <w:color w:val="000000"/>
          <w:kern w:val="0"/>
          <w:sz w:val="32"/>
          <w:szCs w:val="32"/>
        </w:rPr>
        <w:t>3</w:t>
      </w:r>
      <w:r w:rsidR="001D5AA6">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sidR="00EA489E">
        <w:rPr>
          <w:rFonts w:ascii="仿宋_GB2312" w:eastAsia="仿宋_GB2312" w:hAnsi="仿宋_GB2312" w:cs="仿宋_GB2312" w:hint="eastAsia"/>
          <w:sz w:val="32"/>
          <w:szCs w:val="32"/>
        </w:rPr>
        <w:t>人员工资等增加</w:t>
      </w:r>
      <w:r>
        <w:rPr>
          <w:rFonts w:ascii="仿宋_GB2312" w:eastAsia="仿宋_GB2312" w:hAnsi="宋体" w:cs="仿宋_GB2312" w:hint="eastAsia"/>
          <w:color w:val="000000"/>
          <w:kern w:val="0"/>
          <w:sz w:val="32"/>
          <w:szCs w:val="32"/>
        </w:rPr>
        <w:t>。</w:t>
      </w:r>
    </w:p>
    <w:p w:rsidR="00250BC5" w:rsidRDefault="00250BC5">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noProof/>
          <w:color w:val="000000"/>
          <w:kern w:val="0"/>
          <w:sz w:val="32"/>
          <w:szCs w:val="32"/>
        </w:rPr>
        <w:drawing>
          <wp:anchor distT="0" distB="0" distL="114300" distR="114300" simplePos="0" relativeHeight="251668480" behindDoc="0" locked="0" layoutInCell="1" allowOverlap="1">
            <wp:simplePos x="0" y="0"/>
            <wp:positionH relativeFrom="column">
              <wp:posOffset>-2540</wp:posOffset>
            </wp:positionH>
            <wp:positionV relativeFrom="paragraph">
              <wp:posOffset>-3175</wp:posOffset>
            </wp:positionV>
            <wp:extent cx="5486612" cy="3208867"/>
            <wp:effectExtent l="19050" t="0" r="18838"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50BC5" w:rsidRDefault="00250BC5">
      <w:pPr>
        <w:spacing w:line="360" w:lineRule="auto"/>
        <w:ind w:firstLineChars="200" w:firstLine="643"/>
        <w:rPr>
          <w:rFonts w:ascii="楷体_GB2312" w:eastAsia="楷体_GB2312" w:hAnsi="宋体" w:cs="楷体_GB2312"/>
          <w:b/>
          <w:color w:val="000000"/>
          <w:kern w:val="0"/>
          <w:sz w:val="32"/>
          <w:szCs w:val="32"/>
        </w:rPr>
      </w:pPr>
    </w:p>
    <w:p w:rsidR="00250BC5" w:rsidRDefault="00250BC5">
      <w:pPr>
        <w:spacing w:line="360" w:lineRule="auto"/>
        <w:ind w:firstLineChars="200" w:firstLine="643"/>
        <w:rPr>
          <w:rFonts w:ascii="楷体_GB2312" w:eastAsia="楷体_GB2312" w:hAnsi="宋体" w:cs="楷体_GB2312"/>
          <w:b/>
          <w:color w:val="000000"/>
          <w:kern w:val="0"/>
          <w:sz w:val="32"/>
          <w:szCs w:val="32"/>
        </w:rPr>
      </w:pPr>
    </w:p>
    <w:p w:rsidR="00250BC5" w:rsidRDefault="00250BC5">
      <w:pPr>
        <w:spacing w:line="360" w:lineRule="auto"/>
        <w:ind w:firstLineChars="200" w:firstLine="643"/>
        <w:rPr>
          <w:rFonts w:ascii="楷体_GB2312" w:eastAsia="楷体_GB2312" w:hAnsi="宋体" w:cs="楷体_GB2312"/>
          <w:b/>
          <w:color w:val="000000"/>
          <w:kern w:val="0"/>
          <w:sz w:val="32"/>
          <w:szCs w:val="32"/>
        </w:rPr>
      </w:pPr>
    </w:p>
    <w:p w:rsidR="00250BC5" w:rsidRDefault="00250BC5">
      <w:pPr>
        <w:spacing w:line="360" w:lineRule="auto"/>
        <w:ind w:firstLineChars="200" w:firstLine="643"/>
        <w:rPr>
          <w:rFonts w:ascii="楷体_GB2312" w:eastAsia="楷体_GB2312" w:hAnsi="宋体" w:cs="楷体_GB2312"/>
          <w:b/>
          <w:color w:val="000000"/>
          <w:kern w:val="0"/>
          <w:sz w:val="32"/>
          <w:szCs w:val="32"/>
        </w:rPr>
      </w:pPr>
    </w:p>
    <w:p w:rsidR="00250BC5" w:rsidRDefault="00250BC5">
      <w:pPr>
        <w:spacing w:line="360" w:lineRule="auto"/>
        <w:ind w:firstLineChars="200" w:firstLine="643"/>
        <w:rPr>
          <w:rFonts w:ascii="楷体_GB2312" w:eastAsia="楷体_GB2312" w:hAnsi="宋体" w:cs="楷体_GB2312"/>
          <w:b/>
          <w:color w:val="000000"/>
          <w:kern w:val="0"/>
          <w:sz w:val="32"/>
          <w:szCs w:val="32"/>
        </w:rPr>
      </w:pPr>
    </w:p>
    <w:p w:rsidR="00B87E2E" w:rsidRDefault="005740C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87E2E" w:rsidRDefault="005740CD">
      <w:pPr>
        <w:widowControl/>
        <w:ind w:firstLineChars="200" w:firstLine="640"/>
        <w:jc w:val="left"/>
      </w:pPr>
      <w:r>
        <w:rPr>
          <w:rFonts w:ascii="仿宋_GB2312" w:eastAsia="仿宋_GB2312" w:hAnsi="宋体" w:cs="仿宋_GB2312"/>
          <w:color w:val="000000"/>
          <w:kern w:val="0"/>
          <w:sz w:val="32"/>
          <w:szCs w:val="32"/>
        </w:rPr>
        <w:lastRenderedPageBreak/>
        <w:t>2019 年财政拨款支出年初预算为</w:t>
      </w:r>
      <w:r w:rsidR="00FD0741">
        <w:rPr>
          <w:rFonts w:ascii="仿宋_GB2312" w:eastAsia="仿宋_GB2312" w:hAnsi="宋体" w:cs="仿宋_GB2312" w:hint="eastAsia"/>
          <w:color w:val="000000"/>
          <w:kern w:val="0"/>
          <w:sz w:val="32"/>
          <w:szCs w:val="32"/>
        </w:rPr>
        <w:t>238.22</w:t>
      </w:r>
      <w:r>
        <w:rPr>
          <w:rFonts w:ascii="仿宋_GB2312" w:eastAsia="仿宋_GB2312" w:hAnsi="宋体" w:cs="仿宋_GB2312"/>
          <w:color w:val="000000"/>
          <w:kern w:val="0"/>
          <w:sz w:val="32"/>
          <w:szCs w:val="32"/>
        </w:rPr>
        <w:t>万元，支出决算为</w:t>
      </w:r>
      <w:r w:rsidR="00FD0741">
        <w:rPr>
          <w:rFonts w:ascii="仿宋_GB2312" w:eastAsia="仿宋_GB2312" w:hAnsi="宋体" w:cs="仿宋_GB2312" w:hint="eastAsia"/>
          <w:color w:val="000000"/>
          <w:kern w:val="0"/>
          <w:sz w:val="32"/>
          <w:szCs w:val="32"/>
        </w:rPr>
        <w:t>251.59</w:t>
      </w:r>
      <w:r>
        <w:rPr>
          <w:rFonts w:ascii="仿宋_GB2312" w:eastAsia="仿宋_GB2312" w:hAnsi="宋体" w:cs="仿宋_GB2312"/>
          <w:color w:val="000000"/>
          <w:kern w:val="0"/>
          <w:sz w:val="32"/>
          <w:szCs w:val="32"/>
        </w:rPr>
        <w:t>万元，完成年初预算的</w:t>
      </w:r>
      <w:r w:rsidR="00FD0741">
        <w:rPr>
          <w:rFonts w:ascii="仿宋_GB2312" w:eastAsia="仿宋_GB2312" w:hAnsi="宋体" w:cs="仿宋_GB2312" w:hint="eastAsia"/>
          <w:color w:val="000000"/>
          <w:kern w:val="0"/>
          <w:sz w:val="32"/>
          <w:szCs w:val="32"/>
        </w:rPr>
        <w:t>106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B87E2E" w:rsidRDefault="005740CD">
      <w:pPr>
        <w:widowControl/>
        <w:ind w:firstLineChars="200" w:firstLine="643"/>
        <w:jc w:val="left"/>
      </w:pPr>
      <w:r>
        <w:rPr>
          <w:rFonts w:ascii="仿宋_GB2312" w:eastAsia="仿宋_GB2312" w:hAnsi="宋体" w:cs="仿宋_GB2312"/>
          <w:b/>
          <w:color w:val="000000"/>
          <w:kern w:val="0"/>
          <w:sz w:val="32"/>
          <w:szCs w:val="32"/>
        </w:rPr>
        <w:t>1.一般公共服务支出</w:t>
      </w:r>
      <w:r w:rsidR="00840505">
        <w:rPr>
          <w:rFonts w:ascii="仿宋_GB2312" w:eastAsia="仿宋_GB2312" w:hAnsi="宋体" w:cs="仿宋_GB2312" w:hint="eastAsia"/>
          <w:b/>
          <w:color w:val="000000"/>
          <w:kern w:val="0"/>
          <w:sz w:val="32"/>
          <w:szCs w:val="32"/>
        </w:rPr>
        <w:t>（类）政府办公厅（室）及相关机构事务（款）事业</w:t>
      </w:r>
      <w:r>
        <w:rPr>
          <w:rFonts w:ascii="仿宋_GB2312" w:eastAsia="仿宋_GB2312" w:hAnsi="宋体" w:cs="仿宋_GB2312"/>
          <w:b/>
          <w:color w:val="000000"/>
          <w:kern w:val="0"/>
          <w:sz w:val="32"/>
          <w:szCs w:val="32"/>
        </w:rPr>
        <w:t>运行</w:t>
      </w:r>
      <w:r w:rsidR="00840505">
        <w:rPr>
          <w:rFonts w:ascii="仿宋_GB2312" w:eastAsia="仿宋_GB2312" w:hAnsi="宋体" w:cs="仿宋_GB2312" w:hint="eastAsia"/>
          <w:b/>
          <w:color w:val="000000"/>
          <w:kern w:val="0"/>
          <w:sz w:val="32"/>
          <w:szCs w:val="32"/>
        </w:rPr>
        <w:t>（项）</w:t>
      </w:r>
      <w:r>
        <w:rPr>
          <w:rFonts w:ascii="仿宋_GB2312" w:eastAsia="仿宋_GB2312" w:hAnsi="宋体" w:cs="仿宋_GB2312"/>
          <w:b/>
          <w:color w:val="000000"/>
          <w:kern w:val="0"/>
          <w:sz w:val="32"/>
          <w:szCs w:val="32"/>
        </w:rPr>
        <w:t xml:space="preserve">。 </w:t>
      </w:r>
    </w:p>
    <w:p w:rsidR="00FD0741" w:rsidRDefault="005740CD" w:rsidP="00840505">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C26810">
        <w:rPr>
          <w:rFonts w:ascii="仿宋_GB2312" w:eastAsia="仿宋_GB2312" w:hAnsi="宋体" w:cs="仿宋_GB2312" w:hint="eastAsia"/>
          <w:color w:val="000000"/>
          <w:kern w:val="0"/>
          <w:sz w:val="32"/>
          <w:szCs w:val="32"/>
        </w:rPr>
        <w:t>215.55</w:t>
      </w:r>
      <w:r>
        <w:rPr>
          <w:rFonts w:ascii="仿宋_GB2312" w:eastAsia="仿宋_GB2312" w:hAnsi="宋体" w:cs="仿宋_GB2312"/>
          <w:color w:val="000000"/>
          <w:kern w:val="0"/>
          <w:sz w:val="32"/>
          <w:szCs w:val="32"/>
        </w:rPr>
        <w:t>万元，支出决算为</w:t>
      </w:r>
      <w:r w:rsidR="00C26810">
        <w:rPr>
          <w:rFonts w:ascii="仿宋_GB2312" w:eastAsia="仿宋_GB2312" w:hAnsi="宋体" w:cs="仿宋_GB2312" w:hint="eastAsia"/>
          <w:color w:val="000000"/>
          <w:kern w:val="0"/>
          <w:sz w:val="32"/>
          <w:szCs w:val="32"/>
        </w:rPr>
        <w:t>2</w:t>
      </w:r>
      <w:r w:rsidR="004D1309">
        <w:rPr>
          <w:rFonts w:ascii="仿宋_GB2312" w:eastAsia="仿宋_GB2312" w:hAnsi="宋体" w:cs="仿宋_GB2312" w:hint="eastAsia"/>
          <w:color w:val="000000"/>
          <w:kern w:val="0"/>
          <w:sz w:val="32"/>
          <w:szCs w:val="32"/>
        </w:rPr>
        <w:t>39.42</w:t>
      </w:r>
      <w:r>
        <w:rPr>
          <w:rFonts w:ascii="仿宋_GB2312" w:eastAsia="仿宋_GB2312" w:hAnsi="宋体" w:cs="仿宋_GB2312"/>
          <w:color w:val="000000"/>
          <w:kern w:val="0"/>
          <w:sz w:val="32"/>
          <w:szCs w:val="32"/>
        </w:rPr>
        <w:t>万元，完成年初预算的</w:t>
      </w:r>
      <w:r w:rsidR="00C26810">
        <w:rPr>
          <w:rFonts w:ascii="仿宋_GB2312" w:eastAsia="仿宋_GB2312" w:hAnsi="宋体" w:cs="仿宋_GB2312" w:hint="eastAsia"/>
          <w:color w:val="000000"/>
          <w:kern w:val="0"/>
          <w:sz w:val="32"/>
          <w:szCs w:val="32"/>
        </w:rPr>
        <w:t>1</w:t>
      </w:r>
      <w:r w:rsidR="004D1309">
        <w:rPr>
          <w:rFonts w:ascii="仿宋_GB2312" w:eastAsia="仿宋_GB2312" w:hAnsi="宋体" w:cs="仿宋_GB2312" w:hint="eastAsia"/>
          <w:color w:val="000000"/>
          <w:kern w:val="0"/>
          <w:sz w:val="32"/>
          <w:szCs w:val="32"/>
        </w:rPr>
        <w:t>11</w:t>
      </w:r>
      <w:r>
        <w:rPr>
          <w:rFonts w:ascii="仿宋_GB2312" w:eastAsia="仿宋_GB2312" w:hAnsi="宋体" w:cs="仿宋_GB2312"/>
          <w:color w:val="000000"/>
          <w:kern w:val="0"/>
          <w:sz w:val="32"/>
          <w:szCs w:val="32"/>
        </w:rPr>
        <w:t>%。决算数大于预算数的主要原因是</w:t>
      </w:r>
      <w:r w:rsidR="00C26810">
        <w:rPr>
          <w:rFonts w:ascii="仿宋_GB2312" w:eastAsia="仿宋_GB2312" w:hAnsi="仿宋_GB2312" w:cs="仿宋_GB2312" w:hint="eastAsia"/>
          <w:sz w:val="32"/>
          <w:szCs w:val="32"/>
        </w:rPr>
        <w:t>人员工资等增加</w:t>
      </w:r>
      <w:r>
        <w:rPr>
          <w:rFonts w:ascii="仿宋_GB2312" w:eastAsia="仿宋_GB2312" w:hAnsi="宋体" w:cs="仿宋_GB2312" w:hint="eastAsia"/>
          <w:color w:val="000000"/>
          <w:kern w:val="0"/>
          <w:sz w:val="32"/>
          <w:szCs w:val="32"/>
        </w:rPr>
        <w:t>。</w:t>
      </w:r>
    </w:p>
    <w:p w:rsidR="00B87E2E" w:rsidRDefault="005740CD">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sidR="00840505">
        <w:rPr>
          <w:rFonts w:ascii="仿宋_GB2312" w:eastAsia="仿宋_GB2312" w:hAnsi="宋体" w:cs="仿宋_GB2312"/>
          <w:b/>
          <w:color w:val="000000"/>
          <w:kern w:val="0"/>
          <w:sz w:val="32"/>
          <w:szCs w:val="32"/>
        </w:rPr>
        <w:t>一般公共服务支出</w:t>
      </w:r>
      <w:r w:rsidR="00840505">
        <w:rPr>
          <w:rFonts w:ascii="仿宋_GB2312" w:eastAsia="仿宋_GB2312" w:hAnsi="宋体" w:cs="仿宋_GB2312" w:hint="eastAsia"/>
          <w:b/>
          <w:color w:val="000000"/>
          <w:kern w:val="0"/>
          <w:sz w:val="32"/>
          <w:szCs w:val="32"/>
        </w:rPr>
        <w:t>（类）政府办公厅（室）及相关机构事务（款）其他政府办公厅（室）及相关机构事务（项）。</w:t>
      </w:r>
    </w:p>
    <w:p w:rsidR="004D1309" w:rsidRDefault="004D1309" w:rsidP="004D1309">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EA1F78">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12.17</w:t>
      </w:r>
      <w:r>
        <w:rPr>
          <w:rFonts w:ascii="仿宋_GB2312" w:eastAsia="仿宋_GB2312" w:hAnsi="宋体" w:cs="仿宋_GB2312"/>
          <w:color w:val="000000"/>
          <w:kern w:val="0"/>
          <w:sz w:val="32"/>
          <w:szCs w:val="32"/>
        </w:rPr>
        <w:t>万元，完成年初预算的</w:t>
      </w:r>
      <w:r w:rsidR="00EA1F78">
        <w:rPr>
          <w:rFonts w:ascii="仿宋_GB2312" w:eastAsia="仿宋_GB2312" w:hAnsi="宋体" w:cs="仿宋_GB2312" w:hint="eastAsia"/>
          <w:color w:val="000000"/>
          <w:kern w:val="0"/>
          <w:sz w:val="32"/>
          <w:szCs w:val="32"/>
        </w:rPr>
        <w:t>61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sidR="00EA1F78">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预算数的主要原因是</w:t>
      </w:r>
      <w:r w:rsidR="00EA1F78">
        <w:rPr>
          <w:rFonts w:ascii="仿宋_GB2312" w:eastAsia="仿宋_GB2312" w:hAnsi="宋体" w:cs="仿宋_GB2312" w:hint="eastAsia"/>
          <w:color w:val="000000"/>
          <w:kern w:val="0"/>
          <w:sz w:val="32"/>
          <w:szCs w:val="32"/>
        </w:rPr>
        <w:t>未年为购置办公设备及</w:t>
      </w:r>
      <w:r>
        <w:rPr>
          <w:rFonts w:ascii="仿宋_GB2312" w:eastAsia="仿宋_GB2312" w:hAnsi="仿宋_GB2312" w:cs="仿宋_GB2312" w:hint="eastAsia"/>
          <w:sz w:val="32"/>
          <w:szCs w:val="32"/>
        </w:rPr>
        <w:t>办公费用</w:t>
      </w:r>
      <w:r w:rsidR="00EA1F78">
        <w:rPr>
          <w:rFonts w:ascii="仿宋_GB2312" w:eastAsia="仿宋_GB2312" w:hAnsi="仿宋_GB2312" w:cs="仿宋_GB2312" w:hint="eastAsia"/>
          <w:sz w:val="32"/>
          <w:szCs w:val="32"/>
        </w:rPr>
        <w:t>减少</w:t>
      </w:r>
      <w:r>
        <w:rPr>
          <w:rFonts w:ascii="仿宋_GB2312" w:eastAsia="仿宋_GB2312" w:hAnsi="宋体" w:cs="仿宋_GB2312" w:hint="eastAsia"/>
          <w:color w:val="000000"/>
          <w:kern w:val="0"/>
          <w:sz w:val="32"/>
          <w:szCs w:val="32"/>
        </w:rPr>
        <w:t>。</w:t>
      </w:r>
    </w:p>
    <w:p w:rsidR="00B87E2E" w:rsidRDefault="005740CD">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p>
    <w:p w:rsidR="00B87E2E" w:rsidRDefault="005740CD" w:rsidP="004D1309">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4D1309">
        <w:rPr>
          <w:rFonts w:ascii="仿宋_GB2312" w:eastAsia="仿宋_GB2312" w:hAnsi="仿宋_GB2312" w:cs="仿宋_GB2312" w:hint="eastAsia"/>
          <w:color w:val="000000"/>
          <w:kern w:val="0"/>
          <w:sz w:val="31"/>
          <w:szCs w:val="31"/>
        </w:rPr>
        <w:t>239.42</w:t>
      </w:r>
      <w:r>
        <w:rPr>
          <w:rFonts w:ascii="仿宋_GB2312" w:eastAsia="仿宋_GB2312" w:hAnsi="仿宋_GB2312" w:cs="仿宋_GB2312"/>
          <w:color w:val="000000"/>
          <w:kern w:val="0"/>
          <w:sz w:val="31"/>
          <w:szCs w:val="31"/>
        </w:rPr>
        <w:t>万元，包括：人员经费支出</w:t>
      </w:r>
      <w:r w:rsidR="004D1309">
        <w:rPr>
          <w:rFonts w:ascii="仿宋_GB2312" w:eastAsia="仿宋_GB2312" w:hAnsi="仿宋_GB2312" w:cs="仿宋_GB2312" w:hint="eastAsia"/>
          <w:color w:val="000000"/>
          <w:kern w:val="0"/>
          <w:sz w:val="31"/>
          <w:szCs w:val="31"/>
        </w:rPr>
        <w:t>234.68</w:t>
      </w:r>
      <w:r>
        <w:rPr>
          <w:rFonts w:ascii="仿宋_GB2312" w:eastAsia="仿宋_GB2312" w:hAnsi="仿宋_GB2312" w:cs="仿宋_GB2312"/>
          <w:color w:val="000000"/>
          <w:kern w:val="0"/>
          <w:sz w:val="31"/>
          <w:szCs w:val="31"/>
        </w:rPr>
        <w:t>万元</w:t>
      </w:r>
      <w:r w:rsidR="005F38A8">
        <w:rPr>
          <w:rFonts w:ascii="仿宋_GB2312" w:eastAsia="仿宋_GB2312" w:hAnsi="仿宋_GB2312" w:cs="仿宋_GB2312" w:hint="eastAsia"/>
          <w:color w:val="000000"/>
          <w:kern w:val="0"/>
          <w:sz w:val="31"/>
          <w:szCs w:val="31"/>
        </w:rPr>
        <w:t>和</w:t>
      </w:r>
      <w:r>
        <w:rPr>
          <w:rFonts w:ascii="仿宋_GB2312" w:eastAsia="仿宋_GB2312" w:hAnsi="仿宋_GB2312" w:cs="仿宋_GB2312"/>
          <w:color w:val="000000"/>
          <w:kern w:val="0"/>
          <w:sz w:val="31"/>
          <w:szCs w:val="31"/>
        </w:rPr>
        <w:t>公用经费支出</w:t>
      </w:r>
      <w:r w:rsidR="004D1309">
        <w:rPr>
          <w:rFonts w:ascii="仿宋_GB2312" w:eastAsia="仿宋_GB2312" w:hAnsi="仿宋_GB2312" w:cs="仿宋_GB2312" w:hint="eastAsia"/>
          <w:color w:val="000000"/>
          <w:kern w:val="0"/>
          <w:sz w:val="31"/>
          <w:szCs w:val="31"/>
        </w:rPr>
        <w:t>4.73</w:t>
      </w:r>
      <w:r>
        <w:rPr>
          <w:rFonts w:ascii="仿宋_GB2312" w:eastAsia="仿宋_GB2312" w:hAnsi="仿宋_GB2312" w:cs="仿宋_GB2312"/>
          <w:color w:val="000000"/>
          <w:kern w:val="0"/>
          <w:sz w:val="31"/>
          <w:szCs w:val="31"/>
        </w:rPr>
        <w:t>万元。</w:t>
      </w:r>
    </w:p>
    <w:p w:rsidR="00B87E2E" w:rsidRDefault="005740CD" w:rsidP="00E14774">
      <w:pPr>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4D1309">
        <w:rPr>
          <w:rFonts w:ascii="仿宋_GB2312" w:eastAsia="仿宋_GB2312" w:hAnsi="仿宋_GB2312" w:cs="仿宋_GB2312" w:hint="eastAsia"/>
          <w:color w:val="000000"/>
          <w:kern w:val="0"/>
          <w:sz w:val="31"/>
          <w:szCs w:val="31"/>
        </w:rPr>
        <w:t>234.68</w:t>
      </w:r>
      <w:r>
        <w:rPr>
          <w:rFonts w:ascii="仿宋_GB2312" w:eastAsia="仿宋_GB2312" w:hAnsi="宋体" w:cs="仿宋_GB2312"/>
          <w:color w:val="000000"/>
          <w:kern w:val="0"/>
          <w:sz w:val="32"/>
          <w:szCs w:val="32"/>
        </w:rPr>
        <w:t>万元，主要包括</w:t>
      </w:r>
      <w:r w:rsidR="004D1309">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基本工资</w:t>
      </w:r>
      <w:r w:rsidR="008549A7">
        <w:rPr>
          <w:rFonts w:ascii="仿宋_GB2312" w:eastAsia="仿宋_GB2312" w:hAnsi="宋体" w:cs="仿宋_GB2312" w:hint="eastAsia"/>
          <w:color w:val="000000"/>
          <w:kern w:val="0"/>
          <w:sz w:val="32"/>
          <w:szCs w:val="32"/>
        </w:rPr>
        <w:t>70.13</w:t>
      </w:r>
      <w:r>
        <w:rPr>
          <w:rFonts w:ascii="仿宋_GB2312" w:eastAsia="仿宋_GB2312" w:hAnsi="宋体" w:cs="仿宋_GB2312" w:hint="eastAsia"/>
          <w:color w:val="000000"/>
          <w:kern w:val="0"/>
          <w:sz w:val="32"/>
          <w:szCs w:val="32"/>
        </w:rPr>
        <w:t>万元</w:t>
      </w:r>
      <w:r w:rsidR="008549A7">
        <w:rPr>
          <w:rFonts w:ascii="仿宋_GB2312" w:eastAsia="仿宋_GB2312" w:hAnsi="宋体" w:cs="仿宋_GB2312" w:hint="eastAsia"/>
          <w:color w:val="000000"/>
          <w:kern w:val="0"/>
          <w:sz w:val="32"/>
          <w:szCs w:val="32"/>
        </w:rPr>
        <w:t>，津贴补贴9.47万元，奖金37.33万元，</w:t>
      </w:r>
      <w:r w:rsidR="001F624D">
        <w:rPr>
          <w:rFonts w:ascii="仿宋_GB2312" w:eastAsia="仿宋_GB2312" w:hAnsi="宋体" w:cs="仿宋_GB2312" w:hint="eastAsia"/>
          <w:color w:val="000000"/>
          <w:kern w:val="0"/>
          <w:sz w:val="32"/>
          <w:szCs w:val="32"/>
        </w:rPr>
        <w:t>绩效工资62.93万元，伙食补助3.25万元，</w:t>
      </w:r>
      <w:r w:rsidR="005F38A8">
        <w:rPr>
          <w:rFonts w:ascii="仿宋_GB2312" w:eastAsia="仿宋_GB2312" w:hAnsi="宋体" w:cs="仿宋_GB2312" w:hint="eastAsia"/>
          <w:color w:val="000000"/>
          <w:kern w:val="0"/>
          <w:sz w:val="32"/>
          <w:szCs w:val="32"/>
        </w:rPr>
        <w:t>机关事业单位基本养老保险缴费21.83万元，住房公积金24.57万元；</w:t>
      </w:r>
      <w:r w:rsidR="005F38A8">
        <w:rPr>
          <w:rFonts w:ascii="仿宋_GB2312" w:eastAsia="仿宋_GB2312" w:hAnsi="仿宋_GB2312" w:cs="仿宋_GB2312" w:hint="eastAsia"/>
          <w:color w:val="000000"/>
          <w:kern w:val="0"/>
          <w:sz w:val="31"/>
          <w:szCs w:val="31"/>
        </w:rPr>
        <w:t>对个人和家庭的补助5.17万元</w:t>
      </w:r>
      <w:r>
        <w:rPr>
          <w:rFonts w:ascii="仿宋_GB2312" w:eastAsia="仿宋_GB2312" w:hAnsi="宋体" w:cs="仿宋_GB2312" w:hint="eastAsia"/>
          <w:color w:val="000000"/>
          <w:kern w:val="0"/>
          <w:sz w:val="32"/>
          <w:szCs w:val="32"/>
        </w:rPr>
        <w:t>。</w:t>
      </w:r>
    </w:p>
    <w:p w:rsidR="00B87E2E" w:rsidRDefault="005740CD">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lastRenderedPageBreak/>
        <w:t>公用经费</w:t>
      </w:r>
      <w:r w:rsidR="004D1309">
        <w:rPr>
          <w:rFonts w:ascii="仿宋_GB2312" w:eastAsia="仿宋_GB2312" w:hAnsi="仿宋_GB2312" w:cs="仿宋_GB2312" w:hint="eastAsia"/>
          <w:color w:val="000000"/>
          <w:kern w:val="0"/>
          <w:sz w:val="31"/>
          <w:szCs w:val="31"/>
        </w:rPr>
        <w:t>4.73</w:t>
      </w:r>
      <w:r>
        <w:rPr>
          <w:rFonts w:ascii="仿宋_GB2312" w:eastAsia="仿宋_GB2312" w:hAnsi="宋体" w:cs="仿宋_GB2312"/>
          <w:color w:val="000000"/>
          <w:kern w:val="0"/>
          <w:sz w:val="32"/>
          <w:szCs w:val="32"/>
        </w:rPr>
        <w:t>万元，主要包括</w:t>
      </w:r>
      <w:r w:rsidR="001F624D">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办公费</w:t>
      </w:r>
      <w:r w:rsidR="001F624D">
        <w:rPr>
          <w:rFonts w:ascii="仿宋_GB2312" w:eastAsia="仿宋_GB2312" w:hAnsi="宋体" w:cs="仿宋_GB2312" w:hint="eastAsia"/>
          <w:color w:val="000000"/>
          <w:kern w:val="0"/>
          <w:sz w:val="32"/>
          <w:szCs w:val="32"/>
        </w:rPr>
        <w:t>0.12</w:t>
      </w:r>
      <w:r>
        <w:rPr>
          <w:rFonts w:ascii="仿宋_GB2312" w:eastAsia="仿宋_GB2312" w:hAnsi="宋体" w:cs="仿宋_GB2312" w:hint="eastAsia"/>
          <w:color w:val="000000"/>
          <w:kern w:val="0"/>
          <w:sz w:val="32"/>
          <w:szCs w:val="32"/>
        </w:rPr>
        <w:t>万元</w:t>
      </w:r>
      <w:r w:rsidR="001F624D">
        <w:rPr>
          <w:rFonts w:ascii="仿宋_GB2312" w:eastAsia="仿宋_GB2312" w:hAnsi="宋体" w:cs="仿宋_GB2312" w:hint="eastAsia"/>
          <w:color w:val="000000"/>
          <w:kern w:val="0"/>
          <w:sz w:val="32"/>
          <w:szCs w:val="32"/>
        </w:rPr>
        <w:t>，印刷费0.45万元，邮电费2.39万元，工会经费1.5万元，其他交通费0.04万元，其他商品服务支出0.25万元</w:t>
      </w:r>
      <w:r>
        <w:rPr>
          <w:rFonts w:ascii="仿宋_GB2312" w:eastAsia="仿宋_GB2312" w:hAnsi="宋体" w:cs="仿宋_GB2312" w:hint="eastAsia"/>
          <w:color w:val="000000"/>
          <w:kern w:val="0"/>
          <w:sz w:val="32"/>
          <w:szCs w:val="32"/>
        </w:rPr>
        <w:t>。</w:t>
      </w:r>
    </w:p>
    <w:p w:rsidR="00B87E2E" w:rsidRDefault="005740C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p>
    <w:p w:rsidR="00B87E2E" w:rsidRDefault="005740CD">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B87E2E" w:rsidRDefault="005740CD">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7455F4">
        <w:rPr>
          <w:rFonts w:ascii="仿宋_GB2312" w:eastAsia="仿宋_GB2312" w:hAnsi="宋体" w:cs="仿宋_GB2312" w:hint="eastAsia"/>
          <w:color w:val="000000"/>
          <w:kern w:val="0"/>
          <w:sz w:val="32"/>
          <w:szCs w:val="32"/>
        </w:rPr>
        <w:t>2.7</w:t>
      </w:r>
      <w:r>
        <w:rPr>
          <w:rFonts w:ascii="仿宋_GB2312" w:eastAsia="仿宋_GB2312" w:hAnsi="宋体" w:cs="仿宋_GB2312"/>
          <w:color w:val="000000"/>
          <w:kern w:val="0"/>
          <w:sz w:val="32"/>
          <w:szCs w:val="32"/>
        </w:rPr>
        <w:t>万元，支出决算为</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7455F4">
        <w:rPr>
          <w:rFonts w:ascii="仿宋_GB2312" w:eastAsia="仿宋_GB2312" w:hAnsi="宋体" w:cs="仿宋_GB2312" w:hint="eastAsia"/>
          <w:color w:val="000000"/>
          <w:kern w:val="0"/>
          <w:sz w:val="32"/>
          <w:szCs w:val="32"/>
        </w:rPr>
        <w:t>2.7</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7455F4">
        <w:rPr>
          <w:rFonts w:ascii="仿宋_GB2312" w:eastAsia="仿宋_GB2312" w:hAnsi="宋体" w:cs="仿宋_GB2312" w:hint="eastAsia"/>
          <w:color w:val="000000"/>
          <w:kern w:val="0"/>
          <w:sz w:val="32"/>
          <w:szCs w:val="32"/>
        </w:rPr>
        <w:t>本</w:t>
      </w:r>
      <w:r w:rsidR="00227AFF">
        <w:rPr>
          <w:rFonts w:ascii="仿宋_GB2312" w:eastAsia="仿宋_GB2312" w:hAnsi="宋体" w:cs="仿宋_GB2312" w:hint="eastAsia"/>
          <w:color w:val="000000"/>
          <w:kern w:val="0"/>
          <w:sz w:val="32"/>
          <w:szCs w:val="32"/>
        </w:rPr>
        <w:t>单位无公务车及公务接待</w:t>
      </w:r>
      <w:r>
        <w:rPr>
          <w:rFonts w:ascii="仿宋_GB2312" w:eastAsia="仿宋_GB2312" w:hAnsi="宋体" w:cs="仿宋_GB2312" w:hint="eastAsia"/>
          <w:color w:val="000000"/>
          <w:kern w:val="0"/>
          <w:sz w:val="32"/>
          <w:szCs w:val="32"/>
        </w:rPr>
        <w:t>。</w:t>
      </w:r>
    </w:p>
    <w:p w:rsidR="00B87E2E" w:rsidRDefault="005740C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87E2E" w:rsidRDefault="005740CD">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%；公务接待费支出决算</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sidR="007455F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%。具体情况如下：</w:t>
      </w:r>
    </w:p>
    <w:p w:rsidR="00163E60" w:rsidRDefault="00163E60">
      <w:pPr>
        <w:ind w:firstLineChars="200" w:firstLine="643"/>
        <w:rPr>
          <w:rFonts w:ascii="仿宋_GB2312" w:eastAsia="仿宋_GB2312" w:hAnsi="仿宋"/>
          <w:b/>
          <w:bCs/>
          <w:sz w:val="32"/>
          <w:szCs w:val="32"/>
        </w:rPr>
      </w:pPr>
      <w:r>
        <w:rPr>
          <w:rFonts w:ascii="仿宋_GB2312" w:eastAsia="仿宋_GB2312" w:hAnsi="仿宋" w:hint="eastAsia"/>
          <w:b/>
          <w:bCs/>
          <w:noProof/>
          <w:sz w:val="32"/>
          <w:szCs w:val="32"/>
        </w:rPr>
        <w:drawing>
          <wp:anchor distT="0" distB="0" distL="114300" distR="114300" simplePos="0" relativeHeight="251670528" behindDoc="0" locked="0" layoutInCell="1" allowOverlap="1">
            <wp:simplePos x="0" y="0"/>
            <wp:positionH relativeFrom="column">
              <wp:posOffset>-2540</wp:posOffset>
            </wp:positionH>
            <wp:positionV relativeFrom="paragraph">
              <wp:posOffset>106891</wp:posOffset>
            </wp:positionV>
            <wp:extent cx="5387128" cy="2887133"/>
            <wp:effectExtent l="19050" t="0" r="23072" b="8467"/>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63E60" w:rsidRDefault="00163E60">
      <w:pPr>
        <w:ind w:firstLineChars="200" w:firstLine="643"/>
        <w:rPr>
          <w:rFonts w:ascii="仿宋_GB2312" w:eastAsia="仿宋_GB2312" w:hAnsi="仿宋"/>
          <w:b/>
          <w:bCs/>
          <w:sz w:val="32"/>
          <w:szCs w:val="32"/>
        </w:rPr>
      </w:pPr>
    </w:p>
    <w:p w:rsidR="00163E60" w:rsidRDefault="00163E60">
      <w:pPr>
        <w:ind w:firstLineChars="200" w:firstLine="643"/>
        <w:rPr>
          <w:rFonts w:ascii="仿宋_GB2312" w:eastAsia="仿宋_GB2312" w:hAnsi="仿宋"/>
          <w:b/>
          <w:bCs/>
          <w:sz w:val="32"/>
          <w:szCs w:val="32"/>
        </w:rPr>
      </w:pPr>
    </w:p>
    <w:p w:rsidR="00163E60" w:rsidRDefault="00163E60">
      <w:pPr>
        <w:ind w:firstLineChars="200" w:firstLine="643"/>
        <w:rPr>
          <w:rFonts w:ascii="仿宋_GB2312" w:eastAsia="仿宋_GB2312" w:hAnsi="仿宋"/>
          <w:b/>
          <w:bCs/>
          <w:sz w:val="32"/>
          <w:szCs w:val="32"/>
        </w:rPr>
      </w:pPr>
    </w:p>
    <w:p w:rsidR="00163E60" w:rsidRDefault="00163E60">
      <w:pPr>
        <w:ind w:firstLineChars="200" w:firstLine="643"/>
        <w:rPr>
          <w:rFonts w:ascii="仿宋_GB2312" w:eastAsia="仿宋_GB2312" w:hAnsi="仿宋"/>
          <w:b/>
          <w:bCs/>
          <w:sz w:val="32"/>
          <w:szCs w:val="32"/>
        </w:rPr>
      </w:pPr>
    </w:p>
    <w:p w:rsidR="00163E60" w:rsidRDefault="00163E60">
      <w:pPr>
        <w:ind w:firstLineChars="200" w:firstLine="643"/>
        <w:rPr>
          <w:rFonts w:ascii="仿宋_GB2312" w:eastAsia="仿宋_GB2312" w:hAnsi="仿宋"/>
          <w:b/>
          <w:bCs/>
          <w:sz w:val="32"/>
          <w:szCs w:val="32"/>
        </w:rPr>
      </w:pPr>
    </w:p>
    <w:p w:rsidR="00B87E2E" w:rsidRDefault="005740CD">
      <w:pPr>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87E2E" w:rsidRDefault="005740CD">
      <w:pPr>
        <w:widowControl/>
        <w:ind w:firstLineChars="200" w:firstLine="640"/>
        <w:jc w:val="left"/>
      </w:pPr>
      <w:r>
        <w:rPr>
          <w:rFonts w:ascii="仿宋_GB2312" w:eastAsia="仿宋_GB2312" w:hAnsi="仿宋" w:hint="eastAsia"/>
          <w:sz w:val="32"/>
          <w:szCs w:val="32"/>
        </w:rPr>
        <w:t>2019年因公出国（境）团组</w:t>
      </w:r>
      <w:r w:rsidR="00227AF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227AF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5570F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227AFF">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2"/>
          <w:szCs w:val="32"/>
        </w:rPr>
        <w:t>。</w:t>
      </w:r>
    </w:p>
    <w:p w:rsidR="00B87E2E" w:rsidRDefault="005740CD">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87E2E" w:rsidRDefault="005740CD">
      <w:pPr>
        <w:widowControl/>
        <w:ind w:firstLineChars="200" w:firstLine="640"/>
        <w:jc w:val="left"/>
      </w:pPr>
      <w:r>
        <w:rPr>
          <w:rFonts w:ascii="仿宋_GB2312" w:eastAsia="仿宋_GB2312" w:hAnsi="仿宋" w:hint="eastAsia"/>
          <w:sz w:val="32"/>
          <w:szCs w:val="32"/>
        </w:rPr>
        <w:t>2019年购置车辆</w:t>
      </w:r>
      <w:r w:rsidR="00227AF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sidR="00227AFF">
        <w:rPr>
          <w:rFonts w:ascii="仿宋_GB2312" w:eastAsia="仿宋_GB2312" w:hAnsi="仿宋_GB2312" w:cs="仿宋_GB2312" w:hint="eastAsia"/>
          <w:sz w:val="32"/>
          <w:szCs w:val="32"/>
        </w:rPr>
        <w:t>0</w:t>
      </w:r>
      <w:r>
        <w:rPr>
          <w:rFonts w:ascii="仿宋_GB2312" w:eastAsia="仿宋_GB2312" w:hAnsi="宋体" w:cs="仿宋_GB2312"/>
          <w:color w:val="000000"/>
          <w:kern w:val="0"/>
          <w:sz w:val="32"/>
          <w:szCs w:val="32"/>
        </w:rPr>
        <w:t>，完成预算的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227AFF">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2"/>
          <w:szCs w:val="32"/>
        </w:rPr>
        <w:t>。</w:t>
      </w:r>
    </w:p>
    <w:p w:rsidR="00B87E2E" w:rsidRDefault="005740CD">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87E2E" w:rsidRDefault="005740C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1.35</w:t>
      </w:r>
      <w:r>
        <w:rPr>
          <w:rFonts w:ascii="仿宋_GB2312" w:eastAsia="仿宋_GB2312" w:hAnsi="宋体" w:cs="仿宋_GB2312"/>
          <w:color w:val="000000"/>
          <w:kern w:val="0"/>
          <w:sz w:val="32"/>
          <w:szCs w:val="32"/>
        </w:rPr>
        <w:t>万元，支出决算为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227AFF">
        <w:rPr>
          <w:rFonts w:ascii="仿宋_GB2312" w:eastAsia="仿宋_GB2312" w:hAnsi="宋体" w:cs="仿宋_GB2312" w:hint="eastAsia"/>
          <w:color w:val="000000"/>
          <w:kern w:val="0"/>
          <w:sz w:val="32"/>
          <w:szCs w:val="32"/>
        </w:rPr>
        <w:t>1.35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227AFF">
        <w:rPr>
          <w:rFonts w:ascii="仿宋_GB2312" w:eastAsia="仿宋_GB2312" w:hAnsi="宋体" w:cs="仿宋_GB2312" w:hint="eastAsia"/>
          <w:color w:val="000000"/>
          <w:kern w:val="0"/>
          <w:sz w:val="32"/>
          <w:szCs w:val="32"/>
        </w:rPr>
        <w:t>本单位无公务用车</w:t>
      </w:r>
      <w:r>
        <w:rPr>
          <w:rFonts w:ascii="仿宋_GB2312" w:eastAsia="仿宋_GB2312" w:hAnsi="宋体" w:cs="仿宋_GB2312" w:hint="eastAsia"/>
          <w:color w:val="000000"/>
          <w:kern w:val="0"/>
          <w:sz w:val="32"/>
          <w:szCs w:val="32"/>
        </w:rPr>
        <w:t>。</w:t>
      </w:r>
    </w:p>
    <w:p w:rsidR="00B87E2E" w:rsidRDefault="005740CD">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87E2E" w:rsidRDefault="005740C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227AF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227AF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1.35</w:t>
      </w:r>
      <w:r>
        <w:rPr>
          <w:rFonts w:ascii="仿宋_GB2312" w:eastAsia="仿宋_GB2312" w:hAnsi="宋体" w:cs="仿宋_GB2312"/>
          <w:color w:val="000000"/>
          <w:kern w:val="0"/>
          <w:sz w:val="32"/>
          <w:szCs w:val="32"/>
        </w:rPr>
        <w:t>万元，支出决算为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sidR="00227AFF">
        <w:rPr>
          <w:rFonts w:ascii="仿宋_GB2312" w:eastAsia="仿宋_GB2312" w:hAnsi="宋体" w:cs="仿宋_GB2312" w:hint="eastAsia"/>
          <w:color w:val="000000"/>
          <w:kern w:val="0"/>
          <w:sz w:val="32"/>
          <w:szCs w:val="32"/>
        </w:rPr>
        <w:t>1.35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227AFF">
        <w:rPr>
          <w:rFonts w:ascii="仿宋_GB2312" w:eastAsia="仿宋_GB2312" w:hAnsi="宋体" w:cs="仿宋_GB2312" w:hint="eastAsia"/>
          <w:color w:val="000000"/>
          <w:kern w:val="0"/>
          <w:sz w:val="32"/>
          <w:szCs w:val="32"/>
        </w:rPr>
        <w:t>本单位无公务接待</w:t>
      </w:r>
      <w:r>
        <w:rPr>
          <w:rFonts w:ascii="仿宋_GB2312" w:eastAsia="仿宋_GB2312" w:hAnsi="宋体" w:cs="仿宋_GB2312" w:hint="eastAsia"/>
          <w:color w:val="000000"/>
          <w:kern w:val="0"/>
          <w:sz w:val="32"/>
          <w:szCs w:val="32"/>
        </w:rPr>
        <w:t>。</w:t>
      </w:r>
    </w:p>
    <w:p w:rsidR="00B87E2E" w:rsidRDefault="005740CD">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B87E2E" w:rsidRDefault="005740C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227AFF">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2"/>
          <w:szCs w:val="32"/>
        </w:rPr>
        <w:t>。</w:t>
      </w:r>
    </w:p>
    <w:p w:rsidR="00B87E2E" w:rsidRDefault="005740C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B87E2E" w:rsidRDefault="005740C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sidR="00227AF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227AFF">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2"/>
          <w:szCs w:val="32"/>
        </w:rPr>
        <w:t>。</w:t>
      </w:r>
    </w:p>
    <w:p w:rsidR="00B87E2E" w:rsidRDefault="005740C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lastRenderedPageBreak/>
        <w:t>八、政府性基金预算财政拨款收入支出情况说明</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r w:rsidR="00227AFF">
        <w:rPr>
          <w:rFonts w:ascii="仿宋_GB2312" w:eastAsia="仿宋_GB2312" w:hAnsi="仿宋_GB2312" w:cs="仿宋_GB2312" w:hint="eastAsia"/>
          <w:sz w:val="32"/>
          <w:szCs w:val="32"/>
        </w:rPr>
        <w:t>。</w:t>
      </w:r>
    </w:p>
    <w:p w:rsidR="00B87E2E" w:rsidRDefault="005740C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r w:rsidR="00227AFF">
        <w:rPr>
          <w:rFonts w:ascii="仿宋_GB2312" w:eastAsia="仿宋_GB2312" w:hAnsi="仿宋_GB2312" w:cs="仿宋_GB2312" w:hint="eastAsia"/>
          <w:sz w:val="32"/>
          <w:szCs w:val="32"/>
        </w:rPr>
        <w:t>。</w:t>
      </w:r>
    </w:p>
    <w:p w:rsidR="00B87E2E" w:rsidRDefault="005740C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B87E2E" w:rsidRDefault="005740CD">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87E2E" w:rsidRDefault="005740CD">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年一般公共预算项目支出全面开展绩效自评，其中，一级项目</w:t>
      </w:r>
      <w:r w:rsidR="006B1746">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sidR="006A66B4">
        <w:rPr>
          <w:rFonts w:ascii="仿宋_GB2312" w:eastAsia="仿宋_GB2312" w:hAnsi="仿宋_GB2312" w:cs="仿宋_GB2312" w:hint="eastAsia"/>
          <w:sz w:val="32"/>
          <w:szCs w:val="32"/>
        </w:rPr>
        <w:t>0</w:t>
      </w:r>
      <w:r>
        <w:rPr>
          <w:rFonts w:ascii="仿宋_GB2312" w:eastAsia="仿宋_GB2312" w:hAnsi="仿宋_GB2312" w:cs="仿宋_GB2312"/>
          <w:sz w:val="32"/>
          <w:szCs w:val="32"/>
        </w:rPr>
        <w:t>个，共涉及资金</w:t>
      </w:r>
      <w:r w:rsidR="006A4795">
        <w:rPr>
          <w:rFonts w:ascii="仿宋_GB2312" w:eastAsia="仿宋_GB2312" w:hAnsi="仿宋_GB2312" w:cs="仿宋_GB2312" w:hint="eastAsia"/>
          <w:sz w:val="32"/>
          <w:szCs w:val="32"/>
        </w:rPr>
        <w:t>20</w:t>
      </w:r>
      <w:r>
        <w:rPr>
          <w:rFonts w:ascii="仿宋_GB2312" w:eastAsia="仿宋_GB2312" w:hAnsi="仿宋_GB2312" w:cs="仿宋_GB2312"/>
          <w:sz w:val="32"/>
          <w:szCs w:val="32"/>
        </w:rPr>
        <w:t>万元，占一般公共预算项目支出总额的</w:t>
      </w:r>
      <w:r w:rsidR="001E4842">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t>2019年</w:t>
      </w:r>
      <w:r w:rsidR="006A4795">
        <w:rPr>
          <w:rFonts w:ascii="仿宋_GB2312" w:eastAsia="仿宋_GB2312" w:hAnsi="仿宋_GB2312" w:cs="仿宋_GB2312" w:hint="eastAsia"/>
          <w:color w:val="000000"/>
          <w:kern w:val="0"/>
          <w:sz w:val="31"/>
          <w:szCs w:val="31"/>
        </w:rPr>
        <w:t>无</w:t>
      </w:r>
      <w:r>
        <w:rPr>
          <w:rFonts w:ascii="仿宋_GB2312" w:eastAsia="仿宋_GB2312" w:hAnsi="仿宋_GB2312" w:cs="仿宋_GB2312"/>
          <w:color w:val="000000"/>
          <w:kern w:val="0"/>
          <w:sz w:val="31"/>
          <w:szCs w:val="31"/>
        </w:rPr>
        <w:t>政府性基金预算项目支出，共涉及资金</w:t>
      </w:r>
      <w:r w:rsidR="006A4795">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sidR="006A4795">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r w:rsidR="0022481D">
        <w:rPr>
          <w:rFonts w:ascii="仿宋_GB2312" w:eastAsia="仿宋_GB2312" w:hAnsi="仿宋_GB2312" w:cs="仿宋_GB2312" w:hint="eastAsia"/>
          <w:color w:val="000000"/>
          <w:kern w:val="0"/>
          <w:sz w:val="31"/>
          <w:szCs w:val="31"/>
        </w:rPr>
        <w:t>。</w:t>
      </w:r>
    </w:p>
    <w:p w:rsidR="00B87E2E" w:rsidRDefault="005740C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B87E2E" w:rsidRDefault="005C780F" w:rsidP="005C780F">
      <w:pPr>
        <w:widowControl/>
        <w:ind w:firstLineChars="200" w:firstLine="620"/>
        <w:jc w:val="left"/>
      </w:pPr>
      <w:r w:rsidRPr="005C780F">
        <w:rPr>
          <w:rFonts w:ascii="仿宋_GB2312" w:eastAsia="仿宋_GB2312" w:hAnsi="仿宋_GB2312" w:cs="仿宋_GB2312" w:hint="eastAsia"/>
          <w:color w:val="000000"/>
          <w:kern w:val="0"/>
          <w:sz w:val="31"/>
          <w:szCs w:val="31"/>
        </w:rPr>
        <w:t>网络信息系统运行、报账耗材、财务培训</w:t>
      </w:r>
      <w:r w:rsidR="005740CD">
        <w:rPr>
          <w:rFonts w:ascii="仿宋_GB2312" w:eastAsia="仿宋_GB2312" w:hAnsi="仿宋_GB2312" w:cs="仿宋_GB2312"/>
          <w:color w:val="000000"/>
          <w:kern w:val="0"/>
          <w:sz w:val="31"/>
          <w:szCs w:val="31"/>
        </w:rPr>
        <w:t>项目绩效自评综述：根据年初设定的绩效目标，项目自评得分</w:t>
      </w:r>
      <w:r w:rsidR="003B0F4D">
        <w:rPr>
          <w:rFonts w:ascii="仿宋_GB2312" w:eastAsia="仿宋_GB2312" w:hAnsi="仿宋_GB2312" w:cs="仿宋_GB2312" w:hint="eastAsia"/>
          <w:color w:val="000000"/>
          <w:kern w:val="0"/>
          <w:sz w:val="31"/>
          <w:szCs w:val="31"/>
        </w:rPr>
        <w:t>85</w:t>
      </w:r>
      <w:r w:rsidR="005740CD">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20</w:t>
      </w:r>
      <w:r w:rsidR="005740CD">
        <w:rPr>
          <w:rFonts w:ascii="仿宋_GB2312" w:eastAsia="仿宋_GB2312" w:hAnsi="仿宋_GB2312" w:cs="仿宋_GB2312"/>
          <w:color w:val="000000"/>
          <w:kern w:val="0"/>
          <w:sz w:val="31"/>
          <w:szCs w:val="31"/>
        </w:rPr>
        <w:t>万元，执行数</w:t>
      </w:r>
      <w:r w:rsidR="003B0F4D">
        <w:rPr>
          <w:rFonts w:ascii="仿宋_GB2312" w:eastAsia="仿宋_GB2312" w:hAnsi="仿宋_GB2312" w:cs="仿宋_GB2312" w:hint="eastAsia"/>
          <w:color w:val="000000"/>
          <w:kern w:val="0"/>
          <w:sz w:val="31"/>
          <w:szCs w:val="31"/>
        </w:rPr>
        <w:t>11.52</w:t>
      </w:r>
      <w:r w:rsidR="005740CD">
        <w:rPr>
          <w:rFonts w:ascii="仿宋_GB2312" w:eastAsia="仿宋_GB2312" w:hAnsi="仿宋_GB2312" w:cs="仿宋_GB2312"/>
          <w:color w:val="000000"/>
          <w:kern w:val="0"/>
          <w:sz w:val="31"/>
          <w:szCs w:val="31"/>
        </w:rPr>
        <w:t>万元，完成预算的</w:t>
      </w:r>
      <w:r w:rsidR="003B0F4D">
        <w:rPr>
          <w:rFonts w:ascii="仿宋_GB2312" w:eastAsia="仿宋_GB2312" w:hAnsi="仿宋_GB2312" w:cs="仿宋_GB2312" w:hint="eastAsia"/>
          <w:color w:val="000000"/>
          <w:kern w:val="0"/>
          <w:sz w:val="31"/>
          <w:szCs w:val="31"/>
        </w:rPr>
        <w:t>58</w:t>
      </w:r>
      <w:r w:rsidR="005740CD">
        <w:rPr>
          <w:rFonts w:ascii="仿宋_GB2312" w:eastAsia="仿宋_GB2312" w:hAnsi="仿宋_GB2312" w:cs="仿宋_GB2312"/>
          <w:color w:val="000000"/>
          <w:kern w:val="0"/>
          <w:sz w:val="31"/>
          <w:szCs w:val="31"/>
        </w:rPr>
        <w:t>%。主要产出和效果：通过项目实施</w:t>
      </w:r>
      <w:r w:rsidR="003B0F4D" w:rsidRPr="003B0F4D">
        <w:rPr>
          <w:rFonts w:ascii="仿宋_GB2312" w:eastAsia="仿宋_GB2312" w:hAnsi="仿宋_GB2312" w:cs="仿宋_GB2312" w:hint="eastAsia"/>
          <w:color w:val="000000"/>
          <w:kern w:val="0"/>
          <w:sz w:val="31"/>
          <w:szCs w:val="31"/>
        </w:rPr>
        <w:t>保证日常网络信息通畅，日常报账业务所需材料充足，按期做好财务人员的业务培训等，资金合理使用，</w:t>
      </w:r>
      <w:r w:rsidR="003B0F4D">
        <w:rPr>
          <w:rFonts w:ascii="仿宋_GB2312" w:eastAsia="仿宋_GB2312" w:hAnsi="仿宋_GB2312" w:cs="仿宋_GB2312" w:hint="eastAsia"/>
          <w:color w:val="000000"/>
          <w:kern w:val="0"/>
          <w:sz w:val="31"/>
          <w:szCs w:val="31"/>
        </w:rPr>
        <w:t>基本上</w:t>
      </w:r>
      <w:r w:rsidR="003B0F4D" w:rsidRPr="003B0F4D">
        <w:rPr>
          <w:rFonts w:ascii="仿宋_GB2312" w:eastAsia="仿宋_GB2312" w:hAnsi="仿宋_GB2312" w:cs="仿宋_GB2312" w:hint="eastAsia"/>
          <w:color w:val="000000"/>
          <w:kern w:val="0"/>
          <w:sz w:val="31"/>
          <w:szCs w:val="31"/>
        </w:rPr>
        <w:t>达到预期效果</w:t>
      </w:r>
      <w:r w:rsidR="005740CD">
        <w:rPr>
          <w:rFonts w:ascii="仿宋_GB2312" w:eastAsia="仿宋_GB2312" w:hAnsi="仿宋_GB2312" w:cs="仿宋_GB2312" w:hint="eastAsia"/>
          <w:color w:val="000000"/>
          <w:kern w:val="0"/>
          <w:sz w:val="31"/>
          <w:szCs w:val="31"/>
        </w:rPr>
        <w:t>。</w:t>
      </w:r>
      <w:r w:rsidR="005740CD">
        <w:rPr>
          <w:rFonts w:ascii="仿宋_GB2312" w:eastAsia="仿宋_GB2312" w:hAnsi="仿宋_GB2312" w:cs="仿宋_GB2312"/>
          <w:color w:val="000000"/>
          <w:kern w:val="0"/>
          <w:sz w:val="31"/>
          <w:szCs w:val="31"/>
        </w:rPr>
        <w:t>发现的问题及原因：</w:t>
      </w:r>
      <w:r w:rsidR="003B0F4D">
        <w:rPr>
          <w:rFonts w:ascii="仿宋_GB2312" w:eastAsia="仿宋_GB2312" w:hAnsi="仿宋_GB2312" w:cs="仿宋_GB2312" w:hint="eastAsia"/>
          <w:color w:val="000000"/>
          <w:kern w:val="0"/>
          <w:sz w:val="31"/>
          <w:szCs w:val="31"/>
        </w:rPr>
        <w:t>网络信息系统没有专业人员，系统信息方面需要加强</w:t>
      </w:r>
      <w:r w:rsidR="005740CD">
        <w:rPr>
          <w:rFonts w:ascii="仿宋_GB2312" w:eastAsia="仿宋_GB2312" w:hAnsi="仿宋_GB2312" w:cs="仿宋_GB2312"/>
          <w:color w:val="000000"/>
          <w:kern w:val="0"/>
          <w:sz w:val="31"/>
          <w:szCs w:val="31"/>
        </w:rPr>
        <w:t>。下一步改进措施：</w:t>
      </w:r>
      <w:r w:rsidR="003B0F4D">
        <w:rPr>
          <w:rFonts w:ascii="仿宋_GB2312" w:eastAsia="仿宋_GB2312" w:hAnsi="仿宋_GB2312" w:cs="仿宋_GB2312" w:hint="eastAsia"/>
          <w:color w:val="000000"/>
          <w:kern w:val="0"/>
          <w:sz w:val="31"/>
          <w:szCs w:val="31"/>
        </w:rPr>
        <w:t>继续执行节约减能</w:t>
      </w:r>
      <w:r w:rsidR="005740CD">
        <w:rPr>
          <w:rFonts w:ascii="仿宋_GB2312" w:eastAsia="仿宋_GB2312" w:hAnsi="仿宋_GB2312" w:cs="仿宋_GB2312" w:hint="eastAsia"/>
          <w:color w:val="000000"/>
          <w:kern w:val="0"/>
          <w:sz w:val="31"/>
          <w:szCs w:val="31"/>
        </w:rPr>
        <w:t>。</w:t>
      </w:r>
    </w:p>
    <w:p w:rsidR="00B87E2E" w:rsidRDefault="00046BA4">
      <w:pPr>
        <w:widowControl/>
        <w:jc w:val="left"/>
        <w:rPr>
          <w:rFonts w:ascii="楷体" w:eastAsia="楷体" w:hAnsi="楷体" w:cs="楷体"/>
          <w:sz w:val="32"/>
          <w:szCs w:val="32"/>
        </w:rPr>
        <w:sectPr w:rsidR="00B87E2E">
          <w:footerReference w:type="default" r:id="rId16"/>
          <w:pgSz w:w="11906" w:h="16838"/>
          <w:pgMar w:top="1985" w:right="1588" w:bottom="2098" w:left="1474" w:header="851" w:footer="992" w:gutter="0"/>
          <w:cols w:space="0"/>
          <w:docGrid w:type="lines" w:linePitch="315"/>
        </w:sectPr>
      </w:pPr>
      <w:r w:rsidRPr="00B87E2E">
        <w:rPr>
          <w:rFonts w:ascii="楷体" w:eastAsia="楷体" w:hAnsi="楷体" w:cs="楷体" w:hint="eastAsia"/>
          <w:sz w:val="32"/>
          <w:szCs w:val="32"/>
        </w:rPr>
        <w:object w:dxaOrig="9060" w:dyaOrig="1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5pt;height:592pt" o:ole="">
            <v:imagedata r:id="rId17" o:title=""/>
          </v:shape>
          <o:OLEObject Type="Embed" ProgID="Excel.Sheet.8" ShapeID="_x0000_i1025" DrawAspect="Content" ObjectID="_1665297603" r:id="rId18"/>
        </w:object>
      </w:r>
    </w:p>
    <w:p w:rsidR="00B87E2E" w:rsidRDefault="00D808E8">
      <w:pPr>
        <w:widowControl/>
        <w:jc w:val="left"/>
        <w:rPr>
          <w:rFonts w:ascii="楷体" w:eastAsia="楷体" w:hAnsi="楷体" w:cs="楷体"/>
          <w:sz w:val="32"/>
          <w:szCs w:val="32"/>
        </w:rPr>
      </w:pPr>
      <w:r w:rsidRPr="00B87E2E">
        <w:rPr>
          <w:rFonts w:ascii="楷体" w:eastAsia="楷体" w:hAnsi="楷体" w:cs="楷体" w:hint="eastAsia"/>
          <w:sz w:val="32"/>
          <w:szCs w:val="32"/>
        </w:rPr>
        <w:object w:dxaOrig="15928" w:dyaOrig="31588">
          <v:shape id="_x0000_i1026" type="#_x0000_t75" style="width:630.65pt;height:1279.35pt" o:ole="">
            <v:imagedata r:id="rId19" o:title=""/>
          </v:shape>
          <o:OLEObject Type="Embed" ProgID="Excel.Sheet.8" ShapeID="_x0000_i1026" DrawAspect="Content" ObjectID="_1665297604" r:id="rId20"/>
        </w:object>
      </w:r>
    </w:p>
    <w:p w:rsidR="00B87E2E" w:rsidRDefault="008D31BC">
      <w:pPr>
        <w:rPr>
          <w:rFonts w:ascii="楷体" w:eastAsia="楷体" w:hAnsi="楷体" w:cs="楷体"/>
          <w:sz w:val="32"/>
          <w:szCs w:val="32"/>
        </w:rPr>
      </w:pPr>
      <w:r w:rsidRPr="00B87E2E">
        <w:rPr>
          <w:rFonts w:ascii="楷体" w:eastAsia="楷体" w:hAnsi="楷体" w:cs="楷体" w:hint="eastAsia"/>
          <w:sz w:val="32"/>
          <w:szCs w:val="32"/>
        </w:rPr>
        <w:object w:dxaOrig="14509" w:dyaOrig="8421">
          <v:shape id="_x0000_i1027" type="#_x0000_t75" style="width:651.35pt;height:362.65pt" o:ole="">
            <v:imagedata r:id="rId21" o:title=""/>
          </v:shape>
          <o:OLEObject Type="Embed" ProgID="Excel.Sheet.8" ShapeID="_x0000_i1027" DrawAspect="Content" ObjectID="_1665297605" r:id="rId22"/>
        </w:object>
      </w:r>
    </w:p>
    <w:p w:rsidR="00B87E2E" w:rsidRDefault="00D808E8">
      <w:pPr>
        <w:widowControl/>
        <w:jc w:val="left"/>
        <w:rPr>
          <w:rFonts w:ascii="楷体" w:eastAsia="楷体" w:hAnsi="楷体" w:cs="楷体"/>
          <w:sz w:val="32"/>
          <w:szCs w:val="32"/>
        </w:rPr>
        <w:sectPr w:rsidR="00B87E2E">
          <w:pgSz w:w="16838" w:h="11906" w:orient="landscape"/>
          <w:pgMar w:top="1588" w:right="2098" w:bottom="1474" w:left="1985" w:header="851" w:footer="992" w:gutter="0"/>
          <w:cols w:space="0"/>
          <w:docGrid w:type="lines" w:linePitch="315"/>
        </w:sectPr>
      </w:pPr>
      <w:r w:rsidRPr="00B87E2E">
        <w:rPr>
          <w:rFonts w:ascii="楷体" w:eastAsia="楷体" w:hAnsi="楷体" w:cs="楷体" w:hint="eastAsia"/>
          <w:sz w:val="32"/>
          <w:szCs w:val="32"/>
        </w:rPr>
        <w:object w:dxaOrig="14509" w:dyaOrig="8321">
          <v:shape id="_x0000_i1028" type="#_x0000_t75" style="width:644pt;height:371.35pt" o:ole="">
            <v:imagedata r:id="rId23" o:title=""/>
          </v:shape>
          <o:OLEObject Type="Embed" ProgID="Excel.Sheet.8" ShapeID="_x0000_i1028" DrawAspect="Content" ObjectID="_1665297606" r:id="rId24"/>
        </w:object>
      </w:r>
    </w:p>
    <w:p w:rsidR="00B87E2E" w:rsidRDefault="005740CD">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B87E2E" w:rsidRDefault="005740CD">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B87E2E" w:rsidRDefault="005740CD" w:rsidP="006B1746">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6B1746">
        <w:rPr>
          <w:rFonts w:ascii="仿宋_GB2312" w:eastAsia="仿宋_GB2312" w:hAnsi="宋体" w:cs="仿宋_GB2312" w:hint="eastAsia"/>
          <w:color w:val="000000"/>
          <w:kern w:val="0"/>
          <w:sz w:val="32"/>
          <w:szCs w:val="32"/>
        </w:rPr>
        <w:t>10</w:t>
      </w:r>
      <w:r>
        <w:rPr>
          <w:rFonts w:ascii="仿宋_GB2312" w:eastAsia="仿宋_GB2312" w:hAnsi="宋体" w:cs="仿宋_GB2312"/>
          <w:color w:val="000000"/>
          <w:kern w:val="0"/>
          <w:sz w:val="32"/>
          <w:szCs w:val="32"/>
        </w:rPr>
        <w:t>万元，支出决算为</w:t>
      </w:r>
      <w:r w:rsidR="001E4842">
        <w:rPr>
          <w:rFonts w:ascii="仿宋_GB2312" w:eastAsia="仿宋_GB2312" w:hAnsi="宋体" w:cs="仿宋_GB2312" w:hint="eastAsia"/>
          <w:color w:val="000000"/>
          <w:kern w:val="0"/>
          <w:sz w:val="32"/>
          <w:szCs w:val="32"/>
        </w:rPr>
        <w:t>10</w:t>
      </w:r>
      <w:r>
        <w:rPr>
          <w:rFonts w:ascii="仿宋_GB2312" w:eastAsia="仿宋_GB2312" w:hAnsi="宋体" w:cs="仿宋_GB2312"/>
          <w:color w:val="000000"/>
          <w:kern w:val="0"/>
          <w:sz w:val="32"/>
          <w:szCs w:val="32"/>
        </w:rPr>
        <w:t>万元，完成预算的</w:t>
      </w:r>
      <w:r w:rsidR="001E4842">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sidR="001E4842">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sidR="001E4842">
        <w:rPr>
          <w:rFonts w:ascii="仿宋_GB2312" w:eastAsia="仿宋_GB2312" w:hAnsi="宋体" w:cs="仿宋_GB2312" w:hint="eastAsia"/>
          <w:color w:val="000000"/>
          <w:kern w:val="0"/>
          <w:sz w:val="32"/>
          <w:szCs w:val="32"/>
        </w:rPr>
        <w:t>持平</w:t>
      </w:r>
      <w:r w:rsidR="006B1746">
        <w:rPr>
          <w:rFonts w:ascii="仿宋_GB2312" w:eastAsia="仿宋_GB2312" w:hAnsi="宋体" w:cs="仿宋_GB2312" w:hint="eastAsia"/>
          <w:color w:val="000000"/>
          <w:kern w:val="0"/>
          <w:sz w:val="32"/>
          <w:szCs w:val="32"/>
        </w:rPr>
        <w:t>。</w:t>
      </w:r>
    </w:p>
    <w:p w:rsidR="00B87E2E" w:rsidRDefault="005740C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年无政府采购支出</w:t>
      </w:r>
      <w:r w:rsidR="006B1746">
        <w:rPr>
          <w:rFonts w:ascii="仿宋_GB2312" w:eastAsia="仿宋_GB2312" w:hAnsi="仿宋_GB2312" w:cs="仿宋_GB2312" w:hint="eastAsia"/>
          <w:sz w:val="32"/>
          <w:szCs w:val="32"/>
        </w:rPr>
        <w:t>。</w:t>
      </w:r>
    </w:p>
    <w:p w:rsidR="00B87E2E" w:rsidRDefault="005740C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辆；单价50万元以上的通用设备</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台（套）；单价100万元以上的专用设备</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辆；购置单价50万元以上的通用设备</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台（套）；购置单价100万元以上的专用设备</w:t>
      </w:r>
      <w:r w:rsidR="006B174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B87E2E" w:rsidRDefault="005740CD">
      <w:pPr>
        <w:jc w:val="center"/>
        <w:rPr>
          <w:sz w:val="44"/>
          <w:szCs w:val="44"/>
        </w:rPr>
      </w:pPr>
      <w:r>
        <w:rPr>
          <w:rFonts w:ascii="黑体" w:eastAsia="黑体" w:hAnsi="宋体" w:hint="eastAsia"/>
          <w:color w:val="000000"/>
          <w:kern w:val="0"/>
          <w:sz w:val="44"/>
          <w:szCs w:val="44"/>
        </w:rPr>
        <w:t>第四部分 专业名词解释</w:t>
      </w:r>
    </w:p>
    <w:p w:rsidR="00B87E2E" w:rsidRDefault="005740C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B87E2E" w:rsidRDefault="005740C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B87E2E" w:rsidRDefault="005740CD">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B87E2E" w:rsidSect="00B87E2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BEC" w:rsidRDefault="00E91BEC" w:rsidP="00B87E2E">
      <w:r>
        <w:separator/>
      </w:r>
    </w:p>
  </w:endnote>
  <w:endnote w:type="continuationSeparator" w:id="1">
    <w:p w:rsidR="00E91BEC" w:rsidRDefault="00E91BEC" w:rsidP="00B87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4F" w:rsidRDefault="00AB3A0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9714F" w:rsidRDefault="00AB3A08">
                <w:pPr>
                  <w:pStyle w:val="a5"/>
                </w:pPr>
                <w:fldSimple w:instr=" PAGE  \* MERGEFORMAT ">
                  <w:r w:rsidR="001D5AA6">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BEC" w:rsidRDefault="00E91BEC" w:rsidP="00B87E2E">
      <w:r>
        <w:separator/>
      </w:r>
    </w:p>
  </w:footnote>
  <w:footnote w:type="continuationSeparator" w:id="1">
    <w:p w:rsidR="00E91BEC" w:rsidRDefault="00E91BEC" w:rsidP="00B87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1529"/>
    <w:multiLevelType w:val="hybridMultilevel"/>
    <w:tmpl w:val="1AB4C3A4"/>
    <w:lvl w:ilvl="0" w:tplc="E444A9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95871B4"/>
    <w:multiLevelType w:val="hybridMultilevel"/>
    <w:tmpl w:val="1D56E66E"/>
    <w:lvl w:ilvl="0" w:tplc="55308B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46BA4"/>
    <w:rsid w:val="000508CD"/>
    <w:rsid w:val="00050E89"/>
    <w:rsid w:val="000913DF"/>
    <w:rsid w:val="00094003"/>
    <w:rsid w:val="000A186C"/>
    <w:rsid w:val="000A7CF0"/>
    <w:rsid w:val="000C6E33"/>
    <w:rsid w:val="00146787"/>
    <w:rsid w:val="00163E60"/>
    <w:rsid w:val="00164001"/>
    <w:rsid w:val="0017660F"/>
    <w:rsid w:val="001D5AA6"/>
    <w:rsid w:val="001D7568"/>
    <w:rsid w:val="001E4842"/>
    <w:rsid w:val="001E6E3E"/>
    <w:rsid w:val="001F624D"/>
    <w:rsid w:val="00211AE5"/>
    <w:rsid w:val="00212E73"/>
    <w:rsid w:val="00216445"/>
    <w:rsid w:val="0022481D"/>
    <w:rsid w:val="00227AFF"/>
    <w:rsid w:val="002424C8"/>
    <w:rsid w:val="00250BC5"/>
    <w:rsid w:val="00256721"/>
    <w:rsid w:val="002574D8"/>
    <w:rsid w:val="00282E54"/>
    <w:rsid w:val="0029530A"/>
    <w:rsid w:val="002A7893"/>
    <w:rsid w:val="002C3651"/>
    <w:rsid w:val="002D56DA"/>
    <w:rsid w:val="00315664"/>
    <w:rsid w:val="003364E9"/>
    <w:rsid w:val="00375498"/>
    <w:rsid w:val="00383172"/>
    <w:rsid w:val="0039166B"/>
    <w:rsid w:val="003B0F4D"/>
    <w:rsid w:val="003E2984"/>
    <w:rsid w:val="003F7DC4"/>
    <w:rsid w:val="00401CE7"/>
    <w:rsid w:val="00402E6C"/>
    <w:rsid w:val="0041086E"/>
    <w:rsid w:val="0042234C"/>
    <w:rsid w:val="00422FC4"/>
    <w:rsid w:val="004259D8"/>
    <w:rsid w:val="00452E2E"/>
    <w:rsid w:val="004B6D6E"/>
    <w:rsid w:val="004D1309"/>
    <w:rsid w:val="004E75D8"/>
    <w:rsid w:val="005152F3"/>
    <w:rsid w:val="00546BED"/>
    <w:rsid w:val="005570F3"/>
    <w:rsid w:val="0056483E"/>
    <w:rsid w:val="005740CD"/>
    <w:rsid w:val="005A7EEF"/>
    <w:rsid w:val="005B74B5"/>
    <w:rsid w:val="005C780F"/>
    <w:rsid w:val="005F38A8"/>
    <w:rsid w:val="00605607"/>
    <w:rsid w:val="00652C98"/>
    <w:rsid w:val="006558BE"/>
    <w:rsid w:val="00672652"/>
    <w:rsid w:val="0067618A"/>
    <w:rsid w:val="006914EA"/>
    <w:rsid w:val="006A4795"/>
    <w:rsid w:val="006A66B4"/>
    <w:rsid w:val="006B1746"/>
    <w:rsid w:val="006B480D"/>
    <w:rsid w:val="007455F4"/>
    <w:rsid w:val="00745A14"/>
    <w:rsid w:val="007514B8"/>
    <w:rsid w:val="00757EC9"/>
    <w:rsid w:val="0076160F"/>
    <w:rsid w:val="00791425"/>
    <w:rsid w:val="00796192"/>
    <w:rsid w:val="00813F4A"/>
    <w:rsid w:val="008243D4"/>
    <w:rsid w:val="00840505"/>
    <w:rsid w:val="008549A7"/>
    <w:rsid w:val="00880530"/>
    <w:rsid w:val="00882D40"/>
    <w:rsid w:val="008A7821"/>
    <w:rsid w:val="008D31BC"/>
    <w:rsid w:val="008F684D"/>
    <w:rsid w:val="00915105"/>
    <w:rsid w:val="00932BA7"/>
    <w:rsid w:val="00987CF0"/>
    <w:rsid w:val="009C7BF3"/>
    <w:rsid w:val="009E325E"/>
    <w:rsid w:val="00A0353C"/>
    <w:rsid w:val="00A06335"/>
    <w:rsid w:val="00A24F13"/>
    <w:rsid w:val="00A3127E"/>
    <w:rsid w:val="00A32302"/>
    <w:rsid w:val="00A54544"/>
    <w:rsid w:val="00A82D35"/>
    <w:rsid w:val="00A8649F"/>
    <w:rsid w:val="00A917C8"/>
    <w:rsid w:val="00AB3A08"/>
    <w:rsid w:val="00AC7263"/>
    <w:rsid w:val="00AF71DB"/>
    <w:rsid w:val="00B22B5A"/>
    <w:rsid w:val="00B24A24"/>
    <w:rsid w:val="00B50909"/>
    <w:rsid w:val="00B80654"/>
    <w:rsid w:val="00B819B9"/>
    <w:rsid w:val="00B87E2E"/>
    <w:rsid w:val="00BA471A"/>
    <w:rsid w:val="00BC7DC5"/>
    <w:rsid w:val="00C26810"/>
    <w:rsid w:val="00C41014"/>
    <w:rsid w:val="00C51ED4"/>
    <w:rsid w:val="00C56A26"/>
    <w:rsid w:val="00C9714F"/>
    <w:rsid w:val="00CA7D3C"/>
    <w:rsid w:val="00CB4712"/>
    <w:rsid w:val="00D40FE3"/>
    <w:rsid w:val="00D808E8"/>
    <w:rsid w:val="00D83C92"/>
    <w:rsid w:val="00D870D8"/>
    <w:rsid w:val="00D96EB1"/>
    <w:rsid w:val="00DD5414"/>
    <w:rsid w:val="00E14774"/>
    <w:rsid w:val="00E64D12"/>
    <w:rsid w:val="00E760C1"/>
    <w:rsid w:val="00E8111E"/>
    <w:rsid w:val="00E84DCF"/>
    <w:rsid w:val="00E91BEC"/>
    <w:rsid w:val="00E9554E"/>
    <w:rsid w:val="00E95E4F"/>
    <w:rsid w:val="00EA1F78"/>
    <w:rsid w:val="00EA489E"/>
    <w:rsid w:val="00EB2E53"/>
    <w:rsid w:val="00EB6CC0"/>
    <w:rsid w:val="00F16805"/>
    <w:rsid w:val="00F438AA"/>
    <w:rsid w:val="00FC06EF"/>
    <w:rsid w:val="00FD0741"/>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E2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87E2E"/>
    <w:pPr>
      <w:jc w:val="left"/>
    </w:pPr>
  </w:style>
  <w:style w:type="paragraph" w:styleId="a4">
    <w:name w:val="Balloon Text"/>
    <w:basedOn w:val="a"/>
    <w:link w:val="Char0"/>
    <w:qFormat/>
    <w:rsid w:val="00B87E2E"/>
    <w:rPr>
      <w:sz w:val="18"/>
      <w:szCs w:val="18"/>
    </w:rPr>
  </w:style>
  <w:style w:type="paragraph" w:styleId="a5">
    <w:name w:val="footer"/>
    <w:basedOn w:val="a"/>
    <w:qFormat/>
    <w:rsid w:val="00B87E2E"/>
    <w:pPr>
      <w:tabs>
        <w:tab w:val="center" w:pos="4153"/>
        <w:tab w:val="right" w:pos="8306"/>
      </w:tabs>
      <w:snapToGrid w:val="0"/>
      <w:jc w:val="left"/>
    </w:pPr>
    <w:rPr>
      <w:sz w:val="18"/>
    </w:rPr>
  </w:style>
  <w:style w:type="paragraph" w:styleId="a6">
    <w:name w:val="header"/>
    <w:basedOn w:val="a"/>
    <w:qFormat/>
    <w:rsid w:val="00B87E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1"/>
    <w:qFormat/>
    <w:rsid w:val="00B87E2E"/>
    <w:rPr>
      <w:b/>
      <w:bCs/>
    </w:rPr>
  </w:style>
  <w:style w:type="table" w:styleId="a8">
    <w:name w:val="Table Grid"/>
    <w:basedOn w:val="a1"/>
    <w:uiPriority w:val="59"/>
    <w:qFormat/>
    <w:rsid w:val="00B87E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B87E2E"/>
    <w:rPr>
      <w:sz w:val="21"/>
      <w:szCs w:val="21"/>
    </w:rPr>
  </w:style>
  <w:style w:type="character" w:customStyle="1" w:styleId="Char">
    <w:name w:val="批注文字 Char"/>
    <w:basedOn w:val="a0"/>
    <w:link w:val="a3"/>
    <w:qFormat/>
    <w:rsid w:val="00B87E2E"/>
    <w:rPr>
      <w:rFonts w:ascii="Calibri" w:hAnsi="Calibri" w:cs="黑体"/>
      <w:kern w:val="2"/>
      <w:sz w:val="21"/>
      <w:szCs w:val="24"/>
    </w:rPr>
  </w:style>
  <w:style w:type="character" w:customStyle="1" w:styleId="Char1">
    <w:name w:val="批注主题 Char"/>
    <w:basedOn w:val="Char"/>
    <w:link w:val="a7"/>
    <w:qFormat/>
    <w:rsid w:val="00B87E2E"/>
    <w:rPr>
      <w:rFonts w:ascii="Calibri" w:hAnsi="Calibri" w:cs="黑体"/>
      <w:b/>
      <w:bCs/>
      <w:kern w:val="2"/>
      <w:sz w:val="21"/>
      <w:szCs w:val="24"/>
    </w:rPr>
  </w:style>
  <w:style w:type="character" w:customStyle="1" w:styleId="Char0">
    <w:name w:val="批注框文本 Char"/>
    <w:basedOn w:val="a0"/>
    <w:link w:val="a4"/>
    <w:qFormat/>
    <w:rsid w:val="00B87E2E"/>
    <w:rPr>
      <w:rFonts w:ascii="Calibri" w:hAnsi="Calibri" w:cs="黑体"/>
      <w:kern w:val="2"/>
      <w:sz w:val="18"/>
      <w:szCs w:val="18"/>
    </w:rPr>
  </w:style>
  <w:style w:type="paragraph" w:styleId="aa">
    <w:name w:val="List Paragraph"/>
    <w:basedOn w:val="a"/>
    <w:uiPriority w:val="99"/>
    <w:unhideWhenUsed/>
    <w:rsid w:val="007514B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oleObject" Target="embeddings/Microsoft_Office_Excel_97-2003____1.xls"/><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Microsoft_Office_Excel_97-2003____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oleObject" Target="embeddings/Microsoft_Office_Excel_97-2003____4.xls"/><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4.emf"/><Relationship Id="rId10" Type="http://schemas.openxmlformats.org/officeDocument/2006/relationships/chart" Target="charts/chart2.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oleObject" Target="embeddings/Microsoft_Office_Excel_97-2003____3.xls"/></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2000"/>
            </a:pPr>
            <a:r>
              <a:rPr lang="zh-CN" altLang="en-US" sz="2000"/>
              <a:t>杨陵区财务管理服务中心人员情况表</a:t>
            </a:r>
          </a:p>
        </c:rich>
      </c:tx>
    </c:title>
    <c:view3D>
      <c:rotX val="4"/>
      <c:hPercent val="77"/>
      <c:rotY val="44"/>
      <c:depthPercent val="100"/>
      <c:rAngAx val="1"/>
    </c:view3D>
    <c:floor>
      <c:spPr>
        <a:solidFill>
          <a:srgbClr val="C0C0C0"/>
        </a:solidFill>
        <a:ln w="3175">
          <a:solidFill>
            <a:srgbClr val="000000"/>
          </a:solidFill>
          <a:prstDash val="solid"/>
        </a:ln>
      </c:spPr>
    </c:floor>
    <c:sideWall>
      <c:spPr>
        <a:solidFill>
          <a:srgbClr val="CCCCFF"/>
        </a:solidFill>
        <a:ln w="3175">
          <a:solidFill>
            <a:srgbClr val="000000"/>
          </a:solidFill>
          <a:prstDash val="solid"/>
        </a:ln>
      </c:spPr>
    </c:sideWall>
    <c:backWall>
      <c:spPr>
        <a:solidFill>
          <a:srgbClr val="CCCCFF"/>
        </a:solidFill>
        <a:ln w="3175">
          <a:solidFill>
            <a:srgbClr val="000000"/>
          </a:solidFill>
          <a:prstDash val="solid"/>
        </a:ln>
      </c:spPr>
    </c:backWall>
    <c:plotArea>
      <c:layout>
        <c:manualLayout>
          <c:layoutTarget val="inner"/>
          <c:xMode val="edge"/>
          <c:yMode val="edge"/>
          <c:x val="0.10016454221249267"/>
          <c:y val="0.12901108118451676"/>
          <c:w val="0.77791621058578653"/>
          <c:h val="0.79262027212509389"/>
        </c:manualLayout>
      </c:layout>
      <c:bar3DChart>
        <c:barDir val="col"/>
        <c:grouping val="clustered"/>
        <c:ser>
          <c:idx val="0"/>
          <c:order val="0"/>
          <c:tx>
            <c:strRef>
              <c:f>Sheet1!$A$2</c:f>
              <c:strCache>
                <c:ptCount val="1"/>
                <c:pt idx="0">
                  <c:v>行政人员</c:v>
                </c:pt>
              </c:strCache>
            </c:strRef>
          </c:tx>
          <c:spPr>
            <a:solidFill>
              <a:srgbClr val="FF0000"/>
            </a:solidFill>
            <a:ln w="12687">
              <a:solidFill>
                <a:srgbClr val="000000"/>
              </a:solidFill>
              <a:prstDash val="solid"/>
            </a:ln>
          </c:spPr>
          <c:cat>
            <c:strRef>
              <c:f>Sheet1!$B$1:$E$1</c:f>
              <c:strCache>
                <c:ptCount val="3"/>
                <c:pt idx="0">
                  <c:v>编制人数</c:v>
                </c:pt>
                <c:pt idx="1">
                  <c:v>实有人数</c:v>
                </c:pt>
                <c:pt idx="2">
                  <c:v>退休人数</c:v>
                </c:pt>
              </c:strCache>
            </c:strRef>
          </c:cat>
          <c:val>
            <c:numRef>
              <c:f>Sheet1!$B$2:$E$2</c:f>
              <c:numCache>
                <c:formatCode>General</c:formatCode>
                <c:ptCount val="4"/>
                <c:pt idx="0">
                  <c:v>0</c:v>
                </c:pt>
                <c:pt idx="1">
                  <c:v>0</c:v>
                </c:pt>
              </c:numCache>
            </c:numRef>
          </c:val>
        </c:ser>
        <c:ser>
          <c:idx val="1"/>
          <c:order val="1"/>
          <c:tx>
            <c:strRef>
              <c:f>Sheet1!$A$3</c:f>
              <c:strCache>
                <c:ptCount val="1"/>
                <c:pt idx="0">
                  <c:v>事业人员</c:v>
                </c:pt>
              </c:strCache>
            </c:strRef>
          </c:tx>
          <c:spPr>
            <a:solidFill>
              <a:srgbClr val="FF00FF"/>
            </a:solidFill>
            <a:ln w="12687">
              <a:solidFill>
                <a:srgbClr val="000000"/>
              </a:solidFill>
              <a:prstDash val="solid"/>
            </a:ln>
          </c:spPr>
          <c:cat>
            <c:strRef>
              <c:f>Sheet1!$B$1:$E$1</c:f>
              <c:strCache>
                <c:ptCount val="3"/>
                <c:pt idx="0">
                  <c:v>编制人数</c:v>
                </c:pt>
                <c:pt idx="1">
                  <c:v>实有人数</c:v>
                </c:pt>
                <c:pt idx="2">
                  <c:v>退休人数</c:v>
                </c:pt>
              </c:strCache>
            </c:strRef>
          </c:cat>
          <c:val>
            <c:numRef>
              <c:f>Sheet1!$B$3:$E$3</c:f>
              <c:numCache>
                <c:formatCode>General</c:formatCode>
                <c:ptCount val="4"/>
                <c:pt idx="0">
                  <c:v>25</c:v>
                </c:pt>
                <c:pt idx="1">
                  <c:v>19</c:v>
                </c:pt>
              </c:numCache>
            </c:numRef>
          </c:val>
        </c:ser>
        <c:ser>
          <c:idx val="2"/>
          <c:order val="2"/>
          <c:tx>
            <c:strRef>
              <c:f>Sheet1!$A$4</c:f>
              <c:strCache>
                <c:ptCount val="1"/>
                <c:pt idx="0">
                  <c:v>退休人员</c:v>
                </c:pt>
              </c:strCache>
            </c:strRef>
          </c:tx>
          <c:spPr>
            <a:solidFill>
              <a:srgbClr val="00FF00"/>
            </a:solidFill>
            <a:ln w="12687">
              <a:solidFill>
                <a:srgbClr val="000000"/>
              </a:solidFill>
              <a:prstDash val="solid"/>
            </a:ln>
          </c:spPr>
          <c:cat>
            <c:strRef>
              <c:f>Sheet1!$B$1:$E$1</c:f>
              <c:strCache>
                <c:ptCount val="3"/>
                <c:pt idx="0">
                  <c:v>编制人数</c:v>
                </c:pt>
                <c:pt idx="1">
                  <c:v>实有人数</c:v>
                </c:pt>
                <c:pt idx="2">
                  <c:v>退休人数</c:v>
                </c:pt>
              </c:strCache>
            </c:strRef>
          </c:cat>
          <c:val>
            <c:numRef>
              <c:f>Sheet1!$B$4:$E$4</c:f>
              <c:numCache>
                <c:formatCode>General</c:formatCode>
                <c:ptCount val="4"/>
                <c:pt idx="0">
                  <c:v>0</c:v>
                </c:pt>
                <c:pt idx="1">
                  <c:v>0</c:v>
                </c:pt>
              </c:numCache>
            </c:numRef>
          </c:val>
        </c:ser>
        <c:shape val="box"/>
        <c:axId val="49869952"/>
        <c:axId val="50606464"/>
        <c:axId val="0"/>
      </c:bar3DChart>
      <c:catAx>
        <c:axId val="49869952"/>
        <c:scaling>
          <c:orientation val="minMax"/>
        </c:scaling>
        <c:axPos val="b"/>
        <c:numFmt formatCode="General" sourceLinked="1"/>
        <c:majorTickMark val="none"/>
        <c:tickLblPos val="low"/>
        <c:spPr>
          <a:ln w="3172">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50606464"/>
        <c:crosses val="autoZero"/>
        <c:auto val="1"/>
        <c:lblAlgn val="ctr"/>
        <c:lblOffset val="100"/>
        <c:tickLblSkip val="1"/>
        <c:tickMarkSkip val="1"/>
      </c:catAx>
      <c:valAx>
        <c:axId val="50606464"/>
        <c:scaling>
          <c:orientation val="minMax"/>
        </c:scaling>
        <c:axPos val="l"/>
        <c:majorGridlines>
          <c:spPr>
            <a:ln w="12687">
              <a:solidFill>
                <a:srgbClr val="000000"/>
              </a:solidFill>
              <a:prstDash val="solid"/>
            </a:ln>
          </c:spPr>
        </c:majorGridlines>
        <c:numFmt formatCode="General" sourceLinked="1"/>
        <c:majorTickMark val="none"/>
        <c:tickLblPos val="nextTo"/>
        <c:spPr>
          <a:ln w="3172">
            <a:solidFill>
              <a:srgbClr val="000000"/>
            </a:solidFill>
            <a:prstDash val="solid"/>
          </a:ln>
        </c:spPr>
        <c:txPr>
          <a:bodyPr rot="0" vert="horz"/>
          <a:lstStyle/>
          <a:p>
            <a:pPr>
              <a:defRPr sz="1773" b="0" i="0" u="none" strike="noStrike" baseline="0">
                <a:solidFill>
                  <a:srgbClr val="000000"/>
                </a:solidFill>
                <a:latin typeface="宋体"/>
                <a:ea typeface="宋体"/>
                <a:cs typeface="宋体"/>
              </a:defRPr>
            </a:pPr>
            <a:endParaRPr lang="zh-CN"/>
          </a:p>
        </c:txPr>
        <c:crossAx val="49869952"/>
        <c:crosses val="autoZero"/>
        <c:crossBetween val="between"/>
      </c:valAx>
      <c:spPr>
        <a:noFill/>
        <a:ln w="25373">
          <a:noFill/>
        </a:ln>
      </c:spPr>
    </c:plotArea>
    <c:legend>
      <c:legendPos val="r"/>
      <c:spPr>
        <a:solidFill>
          <a:srgbClr val="FFFFFF"/>
        </a:solidFill>
        <a:ln w="3172">
          <a:solidFill>
            <a:srgbClr val="000000"/>
          </a:solidFill>
          <a:prstDash val="solid"/>
        </a:ln>
      </c:spPr>
      <c:txPr>
        <a:bodyPr/>
        <a:lstStyle/>
        <a:p>
          <a:pPr>
            <a:defRPr sz="824"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773"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收入支出决算总体情况表</a:t>
            </a:r>
          </a:p>
        </c:rich>
      </c:tx>
    </c:title>
    <c:plotArea>
      <c:layout/>
      <c:barChart>
        <c:barDir val="col"/>
        <c:grouping val="clustered"/>
        <c:ser>
          <c:idx val="0"/>
          <c:order val="0"/>
          <c:tx>
            <c:strRef>
              <c:f>Sheet1!$B$1</c:f>
              <c:strCache>
                <c:ptCount val="1"/>
                <c:pt idx="0">
                  <c:v>2018年</c:v>
                </c:pt>
              </c:strCache>
            </c:strRef>
          </c:tx>
          <c:cat>
            <c:strRef>
              <c:f>Sheet1!$A$2:$A$3</c:f>
              <c:strCache>
                <c:ptCount val="2"/>
                <c:pt idx="0">
                  <c:v>收入</c:v>
                </c:pt>
                <c:pt idx="1">
                  <c:v>支出</c:v>
                </c:pt>
              </c:strCache>
            </c:strRef>
          </c:cat>
          <c:val>
            <c:numRef>
              <c:f>Sheet1!$B$2:$B$3</c:f>
              <c:numCache>
                <c:formatCode>General</c:formatCode>
                <c:ptCount val="2"/>
                <c:pt idx="0">
                  <c:v>221.26</c:v>
                </c:pt>
                <c:pt idx="1">
                  <c:v>218.59</c:v>
                </c:pt>
              </c:numCache>
            </c:numRef>
          </c:val>
        </c:ser>
        <c:ser>
          <c:idx val="1"/>
          <c:order val="1"/>
          <c:tx>
            <c:strRef>
              <c:f>Sheet1!$C$1</c:f>
              <c:strCache>
                <c:ptCount val="1"/>
                <c:pt idx="0">
                  <c:v>2019年</c:v>
                </c:pt>
              </c:strCache>
            </c:strRef>
          </c:tx>
          <c:cat>
            <c:strRef>
              <c:f>Sheet1!$A$2:$A$3</c:f>
              <c:strCache>
                <c:ptCount val="2"/>
                <c:pt idx="0">
                  <c:v>收入</c:v>
                </c:pt>
                <c:pt idx="1">
                  <c:v>支出</c:v>
                </c:pt>
              </c:strCache>
            </c:strRef>
          </c:cat>
          <c:val>
            <c:numRef>
              <c:f>Sheet1!$C$2:$C$3</c:f>
              <c:numCache>
                <c:formatCode>General</c:formatCode>
                <c:ptCount val="2"/>
                <c:pt idx="0">
                  <c:v>265.89999999999969</c:v>
                </c:pt>
                <c:pt idx="1">
                  <c:v>266.05</c:v>
                </c:pt>
              </c:numCache>
            </c:numRef>
          </c:val>
        </c:ser>
        <c:axId val="50762112"/>
        <c:axId val="50785664"/>
      </c:barChart>
      <c:catAx>
        <c:axId val="50762112"/>
        <c:scaling>
          <c:orientation val="minMax"/>
        </c:scaling>
        <c:axPos val="b"/>
        <c:majorTickMark val="none"/>
        <c:tickLblPos val="nextTo"/>
        <c:crossAx val="50785664"/>
        <c:crosses val="autoZero"/>
        <c:auto val="1"/>
        <c:lblAlgn val="ctr"/>
        <c:lblOffset val="100"/>
      </c:catAx>
      <c:valAx>
        <c:axId val="50785664"/>
        <c:scaling>
          <c:orientation val="minMax"/>
        </c:scaling>
        <c:axPos val="l"/>
        <c:majorGridlines/>
        <c:numFmt formatCode="General" sourceLinked="1"/>
        <c:majorTickMark val="none"/>
        <c:tickLblPos val="nextTo"/>
        <c:crossAx val="50762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收入决算情况表</a:t>
            </a:r>
          </a:p>
        </c:rich>
      </c:tx>
    </c:title>
    <c:plotArea>
      <c:layout/>
      <c:barChart>
        <c:barDir val="col"/>
        <c:grouping val="clustered"/>
        <c:ser>
          <c:idx val="0"/>
          <c:order val="0"/>
          <c:tx>
            <c:strRef>
              <c:f>Sheet1!$B$1</c:f>
              <c:strCache>
                <c:ptCount val="1"/>
                <c:pt idx="0">
                  <c:v>收入</c:v>
                </c:pt>
              </c:strCache>
            </c:strRef>
          </c:tx>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250.93</c:v>
                </c:pt>
                <c:pt idx="1">
                  <c:v>0</c:v>
                </c:pt>
                <c:pt idx="2">
                  <c:v>0</c:v>
                </c:pt>
                <c:pt idx="3">
                  <c:v>14.97</c:v>
                </c:pt>
              </c:numCache>
            </c:numRef>
          </c:val>
        </c:ser>
        <c:ser>
          <c:idx val="1"/>
          <c:order val="1"/>
          <c:tx>
            <c:strRef>
              <c:f>Sheet1!$C$1</c:f>
              <c:strCache>
                <c:ptCount val="1"/>
                <c:pt idx="0">
                  <c:v>占比率%</c:v>
                </c:pt>
              </c:strCache>
            </c:strRef>
          </c:tx>
          <c:cat>
            <c:strRef>
              <c:f>Sheet1!$A$2:$A$5</c:f>
              <c:strCache>
                <c:ptCount val="4"/>
                <c:pt idx="0">
                  <c:v>财政拨款收入</c:v>
                </c:pt>
                <c:pt idx="1">
                  <c:v>事业收入</c:v>
                </c:pt>
                <c:pt idx="2">
                  <c:v>经营收入</c:v>
                </c:pt>
                <c:pt idx="3">
                  <c:v>其他收入</c:v>
                </c:pt>
              </c:strCache>
            </c:strRef>
          </c:cat>
          <c:val>
            <c:numRef>
              <c:f>Sheet1!$C$2:$C$5</c:f>
              <c:numCache>
                <c:formatCode>General</c:formatCode>
                <c:ptCount val="4"/>
                <c:pt idx="0">
                  <c:v>94</c:v>
                </c:pt>
                <c:pt idx="1">
                  <c:v>0</c:v>
                </c:pt>
                <c:pt idx="2">
                  <c:v>0</c:v>
                </c:pt>
                <c:pt idx="3">
                  <c:v>6</c:v>
                </c:pt>
              </c:numCache>
            </c:numRef>
          </c:val>
        </c:ser>
        <c:axId val="74396416"/>
        <c:axId val="74397952"/>
      </c:barChart>
      <c:catAx>
        <c:axId val="74396416"/>
        <c:scaling>
          <c:orientation val="minMax"/>
        </c:scaling>
        <c:axPos val="b"/>
        <c:majorTickMark val="none"/>
        <c:tickLblPos val="nextTo"/>
        <c:crossAx val="74397952"/>
        <c:crosses val="autoZero"/>
        <c:auto val="1"/>
        <c:lblAlgn val="ctr"/>
        <c:lblOffset val="100"/>
      </c:catAx>
      <c:valAx>
        <c:axId val="74397952"/>
        <c:scaling>
          <c:orientation val="minMax"/>
        </c:scaling>
        <c:axPos val="l"/>
        <c:majorGridlines/>
        <c:numFmt formatCode="General" sourceLinked="1"/>
        <c:majorTickMark val="none"/>
        <c:tickLblPos val="nextTo"/>
        <c:crossAx val="743964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支出决算情况表</a:t>
            </a:r>
          </a:p>
        </c:rich>
      </c:tx>
      <c:layout>
        <c:manualLayout>
          <c:xMode val="edge"/>
          <c:yMode val="edge"/>
          <c:x val="0.34121675344327884"/>
          <c:y val="1.2397334573066776E-2"/>
        </c:manualLayout>
      </c:layout>
    </c:title>
    <c:plotArea>
      <c:layout/>
      <c:barChart>
        <c:barDir val="col"/>
        <c:grouping val="clustered"/>
        <c:ser>
          <c:idx val="0"/>
          <c:order val="0"/>
          <c:tx>
            <c:strRef>
              <c:f>Sheet1!$B$1</c:f>
              <c:strCache>
                <c:ptCount val="1"/>
                <c:pt idx="0">
                  <c:v>支出</c:v>
                </c:pt>
              </c:strCache>
            </c:strRef>
          </c:tx>
          <c:cat>
            <c:strRef>
              <c:f>Sheet1!$A$2:$A$4</c:f>
              <c:strCache>
                <c:ptCount val="3"/>
                <c:pt idx="0">
                  <c:v>基本支出</c:v>
                </c:pt>
                <c:pt idx="1">
                  <c:v>项目支出</c:v>
                </c:pt>
                <c:pt idx="2">
                  <c:v>经营支出</c:v>
                </c:pt>
              </c:strCache>
            </c:strRef>
          </c:cat>
          <c:val>
            <c:numRef>
              <c:f>Sheet1!$B$2:$B$4</c:f>
              <c:numCache>
                <c:formatCode>General</c:formatCode>
                <c:ptCount val="3"/>
                <c:pt idx="0">
                  <c:v>239.42000000000004</c:v>
                </c:pt>
                <c:pt idx="1">
                  <c:v>26.630000000000031</c:v>
                </c:pt>
                <c:pt idx="2">
                  <c:v>0</c:v>
                </c:pt>
              </c:numCache>
            </c:numRef>
          </c:val>
        </c:ser>
        <c:ser>
          <c:idx val="1"/>
          <c:order val="1"/>
          <c:tx>
            <c:strRef>
              <c:f>Sheet1!$C$1</c:f>
              <c:strCache>
                <c:ptCount val="1"/>
                <c:pt idx="0">
                  <c:v>占比率</c:v>
                </c:pt>
              </c:strCache>
            </c:strRef>
          </c:tx>
          <c:cat>
            <c:strRef>
              <c:f>Sheet1!$A$2:$A$4</c:f>
              <c:strCache>
                <c:ptCount val="3"/>
                <c:pt idx="0">
                  <c:v>基本支出</c:v>
                </c:pt>
                <c:pt idx="1">
                  <c:v>项目支出</c:v>
                </c:pt>
                <c:pt idx="2">
                  <c:v>经营支出</c:v>
                </c:pt>
              </c:strCache>
            </c:strRef>
          </c:cat>
          <c:val>
            <c:numRef>
              <c:f>Sheet1!$C$2:$C$4</c:f>
              <c:numCache>
                <c:formatCode>General</c:formatCode>
                <c:ptCount val="3"/>
                <c:pt idx="0">
                  <c:v>90</c:v>
                </c:pt>
                <c:pt idx="1">
                  <c:v>10</c:v>
                </c:pt>
                <c:pt idx="2">
                  <c:v>0</c:v>
                </c:pt>
              </c:numCache>
            </c:numRef>
          </c:val>
        </c:ser>
        <c:axId val="50169344"/>
        <c:axId val="50170880"/>
      </c:barChart>
      <c:catAx>
        <c:axId val="50169344"/>
        <c:scaling>
          <c:orientation val="minMax"/>
        </c:scaling>
        <c:axPos val="b"/>
        <c:majorTickMark val="none"/>
        <c:tickLblPos val="nextTo"/>
        <c:crossAx val="50170880"/>
        <c:crosses val="autoZero"/>
        <c:auto val="1"/>
        <c:lblAlgn val="ctr"/>
        <c:lblOffset val="100"/>
      </c:catAx>
      <c:valAx>
        <c:axId val="50170880"/>
        <c:scaling>
          <c:orientation val="minMax"/>
        </c:scaling>
        <c:axPos val="l"/>
        <c:majorGridlines/>
        <c:numFmt formatCode="General" sourceLinked="1"/>
        <c:majorTickMark val="none"/>
        <c:tickLblPos val="nextTo"/>
        <c:crossAx val="5016934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财政拨款收入支出决算总体情况表</a:t>
            </a:r>
          </a:p>
        </c:rich>
      </c:tx>
    </c:title>
    <c:plotArea>
      <c:layout/>
      <c:barChart>
        <c:barDir val="col"/>
        <c:grouping val="clustered"/>
        <c:ser>
          <c:idx val="0"/>
          <c:order val="0"/>
          <c:tx>
            <c:strRef>
              <c:f>Sheet1!$B$1</c:f>
              <c:strCache>
                <c:ptCount val="1"/>
                <c:pt idx="0">
                  <c:v>2018年</c:v>
                </c:pt>
              </c:strCache>
            </c:strRef>
          </c:tx>
          <c:cat>
            <c:strRef>
              <c:f>Sheet1!$A$2:$A$3</c:f>
              <c:strCache>
                <c:ptCount val="2"/>
                <c:pt idx="0">
                  <c:v>收入</c:v>
                </c:pt>
                <c:pt idx="1">
                  <c:v>支出</c:v>
                </c:pt>
              </c:strCache>
            </c:strRef>
          </c:cat>
          <c:val>
            <c:numRef>
              <c:f>Sheet1!$B$2:$B$3</c:f>
              <c:numCache>
                <c:formatCode>General</c:formatCode>
                <c:ptCount val="2"/>
                <c:pt idx="0">
                  <c:v>193.54</c:v>
                </c:pt>
                <c:pt idx="1">
                  <c:v>190.55</c:v>
                </c:pt>
              </c:numCache>
            </c:numRef>
          </c:val>
        </c:ser>
        <c:ser>
          <c:idx val="1"/>
          <c:order val="1"/>
          <c:tx>
            <c:strRef>
              <c:f>Sheet1!$C$1</c:f>
              <c:strCache>
                <c:ptCount val="1"/>
                <c:pt idx="0">
                  <c:v>2019年</c:v>
                </c:pt>
              </c:strCache>
            </c:strRef>
          </c:tx>
          <c:cat>
            <c:strRef>
              <c:f>Sheet1!$A$2:$A$3</c:f>
              <c:strCache>
                <c:ptCount val="2"/>
                <c:pt idx="0">
                  <c:v>收入</c:v>
                </c:pt>
                <c:pt idx="1">
                  <c:v>支出</c:v>
                </c:pt>
              </c:strCache>
            </c:strRef>
          </c:cat>
          <c:val>
            <c:numRef>
              <c:f>Sheet1!$C$2:$C$3</c:f>
              <c:numCache>
                <c:formatCode>General</c:formatCode>
                <c:ptCount val="2"/>
                <c:pt idx="0">
                  <c:v>250.93</c:v>
                </c:pt>
                <c:pt idx="1">
                  <c:v>258.97000000000003</c:v>
                </c:pt>
              </c:numCache>
            </c:numRef>
          </c:val>
        </c:ser>
        <c:axId val="75591040"/>
        <c:axId val="86660224"/>
      </c:barChart>
      <c:catAx>
        <c:axId val="75591040"/>
        <c:scaling>
          <c:orientation val="minMax"/>
        </c:scaling>
        <c:axPos val="b"/>
        <c:majorTickMark val="none"/>
        <c:tickLblPos val="nextTo"/>
        <c:crossAx val="86660224"/>
        <c:crosses val="autoZero"/>
        <c:auto val="1"/>
        <c:lblAlgn val="ctr"/>
        <c:lblOffset val="100"/>
      </c:catAx>
      <c:valAx>
        <c:axId val="86660224"/>
        <c:scaling>
          <c:orientation val="minMax"/>
        </c:scaling>
        <c:axPos val="l"/>
        <c:majorGridlines/>
        <c:numFmt formatCode="General" sourceLinked="1"/>
        <c:majorTickMark val="none"/>
        <c:tickLblPos val="nextTo"/>
        <c:crossAx val="7559104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财政拨款支出决算总体情况表</a:t>
            </a:r>
          </a:p>
        </c:rich>
      </c:tx>
    </c:title>
    <c:plotArea>
      <c:layout/>
      <c:barChart>
        <c:barDir val="col"/>
        <c:grouping val="clustered"/>
        <c:ser>
          <c:idx val="0"/>
          <c:order val="0"/>
          <c:tx>
            <c:strRef>
              <c:f>Sheet1!$B$1</c:f>
              <c:strCache>
                <c:ptCount val="1"/>
                <c:pt idx="0">
                  <c:v>总支出</c:v>
                </c:pt>
              </c:strCache>
            </c:strRef>
          </c:tx>
          <c:cat>
            <c:strRef>
              <c:f>Sheet1!$A$2:$A$5</c:f>
              <c:strCache>
                <c:ptCount val="2"/>
                <c:pt idx="0">
                  <c:v>2018年</c:v>
                </c:pt>
                <c:pt idx="1">
                  <c:v>2019年</c:v>
                </c:pt>
              </c:strCache>
            </c:strRef>
          </c:cat>
          <c:val>
            <c:numRef>
              <c:f>Sheet1!$B$2:$B$5</c:f>
              <c:numCache>
                <c:formatCode>General</c:formatCode>
                <c:ptCount val="2"/>
                <c:pt idx="0">
                  <c:v>218.59</c:v>
                </c:pt>
                <c:pt idx="1">
                  <c:v>266.05</c:v>
                </c:pt>
              </c:numCache>
            </c:numRef>
          </c:val>
        </c:ser>
        <c:ser>
          <c:idx val="1"/>
          <c:order val="1"/>
          <c:tx>
            <c:strRef>
              <c:f>Sheet1!$C$1</c:f>
              <c:strCache>
                <c:ptCount val="1"/>
                <c:pt idx="0">
                  <c:v>财政拨款支出</c:v>
                </c:pt>
              </c:strCache>
            </c:strRef>
          </c:tx>
          <c:cat>
            <c:strRef>
              <c:f>Sheet1!$A$2:$A$5</c:f>
              <c:strCache>
                <c:ptCount val="2"/>
                <c:pt idx="0">
                  <c:v>2018年</c:v>
                </c:pt>
                <c:pt idx="1">
                  <c:v>2019年</c:v>
                </c:pt>
              </c:strCache>
            </c:strRef>
          </c:cat>
          <c:val>
            <c:numRef>
              <c:f>Sheet1!$C$2:$C$5</c:f>
              <c:numCache>
                <c:formatCode>General</c:formatCode>
                <c:ptCount val="2"/>
                <c:pt idx="0">
                  <c:v>190.55</c:v>
                </c:pt>
                <c:pt idx="1">
                  <c:v>251.59700000000001</c:v>
                </c:pt>
              </c:numCache>
            </c:numRef>
          </c:val>
        </c:ser>
        <c:ser>
          <c:idx val="2"/>
          <c:order val="2"/>
          <c:tx>
            <c:strRef>
              <c:f>Sheet1!$D$1</c:f>
              <c:strCache>
                <c:ptCount val="1"/>
                <c:pt idx="0">
                  <c:v>占比率</c:v>
                </c:pt>
              </c:strCache>
            </c:strRef>
          </c:tx>
          <c:cat>
            <c:strRef>
              <c:f>Sheet1!$A$2:$A$5</c:f>
              <c:strCache>
                <c:ptCount val="2"/>
                <c:pt idx="0">
                  <c:v>2018年</c:v>
                </c:pt>
                <c:pt idx="1">
                  <c:v>2019年</c:v>
                </c:pt>
              </c:strCache>
            </c:strRef>
          </c:cat>
          <c:val>
            <c:numRef>
              <c:f>Sheet1!$D$2:$D$5</c:f>
            </c:numRef>
          </c:val>
        </c:ser>
        <c:ser>
          <c:idx val="3"/>
          <c:order val="3"/>
          <c:tx>
            <c:strRef>
              <c:f>Sheet1!$E$1</c:f>
              <c:strCache>
                <c:ptCount val="1"/>
                <c:pt idx="0">
                  <c:v>与上年增长比率%</c:v>
                </c:pt>
              </c:strCache>
            </c:strRef>
          </c:tx>
          <c:cat>
            <c:strRef>
              <c:f>Sheet1!$A$2:$A$5</c:f>
              <c:strCache>
                <c:ptCount val="2"/>
                <c:pt idx="0">
                  <c:v>2018年</c:v>
                </c:pt>
                <c:pt idx="1">
                  <c:v>2019年</c:v>
                </c:pt>
              </c:strCache>
            </c:strRef>
          </c:cat>
          <c:val>
            <c:numRef>
              <c:f>Sheet1!$E$2:$E$5</c:f>
              <c:numCache>
                <c:formatCode>General</c:formatCode>
                <c:ptCount val="2"/>
                <c:pt idx="1">
                  <c:v>32</c:v>
                </c:pt>
              </c:numCache>
            </c:numRef>
          </c:val>
        </c:ser>
        <c:axId val="86682624"/>
        <c:axId val="86688512"/>
      </c:barChart>
      <c:catAx>
        <c:axId val="86682624"/>
        <c:scaling>
          <c:orientation val="minMax"/>
        </c:scaling>
        <c:axPos val="b"/>
        <c:majorTickMark val="none"/>
        <c:tickLblPos val="nextTo"/>
        <c:crossAx val="86688512"/>
        <c:crosses val="autoZero"/>
        <c:auto val="1"/>
        <c:lblAlgn val="ctr"/>
        <c:lblOffset val="100"/>
      </c:catAx>
      <c:valAx>
        <c:axId val="86688512"/>
        <c:scaling>
          <c:orientation val="minMax"/>
        </c:scaling>
        <c:axPos val="l"/>
        <c:majorGridlines/>
        <c:numFmt formatCode="General" sourceLinked="1"/>
        <c:majorTickMark val="none"/>
        <c:tickLblPos val="nextTo"/>
        <c:crossAx val="8668262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“三公”经费财政拨款支出决算表</a:t>
            </a:r>
          </a:p>
        </c:rich>
      </c:tx>
    </c:title>
    <c:plotArea>
      <c:layout/>
      <c:barChart>
        <c:barDir val="col"/>
        <c:grouping val="clustered"/>
        <c:ser>
          <c:idx val="0"/>
          <c:order val="0"/>
          <c:tx>
            <c:strRef>
              <c:f>Sheet1!$B$1</c:f>
              <c:strCache>
                <c:ptCount val="1"/>
                <c:pt idx="0">
                  <c:v>2018年</c:v>
                </c:pt>
              </c:strCache>
            </c:strRef>
          </c:tx>
          <c:cat>
            <c:strRef>
              <c:f>Sheet1!$A$2:$A$5</c:f>
              <c:strCache>
                <c:ptCount val="4"/>
                <c:pt idx="0">
                  <c:v>因公出国（境）</c:v>
                </c:pt>
                <c:pt idx="1">
                  <c:v>公务用车购置</c:v>
                </c:pt>
                <c:pt idx="2">
                  <c:v>公务用车运行维护</c:v>
                </c:pt>
                <c:pt idx="3">
                  <c:v>公务接待</c:v>
                </c:pt>
              </c:strCache>
            </c:strRef>
          </c:cat>
          <c:val>
            <c:numRef>
              <c:f>Sheet1!$B$2:$B$5</c:f>
              <c:numCache>
                <c:formatCode>General</c:formatCode>
                <c:ptCount val="4"/>
                <c:pt idx="0">
                  <c:v>0</c:v>
                </c:pt>
                <c:pt idx="1">
                  <c:v>0</c:v>
                </c:pt>
                <c:pt idx="2">
                  <c:v>0</c:v>
                </c:pt>
                <c:pt idx="3">
                  <c:v>0</c:v>
                </c:pt>
              </c:numCache>
            </c:numRef>
          </c:val>
        </c:ser>
        <c:ser>
          <c:idx val="1"/>
          <c:order val="1"/>
          <c:tx>
            <c:strRef>
              <c:f>Sheet1!$C$1</c:f>
              <c:strCache>
                <c:ptCount val="1"/>
                <c:pt idx="0">
                  <c:v>2019年</c:v>
                </c:pt>
              </c:strCache>
            </c:strRef>
          </c:tx>
          <c:cat>
            <c:strRef>
              <c:f>Sheet1!$A$2:$A$5</c:f>
              <c:strCache>
                <c:ptCount val="4"/>
                <c:pt idx="0">
                  <c:v>因公出国（境）</c:v>
                </c:pt>
                <c:pt idx="1">
                  <c:v>公务用车购置</c:v>
                </c:pt>
                <c:pt idx="2">
                  <c:v>公务用车运行维护</c:v>
                </c:pt>
                <c:pt idx="3">
                  <c:v>公务接待</c:v>
                </c:pt>
              </c:strCache>
            </c:strRef>
          </c:cat>
          <c:val>
            <c:numRef>
              <c:f>Sheet1!$C$2:$C$5</c:f>
              <c:numCache>
                <c:formatCode>General</c:formatCode>
                <c:ptCount val="4"/>
                <c:pt idx="0">
                  <c:v>0</c:v>
                </c:pt>
                <c:pt idx="1">
                  <c:v>0</c:v>
                </c:pt>
                <c:pt idx="2">
                  <c:v>0</c:v>
                </c:pt>
                <c:pt idx="3">
                  <c:v>0</c:v>
                </c:pt>
              </c:numCache>
            </c:numRef>
          </c:val>
        </c:ser>
        <c:axId val="75650176"/>
        <c:axId val="75651712"/>
      </c:barChart>
      <c:catAx>
        <c:axId val="75650176"/>
        <c:scaling>
          <c:orientation val="minMax"/>
        </c:scaling>
        <c:axPos val="b"/>
        <c:majorTickMark val="none"/>
        <c:tickLblPos val="nextTo"/>
        <c:crossAx val="75651712"/>
        <c:crosses val="autoZero"/>
        <c:auto val="1"/>
        <c:lblAlgn val="ctr"/>
        <c:lblOffset val="100"/>
      </c:catAx>
      <c:valAx>
        <c:axId val="75651712"/>
        <c:scaling>
          <c:orientation val="minMax"/>
        </c:scaling>
        <c:axPos val="l"/>
        <c:majorGridlines/>
        <c:numFmt formatCode="General" sourceLinked="1"/>
        <c:majorTickMark val="none"/>
        <c:tickLblPos val="nextTo"/>
        <c:crossAx val="7565017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8216D98-3DFD-46CE-954A-9753F57189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28</Pages>
  <Words>1374</Words>
  <Characters>7836</Characters>
  <Application>Microsoft Office Word</Application>
  <DocSecurity>0</DocSecurity>
  <Lines>65</Lines>
  <Paragraphs>18</Paragraphs>
  <ScaleCrop>false</ScaleCrop>
  <Company>Microsoft</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PC01</cp:lastModifiedBy>
  <cp:revision>57</cp:revision>
  <cp:lastPrinted>2020-10-15T07:08:00Z</cp:lastPrinted>
  <dcterms:created xsi:type="dcterms:W3CDTF">2020-10-14T06:56:00Z</dcterms:created>
  <dcterms:modified xsi:type="dcterms:W3CDTF">2020-10-27T01:54:00Z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