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杨陵区农业农村局</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区农业农村局贯彻落实党中央、省委、示范区党工委和区委关于“三农”工作的方针政策和决策部署，在履行职责过程中坚持和加强党对“三农”工作的集中统一领导。主要职责是：</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楷体" w:hAnsi="楷体" w:eastAsia="楷体" w:cs="楷体"/>
          <w:b/>
          <w:bCs/>
          <w:color w:val="000000"/>
          <w:kern w:val="0"/>
          <w:sz w:val="32"/>
          <w:szCs w:val="32"/>
          <w:lang w:eastAsia="zh-CN" w:bidi="ar"/>
        </w:rPr>
      </w:pPr>
      <w:r>
        <w:rPr>
          <w:rFonts w:hint="eastAsia" w:ascii="仿宋_GB2312" w:hAnsi="仿宋_GB2312" w:eastAsia="仿宋_GB2312" w:cs="仿宋_GB2312"/>
          <w:b w:val="0"/>
          <w:bCs w:val="0"/>
          <w:color w:val="000000"/>
          <w:kern w:val="0"/>
          <w:sz w:val="32"/>
          <w:szCs w:val="32"/>
          <w:lang w:val="en-US" w:eastAsia="zh-CN" w:bidi="ar"/>
        </w:rPr>
        <w:t>1.统筹研究和组织实施全区农业农村工作的发展规划、中长期规划、重大措施。</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2.牵头组织改善农村人居环境。</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3.负责农民承包地、农村宅基地改革和管理有关工作。</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4.指导全区农产品初加工和休闲农业发展工作。</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5.负责全区种植业、畜牧业、渔业、农业机械化等农业各产业的监督管理。</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6.负责农产品质量安全监督管理。</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7.组织全区农业资源区划工作。</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8.负责全区有关农业生产资料和农业投入品的监督管理。</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9.负责农业防灾减灾、农作物重大病虫害防治工作。</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10.负责全区农业投资管理。</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11.推动农业科技体制改革和农业科技创新体系建设。</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12.指导农业农村人才工作。</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13.统筹协调和监督指导全区农业综合执法工作。</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14.完成区委、区政府和区委农村工作领导小组交办的其他任务。</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w:t>
      </w: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sz w:val="32"/>
          <w:szCs w:val="32"/>
          <w:lang w:val="en-US" w:eastAsia="zh-CN"/>
        </w:rPr>
        <w:t>杨陵区农业农村局是区政府工作部门，行政单位，下属9个事业单位，包括杨陵区农业机械化技术推广与安全监理站、杨陵区农业综合执法大队、杨陵区果蔬管理局、杨陵区农产品质量安全监管中心、杨陵区农业技术推广服务中心、杨陵区农村经济管理服务站、杨陵区动物防疫站、杨陵区农业综合开发领导小组办公室、杨陵区畜牧兽医技术推广站。</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top"/>
          </w:tcPr>
          <w:p>
            <w:pPr>
              <w:bidi w:val="0"/>
              <w:ind w:left="0" w:leftChars="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杨陵区农业农村局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top"/>
          </w:tcPr>
          <w:p>
            <w:pPr>
              <w:pageBreakBefore w:val="0"/>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auto"/>
                <w:position w:val="-1"/>
                <w:sz w:val="32"/>
                <w:szCs w:val="32"/>
                <w:u w:val="none"/>
              </w:rPr>
              <w:t>杨陵区农业机械化技术推广与安全监理站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top"/>
          </w:tcPr>
          <w:p>
            <w:pPr>
              <w:pageBreakBefore w:val="0"/>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auto"/>
                <w:position w:val="-1"/>
                <w:sz w:val="32"/>
                <w:szCs w:val="32"/>
                <w:u w:val="none"/>
              </w:rPr>
              <w:t>杨陵区农业综合执法大队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7278" w:type="dxa"/>
            <w:vAlign w:val="top"/>
          </w:tcPr>
          <w:p>
            <w:pPr>
              <w:pageBreakBefore w:val="0"/>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auto"/>
                <w:position w:val="-1"/>
                <w:sz w:val="32"/>
                <w:szCs w:val="32"/>
                <w:u w:val="none"/>
              </w:rPr>
              <w:t>杨陵区果蔬管理局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278" w:type="dxa"/>
            <w:vAlign w:val="top"/>
          </w:tcPr>
          <w:p>
            <w:pPr>
              <w:pageBreakBefore w:val="0"/>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auto"/>
                <w:position w:val="-1"/>
                <w:sz w:val="32"/>
                <w:szCs w:val="32"/>
                <w:u w:val="none"/>
              </w:rPr>
              <w:t>杨陵区农产品质量安全监管中心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278" w:type="dxa"/>
            <w:vAlign w:val="top"/>
          </w:tcPr>
          <w:p>
            <w:pPr>
              <w:pageBreakBefore w:val="0"/>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i w:val="0"/>
                <w:strike w:val="0"/>
                <w:color w:val="auto"/>
                <w:position w:val="-1"/>
                <w:sz w:val="32"/>
                <w:szCs w:val="32"/>
                <w:u w:val="none"/>
              </w:rPr>
              <w:t>杨陵区农业技术推广服务中心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7278" w:type="dxa"/>
            <w:vAlign w:val="top"/>
          </w:tcPr>
          <w:p>
            <w:pPr>
              <w:pageBreakBefore w:val="0"/>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i w:val="0"/>
                <w:strike w:val="0"/>
                <w:color w:val="auto"/>
                <w:position w:val="-1"/>
                <w:sz w:val="32"/>
                <w:szCs w:val="32"/>
                <w:u w:val="none"/>
              </w:rPr>
              <w:t>杨陵区农村经济管理服务站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7278" w:type="dxa"/>
            <w:vAlign w:val="top"/>
          </w:tcPr>
          <w:p>
            <w:pPr>
              <w:pageBreakBefore w:val="0"/>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i w:val="0"/>
                <w:strike w:val="0"/>
                <w:color w:val="auto"/>
                <w:position w:val="-1"/>
                <w:sz w:val="32"/>
                <w:szCs w:val="32"/>
                <w:u w:val="none"/>
              </w:rPr>
              <w:t>杨陵区动物防疫站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tc>
        <w:tc>
          <w:tcPr>
            <w:tcW w:w="7278" w:type="dxa"/>
            <w:vAlign w:val="top"/>
          </w:tcPr>
          <w:p>
            <w:pPr>
              <w:pageBreakBefore w:val="0"/>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i w:val="0"/>
                <w:strike w:val="0"/>
                <w:color w:val="auto"/>
                <w:position w:val="-1"/>
                <w:sz w:val="32"/>
                <w:szCs w:val="32"/>
                <w:u w:val="none"/>
              </w:rPr>
              <w:t>杨陵区农业综合开发领导小组办公室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7278" w:type="dxa"/>
            <w:vAlign w:val="top"/>
          </w:tcPr>
          <w:p>
            <w:pPr>
              <w:pageBreakBefore w:val="0"/>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i w:val="0"/>
                <w:strike w:val="0"/>
                <w:color w:val="auto"/>
                <w:position w:val="-1"/>
                <w:sz w:val="32"/>
                <w:szCs w:val="32"/>
                <w:u w:val="none"/>
              </w:rPr>
              <w:t>杨陵区畜牧兽医技术推广站</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截止2019年底，本部门人员编制110人，其中行政编制10人、事业编制100人；实有人员84人，其中行政10人、事业74人、单位管理的离退休人员40人。</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drawing>
          <wp:inline distT="0" distB="0" distL="0" distR="0">
            <wp:extent cx="5066030" cy="2789555"/>
            <wp:effectExtent l="4445" t="4445" r="15875" b="63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pPr>
    </w:p>
    <w:p>
      <w:pPr>
        <w:widowControl/>
        <w:jc w:val="center"/>
      </w:pPr>
    </w:p>
    <w:p>
      <w:pPr>
        <w:widowControl/>
        <w:jc w:val="center"/>
      </w:pPr>
    </w:p>
    <w:p>
      <w:pPr>
        <w:widowControl/>
        <w:jc w:val="cente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本年无</w:t>
            </w:r>
            <w:r>
              <w:rPr>
                <w:rFonts w:hint="eastAsia" w:ascii="宋体" w:hAnsi="宋体" w:cs="宋体"/>
                <w:color w:val="000000"/>
                <w:kern w:val="0"/>
                <w:sz w:val="24"/>
                <w:lang w:bidi="ar"/>
              </w:rPr>
              <w:t>政府性基金预算</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杨陵区农业农村局（汇总）</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1670.17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2654.04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82.65</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7322.69</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4.62</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4324.21</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7479.96</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3916.43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760.68</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8240.64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8240.64</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杨陵区农业农村局（汇总）</w:t>
      </w:r>
      <w:r>
        <w:rPr>
          <w:rFonts w:hint="eastAsia" w:ascii="宋体" w:hAnsi="宋体" w:cs="宋体"/>
          <w:b/>
          <w:bCs/>
          <w:szCs w:val="21"/>
        </w:rPr>
        <w:t xml:space="preserve">                                    金额单位：万元</w:t>
      </w:r>
    </w:p>
    <w:tbl>
      <w:tblPr>
        <w:tblStyle w:val="7"/>
        <w:tblpPr w:leftFromText="180" w:rightFromText="180" w:vertAnchor="text" w:horzAnchor="page" w:tblpX="1362" w:tblpY="331"/>
        <w:tblOverlap w:val="never"/>
        <w:tblW w:w="9272" w:type="dxa"/>
        <w:tblInd w:w="0" w:type="dxa"/>
        <w:tblLayout w:type="fixed"/>
        <w:tblCellMar>
          <w:top w:w="15" w:type="dxa"/>
          <w:left w:w="15" w:type="dxa"/>
          <w:bottom w:w="15" w:type="dxa"/>
          <w:right w:w="15" w:type="dxa"/>
        </w:tblCellMar>
      </w:tblPr>
      <w:tblGrid>
        <w:gridCol w:w="1050"/>
        <w:gridCol w:w="2025"/>
        <w:gridCol w:w="1125"/>
        <w:gridCol w:w="900"/>
        <w:gridCol w:w="720"/>
        <w:gridCol w:w="615"/>
        <w:gridCol w:w="630"/>
        <w:gridCol w:w="630"/>
        <w:gridCol w:w="570"/>
        <w:gridCol w:w="1007"/>
      </w:tblGrid>
      <w:tr>
        <w:tblPrEx>
          <w:tblCellMar>
            <w:top w:w="15" w:type="dxa"/>
            <w:left w:w="15" w:type="dxa"/>
            <w:bottom w:w="15" w:type="dxa"/>
            <w:right w:w="15" w:type="dxa"/>
          </w:tblCellMar>
        </w:tblPrEx>
        <w:trPr>
          <w:trHeight w:val="439" w:hRule="atLeas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2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40" w:hRule="atLeast"/>
        </w:trPr>
        <w:tc>
          <w:tcPr>
            <w:tcW w:w="105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02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其中：教育收费</w:t>
            </w: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4,324.21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1,670.17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2,654.04</w:t>
            </w:r>
          </w:p>
        </w:tc>
      </w:tr>
      <w:tr>
        <w:tblPrEx>
          <w:tblCellMar>
            <w:top w:w="15" w:type="dxa"/>
            <w:left w:w="15" w:type="dxa"/>
            <w:bottom w:w="15" w:type="dxa"/>
            <w:right w:w="15" w:type="dxa"/>
          </w:tblCellMar>
        </w:tblPrEx>
        <w:trPr>
          <w:trHeight w:val="90"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节能环保支出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82.65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82.65</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21199</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其他节能环保支出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82.65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82.65</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2119901</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其他节能环保支出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82.65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82.65</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农林水支出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4,176.94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1,670.17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2,506.77</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农业</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3,403.14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1,511.08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1,892.06</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2130101</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行政运行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206.61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206.61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2130104</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事业运行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919.43</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919.43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2130106</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科技转化与推广服务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122.81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122.81</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2130108</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病虫害控制</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206.80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98.27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108.53</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2130109</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农产品质量安全</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29.79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27.87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1.92</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2130112</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农业行业业务管理</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2130119</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防灾救灾</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2.09</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2130122</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农业生产支持补贴</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135.88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59.85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76.03</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2130124</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农业组织化与产业化经营</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95.05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5.95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89.09</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2130126</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农村公益事业</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657.25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657.25</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2130135</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农业资源保护修复与利用</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99.85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99.85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3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2130199</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其他农业支出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919.38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85.04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834.34</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21302</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林业和草原</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82.14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82.14</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2130205</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森林培育</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82.14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82.14</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扶贫</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6.44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6.44</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2130505</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生产发展</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6.44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6.44</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21306</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农业综合开发</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613.51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87.37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526.13</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2130601</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机构运行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87.37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87.37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2130604</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创新示范</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491.20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491.20</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2130699</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其他农业综合开发支出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34.93</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34.93</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农村综合改革</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13.81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13.81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2130799</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其他农村综合改革支出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13.81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13.81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21308</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普惠金融发展支出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57.90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57.90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2130803</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农业保险保费补贴</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57.90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57.90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214</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交通运输支出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4.62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4.62</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21401</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公路水路运输</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4.62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4.62</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2140199</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其他公路水路运输支出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4.62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4.62</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自然资源海洋气象等支出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60.00</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22099</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其他自然资源海洋气象等支出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60.00</w:t>
            </w:r>
          </w:p>
        </w:tc>
      </w:tr>
      <w:tr>
        <w:tblPrEx>
          <w:tblCellMar>
            <w:top w:w="15" w:type="dxa"/>
            <w:left w:w="15" w:type="dxa"/>
            <w:bottom w:w="15" w:type="dxa"/>
            <w:right w:w="15" w:type="dxa"/>
          </w:tblCellMar>
        </w:tblPrEx>
        <w:trPr>
          <w:trHeight w:val="44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2209901</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宋体"/>
                <w:color w:val="000000"/>
                <w:szCs w:val="21"/>
              </w:rPr>
            </w:pPr>
            <w:r>
              <w:rPr>
                <w:rFonts w:hint="default" w:ascii="Arial" w:hAnsi="Arial" w:eastAsia="宋体" w:cs="Arial"/>
                <w:i w:val="0"/>
                <w:color w:val="000000"/>
                <w:kern w:val="0"/>
                <w:sz w:val="20"/>
                <w:szCs w:val="20"/>
                <w:u w:val="none"/>
                <w:lang w:val="en-US" w:eastAsia="zh-CN" w:bidi="ar"/>
              </w:rPr>
              <w:t xml:space="preserve">  其他自然资源海洋气象等支出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60.00</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杨陵区农业农村局（汇总）</w:t>
      </w:r>
      <w:r>
        <w:rPr>
          <w:rFonts w:hint="eastAsia" w:ascii="宋体" w:hAnsi="宋体" w:cs="宋体"/>
          <w:b/>
          <w:bCs/>
          <w:szCs w:val="21"/>
        </w:rPr>
        <w:t xml:space="preserve">                                    金额单位：万元</w:t>
      </w:r>
    </w:p>
    <w:tbl>
      <w:tblPr>
        <w:tblStyle w:val="7"/>
        <w:tblW w:w="9315" w:type="dxa"/>
        <w:tblInd w:w="-208" w:type="dxa"/>
        <w:tblLayout w:type="fixed"/>
        <w:tblCellMar>
          <w:top w:w="15" w:type="dxa"/>
          <w:left w:w="15" w:type="dxa"/>
          <w:bottom w:w="15" w:type="dxa"/>
          <w:right w:w="15" w:type="dxa"/>
        </w:tblCellMar>
      </w:tblPr>
      <w:tblGrid>
        <w:gridCol w:w="1050"/>
        <w:gridCol w:w="2490"/>
        <w:gridCol w:w="1170"/>
        <w:gridCol w:w="1065"/>
        <w:gridCol w:w="1005"/>
        <w:gridCol w:w="945"/>
        <w:gridCol w:w="645"/>
        <w:gridCol w:w="945"/>
      </w:tblGrid>
      <w:tr>
        <w:tblPrEx>
          <w:tblCellMar>
            <w:top w:w="15" w:type="dxa"/>
            <w:left w:w="15" w:type="dxa"/>
            <w:bottom w:w="15" w:type="dxa"/>
            <w:right w:w="15" w:type="dxa"/>
          </w:tblCellMar>
        </w:tblPrEx>
        <w:trPr>
          <w:trHeight w:val="372" w:hRule="atLeast"/>
        </w:trPr>
        <w:tc>
          <w:tcPr>
            <w:tcW w:w="35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项目</w:t>
            </w:r>
          </w:p>
        </w:tc>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合计</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基本支出</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项目支出</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上缴上</w:t>
            </w:r>
          </w:p>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级支出</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经营</w:t>
            </w:r>
          </w:p>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支出</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对附属</w:t>
            </w:r>
          </w:p>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单位补助支出</w:t>
            </w:r>
          </w:p>
        </w:tc>
      </w:tr>
      <w:tr>
        <w:tblPrEx>
          <w:tblCellMar>
            <w:top w:w="15" w:type="dxa"/>
            <w:left w:w="15" w:type="dxa"/>
            <w:bottom w:w="15" w:type="dxa"/>
            <w:right w:w="15" w:type="dxa"/>
          </w:tblCellMar>
        </w:tblPrEx>
        <w:trPr>
          <w:trHeight w:val="70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功能分类科目编码</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科目名称</w:t>
            </w:r>
          </w:p>
        </w:tc>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rPr>
            </w:pPr>
          </w:p>
        </w:tc>
      </w:tr>
      <w:tr>
        <w:tblPrEx>
          <w:tblCellMar>
            <w:top w:w="15" w:type="dxa"/>
            <w:left w:w="15" w:type="dxa"/>
            <w:bottom w:w="15" w:type="dxa"/>
            <w:right w:w="15" w:type="dxa"/>
          </w:tblCellMar>
        </w:tblPrEx>
        <w:trPr>
          <w:trHeight w:val="665" w:hRule="atLeast"/>
        </w:trPr>
        <w:tc>
          <w:tcPr>
            <w:tcW w:w="35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合计</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7,479.96</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1,213.57</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6,266.38</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20104</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发展与改革事务</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2010499</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211</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节能环保支出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82.65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82.65</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21199</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其他节能环保支出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82.65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82.65</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2119901</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82.65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82.65</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农林水支出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7,322.69</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1,213.57</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6,109.11</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农业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6,548.88</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1,126.20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5,422.69</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2130101</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206.60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206.60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2130104</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919.60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919.60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2130106</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科技转化与推广服务</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123.01</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123.01</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2130108</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病虫害控制</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205.79</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205.79</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2130109</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农产品质量安全</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29.79</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29.79</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2130110</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执法监管</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2.86</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2.86</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2130112</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农业行业业务管理</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2130119</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防灾救灾</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2.09</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2.09</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2130122</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农业生产支持补贴</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135.68</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135.68</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2130124</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农业组织化与产业化经营</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98.69</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98.69</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2130126</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农村公益事业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657.25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657.25</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2130135</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农业资源保护修复与利用</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99.85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99.85</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2130199</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其他农业支出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4,059.47</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4,059.47</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21302</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林业和草原</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82.14</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82.14</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2130205</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森林培育</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82.14</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82.14</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21305</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扶贫</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6.44</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6.44</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2130505</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生产发展</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6.44</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6.44</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21306</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农业综合开发</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613.51</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87.37</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526.13</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2130601</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机构运行</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87.37</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87.37</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2130604</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创新示范</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491.20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491.20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2130699</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其他农业综合开发支出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34.93</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34.93</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21307</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农村综合改革</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13.81</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13.81</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2130799</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13.81</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13.81</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21308</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普惠金融发展支出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57.90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57.90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2130803</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农业保险保费补贴</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57.90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57.90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214</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交通运输支出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4.62</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4.62</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21401</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公路水路运输</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4.62</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4.62</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2140199</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其他公路水路运输支出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4.62</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4.62</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220</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自然资源海洋气象等支出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60.00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22099</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其他自然资源海洋气象等支出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60.00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2209901</w:t>
            </w:r>
          </w:p>
        </w:tc>
        <w:tc>
          <w:tcPr>
            <w:tcW w:w="2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其他自然资源海洋气象等支出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60.00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杨陵区农业农村局（汇总）</w:t>
      </w:r>
      <w:r>
        <w:rPr>
          <w:rFonts w:hint="eastAsia" w:ascii="宋体" w:hAnsi="宋体" w:cs="宋体"/>
          <w:b/>
          <w:bCs/>
          <w:szCs w:val="21"/>
        </w:rPr>
        <w:t xml:space="preserve">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1670.17</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1670.35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1670.35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0</w:t>
            </w: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szCs w:val="21"/>
                <w:lang w:val="en-US" w:eastAsia="zh-CN"/>
              </w:rPr>
              <w:t>0</w:t>
            </w: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szCs w:val="21"/>
                <w:lang w:val="en-US" w:eastAsia="zh-CN"/>
              </w:rPr>
              <w:t>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杨陵区农业农村局（汇总）</w:t>
      </w:r>
      <w:r>
        <w:rPr>
          <w:rFonts w:hint="eastAsia" w:ascii="宋体" w:hAnsi="宋体" w:cs="宋体"/>
          <w:b/>
          <w:bCs/>
          <w:szCs w:val="21"/>
        </w:rPr>
        <w:t xml:space="preserve">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val="0"/>
                <w:bCs w:val="0"/>
                <w:color w:val="000000"/>
                <w:szCs w:val="21"/>
              </w:rPr>
            </w:pPr>
            <w:r>
              <w:rPr>
                <w:rFonts w:hint="eastAsia" w:ascii="宋体" w:hAnsi="宋体" w:cs="宋体"/>
                <w:b w:val="0"/>
                <w:bCs w:val="0"/>
                <w:color w:val="000000"/>
                <w:kern w:val="0"/>
                <w:szCs w:val="21"/>
                <w:lang w:val="en-US" w:eastAsia="zh-CN"/>
              </w:rPr>
              <w:t>1670.17</w:t>
            </w:r>
            <w:r>
              <w:rPr>
                <w:rFonts w:hint="eastAsia" w:ascii="宋体" w:hAnsi="宋体" w:cs="宋体"/>
                <w:b w:val="0"/>
                <w:bCs w:val="0"/>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1670.35</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1670.35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0.20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0.01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0.01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0.20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val="0"/>
                <w:bCs/>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val="0"/>
                <w:bCs/>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val="0"/>
                <w:bCs/>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val="0"/>
                <w:bCs/>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val="0"/>
                <w:bCs/>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val="0"/>
                <w:bCs/>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1670.37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1670.37</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1670.37</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w:t>
            </w: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杨陵区农业农村局（汇总）</w:t>
      </w:r>
      <w:r>
        <w:rPr>
          <w:rFonts w:hint="eastAsia" w:ascii="宋体" w:hAnsi="宋体" w:cs="宋体"/>
          <w:b/>
          <w:bCs/>
          <w:szCs w:val="21"/>
        </w:rPr>
        <w:t xml:space="preserve">                                   金额单位：万元</w:t>
      </w:r>
    </w:p>
    <w:tbl>
      <w:tblPr>
        <w:tblStyle w:val="7"/>
        <w:tblW w:w="9420" w:type="dxa"/>
        <w:tblInd w:w="-283" w:type="dxa"/>
        <w:tblLayout w:type="fixed"/>
        <w:tblCellMar>
          <w:top w:w="15" w:type="dxa"/>
          <w:left w:w="15" w:type="dxa"/>
          <w:bottom w:w="15" w:type="dxa"/>
          <w:right w:w="15" w:type="dxa"/>
        </w:tblCellMar>
      </w:tblPr>
      <w:tblGrid>
        <w:gridCol w:w="1140"/>
        <w:gridCol w:w="2550"/>
        <w:gridCol w:w="1035"/>
        <w:gridCol w:w="840"/>
        <w:gridCol w:w="945"/>
        <w:gridCol w:w="945"/>
        <w:gridCol w:w="990"/>
        <w:gridCol w:w="975"/>
      </w:tblGrid>
      <w:tr>
        <w:tblPrEx>
          <w:tblCellMar>
            <w:top w:w="15" w:type="dxa"/>
            <w:left w:w="15" w:type="dxa"/>
            <w:bottom w:w="15" w:type="dxa"/>
            <w:right w:w="15" w:type="dxa"/>
          </w:tblCellMar>
        </w:tblPrEx>
        <w:trPr>
          <w:trHeight w:val="414" w:hRule="atLeast"/>
        </w:trPr>
        <w:tc>
          <w:tcPr>
            <w:tcW w:w="3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730"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3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1,670.35</w:t>
            </w:r>
          </w:p>
        </w:tc>
        <w:tc>
          <w:tcPr>
            <w:tcW w:w="840" w:type="dxa"/>
            <w:tcBorders>
              <w:top w:val="single" w:color="000000" w:sz="4" w:space="0"/>
              <w:left w:val="single" w:color="000000" w:sz="4" w:space="0"/>
              <w:bottom w:val="single" w:color="000000" w:sz="4" w:space="0"/>
              <w:right w:val="single" w:color="000000" w:sz="4" w:space="0"/>
            </w:tcBorders>
            <w:vAlign w:val="center"/>
          </w:tcPr>
          <w:p>
            <w:pPr>
              <w:tabs>
                <w:tab w:val="left" w:pos="450"/>
              </w:tabs>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1213.4</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1161</w:t>
            </w:r>
          </w:p>
        </w:tc>
        <w:tc>
          <w:tcPr>
            <w:tcW w:w="945" w:type="dxa"/>
            <w:tcBorders>
              <w:top w:val="single" w:color="000000" w:sz="4" w:space="0"/>
              <w:left w:val="single" w:color="000000" w:sz="4" w:space="0"/>
              <w:bottom w:val="single" w:color="000000" w:sz="4" w:space="0"/>
              <w:right w:val="single" w:color="000000" w:sz="4" w:space="0"/>
            </w:tcBorders>
            <w:vAlign w:val="center"/>
          </w:tcPr>
          <w:p>
            <w:pPr>
              <w:tabs>
                <w:tab w:val="left" w:pos="364"/>
              </w:tabs>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52.41</w:t>
            </w:r>
          </w:p>
        </w:tc>
        <w:tc>
          <w:tcPr>
            <w:tcW w:w="990" w:type="dxa"/>
            <w:tcBorders>
              <w:top w:val="single" w:color="000000" w:sz="4" w:space="0"/>
              <w:left w:val="single" w:color="000000" w:sz="4" w:space="0"/>
              <w:bottom w:val="single" w:color="000000" w:sz="4" w:space="0"/>
              <w:right w:val="single" w:color="000000" w:sz="4" w:space="0"/>
            </w:tcBorders>
            <w:vAlign w:val="center"/>
          </w:tcPr>
          <w:p>
            <w:pPr>
              <w:tabs>
                <w:tab w:val="left" w:pos="465"/>
              </w:tabs>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456.95</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516"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农林水支出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1,670.35</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1161</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1161</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农业</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1,511.27</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1126.04</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1076.51</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49.53</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385.23</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76"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2130101</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206.60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206.60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157.08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49.53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auto"/>
                <w:szCs w:val="21"/>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2130104</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919.43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919.34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919.43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2130106</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科技转化与推广服务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0.20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auto"/>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0.2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2130108</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病虫害控制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98.27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auto"/>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98.27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2130109</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农产品质量安全</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27.87</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tabs>
                <w:tab w:val="left" w:pos="375"/>
              </w:tabs>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27.87</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2130112</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农业行业业务管理</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8.20</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auto"/>
                <w:szCs w:val="21"/>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8.20</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2130122</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农业生产支持补贴</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59.85</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59.85</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2130124</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农业组织化与产业化经营</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5.95</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5.95</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2130135</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农业资源保护修复与利用</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99.85</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99.85</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2130199</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其他农业支出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85.04</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85.04</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21306</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农业综合开发</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87.37</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87.37</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84.49</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2.88</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2130601</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机构运行</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87.37</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87.37</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84.49</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2.88</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农村综合改革</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13.81</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2"/>
                <w:szCs w:val="22"/>
                <w:u w:val="none"/>
                <w:lang w:val="en-US" w:eastAsia="zh-CN" w:bidi="ar"/>
              </w:rPr>
              <w:t>13.81</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2130799</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13.81</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2"/>
                <w:szCs w:val="22"/>
                <w:u w:val="none"/>
                <w:lang w:val="en-US" w:eastAsia="zh-CN" w:bidi="ar"/>
              </w:rPr>
              <w:t>13.81</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21308</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普惠金融发展支出</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57.90</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auto"/>
                <w:kern w:val="2"/>
                <w:sz w:val="21"/>
                <w:szCs w:val="21"/>
                <w:lang w:val="en-US" w:eastAsia="zh-CN" w:bidi="ar-SA"/>
              </w:rPr>
            </w:pPr>
            <w:r>
              <w:rPr>
                <w:rFonts w:hint="eastAsia" w:ascii="宋体" w:hAnsi="宋体" w:eastAsia="宋体" w:cs="宋体"/>
                <w:i w:val="0"/>
                <w:color w:val="auto"/>
                <w:kern w:val="0"/>
                <w:sz w:val="22"/>
                <w:szCs w:val="22"/>
                <w:u w:val="none"/>
                <w:lang w:val="en-US" w:eastAsia="zh-CN" w:bidi="ar"/>
              </w:rPr>
              <w:t>57.90</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auto"/>
                <w:szCs w:val="21"/>
              </w:rPr>
            </w:pPr>
          </w:p>
        </w:tc>
      </w:tr>
      <w:tr>
        <w:tblPrEx>
          <w:tblCellMar>
            <w:top w:w="15" w:type="dxa"/>
            <w:left w:w="15" w:type="dxa"/>
            <w:bottom w:w="15" w:type="dxa"/>
            <w:right w:w="15" w:type="dxa"/>
          </w:tblCellMar>
        </w:tblPrEx>
        <w:trPr>
          <w:trHeight w:val="414"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2130803</w:t>
            </w:r>
          </w:p>
        </w:tc>
        <w:tc>
          <w:tcPr>
            <w:tcW w:w="2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农业保险保费补贴</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57.90</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57.90</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杨陵区农业农村局（汇总）</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0" w:type="auto"/>
        <w:tblInd w:w="0" w:type="dxa"/>
        <w:tblLayout w:type="autofit"/>
        <w:tblCellMar>
          <w:top w:w="15" w:type="dxa"/>
          <w:left w:w="15" w:type="dxa"/>
          <w:bottom w:w="15" w:type="dxa"/>
          <w:right w:w="15" w:type="dxa"/>
        </w:tblCellMar>
      </w:tblPr>
      <w:tblGrid>
        <w:gridCol w:w="1127"/>
        <w:gridCol w:w="3135"/>
        <w:gridCol w:w="1560"/>
        <w:gridCol w:w="1080"/>
        <w:gridCol w:w="945"/>
        <w:gridCol w:w="915"/>
      </w:tblGrid>
      <w:tr>
        <w:tblPrEx>
          <w:tblCellMar>
            <w:top w:w="15" w:type="dxa"/>
            <w:left w:w="15" w:type="dxa"/>
            <w:bottom w:w="15" w:type="dxa"/>
            <w:right w:w="15" w:type="dxa"/>
          </w:tblCellMar>
        </w:tblPrEx>
        <w:trPr>
          <w:trHeight w:val="394" w:hRule="atLeast"/>
        </w:trPr>
        <w:tc>
          <w:tcPr>
            <w:tcW w:w="42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15"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42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560"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1213.4</w:t>
            </w:r>
          </w:p>
        </w:tc>
        <w:tc>
          <w:tcPr>
            <w:tcW w:w="1080"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1161</w:t>
            </w:r>
          </w:p>
        </w:tc>
        <w:tc>
          <w:tcPr>
            <w:tcW w:w="945"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52.41</w:t>
            </w:r>
          </w:p>
        </w:tc>
        <w:tc>
          <w:tcPr>
            <w:tcW w:w="91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1015.22</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1015.22</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374.1</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374.1</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85.68</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85.68</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30103</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奖金</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188.02</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188.02</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30106</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伙食补助费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15.81</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15.81</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30107</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绩效工资</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238.25</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238.25</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30108</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机关事业单位基本养老保险缴费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113.37</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113.37</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52.41</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52.41</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2.63</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2.63</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1.04</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1.04</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30203</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咨询费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0.8</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30204</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手续费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0.15</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30205</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水费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0.9</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0.9</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30206</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电费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5.6</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5.6</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30207</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邮电费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2.74</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2.74</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30211</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差旅费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5.18</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5.18</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30213</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维修（护）费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4.15</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30216</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培训费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4.15</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30227</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委托业务费</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16.27</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16.27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30239</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其他交通费用</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8.8</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303</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对个人和家庭的补助</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145.77</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145.77</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30304</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抚恤金</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18.75</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18.75</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30309</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奖励金</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0.27</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0.27</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r>
      <w:tr>
        <w:tblPrEx>
          <w:tblCellMar>
            <w:top w:w="15" w:type="dxa"/>
            <w:left w:w="15" w:type="dxa"/>
            <w:bottom w:w="15" w:type="dxa"/>
            <w:right w:w="15" w:type="dxa"/>
          </w:tblCellMar>
        </w:tblPrEx>
        <w:trPr>
          <w:trHeight w:val="434"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30310</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生活补贴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4.25</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4.25</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79" w:hRule="atLeast"/>
        </w:trPr>
        <w:tc>
          <w:tcPr>
            <w:tcW w:w="112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30311</w:t>
            </w:r>
          </w:p>
        </w:tc>
        <w:tc>
          <w:tcPr>
            <w:tcW w:w="313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住房公积金</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122.5</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122.5</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杨陵区农业农村局（汇总）</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13.14</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4.22</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8.92</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8.92</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b w:val="0"/>
                <w:bCs/>
                <w:color w:val="000000"/>
                <w:szCs w:val="21"/>
                <w:lang w:val="en-US"/>
              </w:rPr>
            </w:pPr>
            <w:r>
              <w:rPr>
                <w:rFonts w:hint="eastAsia" w:ascii="宋体" w:hAnsi="宋体" w:cs="宋体"/>
                <w:b w:val="0"/>
                <w:bCs/>
                <w:color w:val="000000"/>
                <w:szCs w:val="21"/>
                <w:lang w:val="en-US" w:eastAsia="zh-CN"/>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4.15</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杨陵区农业农村局（汇总）</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2019年收入</w:t>
      </w:r>
      <w:r>
        <w:rPr>
          <w:rFonts w:hint="eastAsia" w:ascii="仿宋_GB2312" w:hAnsi="仿宋" w:eastAsia="仿宋_GB2312"/>
          <w:sz w:val="32"/>
          <w:szCs w:val="32"/>
          <w:lang w:val="en-US" w:eastAsia="zh-CN"/>
        </w:rPr>
        <w:t>4324.21</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9329.73万元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53.65</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的主要原因是项目</w:t>
      </w:r>
      <w:r>
        <w:rPr>
          <w:rFonts w:hint="eastAsia" w:ascii="仿宋_GB2312" w:hAnsi="仿宋" w:eastAsia="仿宋_GB2312"/>
          <w:sz w:val="32"/>
          <w:szCs w:val="32"/>
          <w:lang w:eastAsia="zh-CN"/>
        </w:rPr>
        <w:t>收入</w:t>
      </w:r>
      <w:r>
        <w:rPr>
          <w:rFonts w:hint="eastAsia" w:ascii="仿宋_GB2312" w:hAnsi="仿宋" w:eastAsia="仿宋_GB2312"/>
          <w:sz w:val="32"/>
          <w:szCs w:val="32"/>
        </w:rPr>
        <w:t>资金</w:t>
      </w:r>
      <w:r>
        <w:rPr>
          <w:rFonts w:hint="eastAsia" w:ascii="仿宋_GB2312" w:hAnsi="仿宋" w:eastAsia="仿宋_GB2312"/>
          <w:sz w:val="32"/>
          <w:szCs w:val="32"/>
          <w:lang w:eastAsia="zh-CN"/>
        </w:rPr>
        <w:t>减少。</w:t>
      </w:r>
    </w:p>
    <w:p>
      <w:pPr>
        <w:widowControl/>
        <w:ind w:firstLine="640" w:firstLineChars="200"/>
        <w:jc w:val="left"/>
        <w:rPr>
          <w:rFonts w:hint="eastAsia" w:ascii="仿宋_GB2312" w:hAnsi="仿宋" w:eastAsia="仿宋_GB2312"/>
          <w:sz w:val="32"/>
          <w:szCs w:val="32"/>
        </w:rPr>
      </w:pPr>
      <w:r>
        <w:rPr>
          <w:rFonts w:ascii="仿宋_GB2312" w:hAnsi="仿宋" w:eastAsia="仿宋_GB2312"/>
          <w:sz w:val="32"/>
          <w:szCs w:val="32"/>
        </w:rPr>
        <w:drawing>
          <wp:inline distT="0" distB="0" distL="0" distR="0">
            <wp:extent cx="5118100" cy="1786255"/>
            <wp:effectExtent l="4445" t="4445" r="2095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2019年支出</w:t>
      </w:r>
      <w:r>
        <w:rPr>
          <w:rFonts w:hint="eastAsia" w:ascii="仿宋_GB2312" w:hAnsi="仿宋" w:eastAsia="仿宋_GB2312"/>
          <w:sz w:val="32"/>
          <w:szCs w:val="32"/>
          <w:lang w:val="en-US" w:eastAsia="zh-CN"/>
        </w:rPr>
        <w:t>7479.96</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5955.48万元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25.6</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的主要原因是</w:t>
      </w:r>
      <w:r>
        <w:rPr>
          <w:rFonts w:hint="eastAsia" w:ascii="仿宋_GB2312" w:hAnsi="仿宋" w:eastAsia="仿宋_GB2312"/>
          <w:sz w:val="32"/>
          <w:szCs w:val="32"/>
          <w:lang w:val="en-US" w:eastAsia="zh-CN"/>
        </w:rPr>
        <w:t>机构改革，工作职能增加，上年结转</w:t>
      </w:r>
      <w:r>
        <w:rPr>
          <w:rFonts w:hint="eastAsia" w:ascii="仿宋_GB2312" w:hAnsi="仿宋" w:eastAsia="仿宋_GB2312"/>
          <w:sz w:val="32"/>
          <w:szCs w:val="32"/>
        </w:rPr>
        <w:t>项目资金</w:t>
      </w:r>
      <w:r>
        <w:rPr>
          <w:rFonts w:hint="eastAsia" w:ascii="仿宋_GB2312" w:hAnsi="仿宋" w:eastAsia="仿宋_GB2312"/>
          <w:sz w:val="32"/>
          <w:szCs w:val="32"/>
          <w:lang w:eastAsia="zh-CN"/>
        </w:rPr>
        <w:t>支出增加</w:t>
      </w:r>
      <w:r>
        <w:rPr>
          <w:rFonts w:hint="eastAsia" w:ascii="仿宋_GB2312" w:hAnsi="仿宋" w:eastAsia="仿宋_GB2312"/>
          <w:sz w:val="32"/>
          <w:szCs w:val="32"/>
        </w:rPr>
        <w:t>。</w:t>
      </w:r>
    </w:p>
    <w:p>
      <w:pPr>
        <w:widowControl/>
        <w:ind w:firstLine="640" w:firstLineChars="200"/>
        <w:jc w:val="left"/>
        <w:rPr>
          <w:rFonts w:hint="eastAsia" w:ascii="仿宋_GB2312" w:hAnsi="仿宋" w:eastAsia="仿宋_GB2312"/>
          <w:sz w:val="32"/>
          <w:szCs w:val="32"/>
        </w:rPr>
      </w:pPr>
      <w:r>
        <w:rPr>
          <w:rFonts w:ascii="仿宋_GB2312" w:hAnsi="仿宋" w:eastAsia="仿宋_GB2312"/>
          <w:sz w:val="32"/>
          <w:szCs w:val="32"/>
        </w:rPr>
        <w:drawing>
          <wp:inline distT="0" distB="0" distL="0" distR="0">
            <wp:extent cx="5118100" cy="1786255"/>
            <wp:effectExtent l="4445" t="4445" r="20955"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4324.21</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1670.17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38.62</w:t>
      </w:r>
      <w:r>
        <w:rPr>
          <w:rFonts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2654.04万</w:t>
      </w:r>
      <w:r>
        <w:rPr>
          <w:rFonts w:ascii="仿宋_GB2312" w:hAnsi="宋体" w:eastAsia="仿宋_GB2312" w:cs="仿宋_GB2312"/>
          <w:color w:val="000000"/>
          <w:kern w:val="0"/>
          <w:sz w:val="32"/>
          <w:szCs w:val="32"/>
        </w:rPr>
        <w:t>元，占</w:t>
      </w:r>
      <w:r>
        <w:rPr>
          <w:rFonts w:hint="eastAsia" w:ascii="仿宋_GB2312" w:hAnsi="宋体" w:eastAsia="仿宋_GB2312" w:cs="仿宋_GB2312"/>
          <w:color w:val="000000"/>
          <w:kern w:val="0"/>
          <w:sz w:val="32"/>
          <w:szCs w:val="32"/>
          <w:lang w:val="en-US" w:eastAsia="zh-CN"/>
        </w:rPr>
        <w:t>61.38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bidi="ar"/>
        </w:rPr>
        <w:t>。</w:t>
      </w:r>
    </w:p>
    <w:p>
      <w:pPr>
        <w:widowControl/>
        <w:tabs>
          <w:tab w:val="left" w:pos="837"/>
        </w:tabs>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5017135" cy="2487295"/>
            <wp:effectExtent l="4445" t="4445" r="7620" b="2286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7479.96</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1213.57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16.22</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6266.38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83.78</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drawing>
          <wp:inline distT="0" distB="0" distL="114300" distR="114300">
            <wp:extent cx="4975225" cy="2541905"/>
            <wp:effectExtent l="4445" t="4445" r="11430" b="63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1670.17万元，</w:t>
      </w:r>
      <w:r>
        <w:rPr>
          <w:rFonts w:hint="eastAsia" w:ascii="仿宋_GB2312" w:hAnsi="仿宋" w:eastAsia="仿宋_GB2312"/>
          <w:sz w:val="32"/>
          <w:szCs w:val="32"/>
        </w:rPr>
        <w:t>比上年</w:t>
      </w:r>
      <w:r>
        <w:rPr>
          <w:rFonts w:hint="eastAsia" w:ascii="仿宋_GB2312" w:hAnsi="仿宋" w:eastAsia="仿宋_GB2312"/>
          <w:sz w:val="32"/>
          <w:szCs w:val="32"/>
          <w:lang w:val="en-US" w:eastAsia="zh-CN"/>
        </w:rPr>
        <w:t>1876.98万元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11.02%</w:t>
      </w:r>
      <w:r>
        <w:rPr>
          <w:rFonts w:hint="eastAsia" w:ascii="仿宋_GB2312" w:hAnsi="仿宋" w:eastAsia="仿宋_GB2312"/>
          <w:sz w:val="32"/>
          <w:szCs w:val="32"/>
        </w:rPr>
        <w:t>，主要原因是项目资金减少。</w:t>
      </w:r>
    </w:p>
    <w:p>
      <w:pPr>
        <w:widowControl/>
        <w:ind w:firstLine="640" w:firstLineChars="200"/>
        <w:jc w:val="left"/>
        <w:rPr>
          <w:rFonts w:hint="eastAsia" w:ascii="仿宋_GB2312" w:hAnsi="仿宋" w:eastAsia="仿宋_GB2312"/>
          <w:sz w:val="32"/>
          <w:szCs w:val="32"/>
        </w:rPr>
      </w:pPr>
      <w:r>
        <w:rPr>
          <w:rFonts w:ascii="仿宋_GB2312" w:hAnsi="仿宋" w:eastAsia="仿宋_GB2312"/>
          <w:sz w:val="32"/>
          <w:szCs w:val="32"/>
        </w:rPr>
        <w:drawing>
          <wp:inline distT="0" distB="0" distL="0" distR="0">
            <wp:extent cx="5240655" cy="1789430"/>
            <wp:effectExtent l="4445" t="4445" r="12700" b="1587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1670.35万元,</w:t>
      </w:r>
      <w:r>
        <w:rPr>
          <w:rFonts w:hint="eastAsia" w:ascii="仿宋_GB2312" w:hAnsi="仿宋" w:eastAsia="仿宋_GB2312"/>
          <w:sz w:val="32"/>
          <w:szCs w:val="32"/>
        </w:rPr>
        <w:t>比上年</w:t>
      </w:r>
      <w:r>
        <w:rPr>
          <w:rFonts w:hint="eastAsia" w:ascii="仿宋_GB2312" w:hAnsi="仿宋" w:eastAsia="仿宋_GB2312"/>
          <w:sz w:val="32"/>
          <w:szCs w:val="32"/>
          <w:lang w:val="en-US" w:eastAsia="zh-CN"/>
        </w:rPr>
        <w:t>1877.26万元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11.02%</w:t>
      </w:r>
      <w:r>
        <w:rPr>
          <w:rFonts w:hint="eastAsia" w:ascii="仿宋_GB2312" w:hAnsi="仿宋" w:eastAsia="仿宋_GB2312"/>
          <w:sz w:val="32"/>
          <w:szCs w:val="32"/>
        </w:rPr>
        <w:t>，主要原因</w:t>
      </w:r>
      <w:r>
        <w:rPr>
          <w:rFonts w:hint="eastAsia" w:ascii="仿宋_GB2312" w:hAnsi="宋体" w:eastAsia="仿宋_GB2312" w:cs="仿宋_GB2312"/>
          <w:color w:val="000000"/>
          <w:kern w:val="0"/>
          <w:sz w:val="32"/>
          <w:szCs w:val="32"/>
        </w:rPr>
        <w:t>日常公用经费减少、项目资金减少</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bidi="ar"/>
        </w:rPr>
      </w:pPr>
      <w:r>
        <w:rPr>
          <w:rFonts w:ascii="仿宋_GB2312" w:hAnsi="仿宋" w:eastAsia="仿宋_GB2312"/>
          <w:sz w:val="32"/>
          <w:szCs w:val="32"/>
        </w:rPr>
        <w:drawing>
          <wp:inline distT="0" distB="0" distL="0" distR="0">
            <wp:extent cx="5289550" cy="1938655"/>
            <wp:effectExtent l="4445" t="4445" r="20955"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2019年财政拨款支出</w:t>
      </w:r>
      <w:r>
        <w:rPr>
          <w:rFonts w:hint="eastAsia" w:ascii="仿宋_GB2312" w:hAnsi="宋体" w:eastAsia="仿宋_GB2312" w:cs="仿宋_GB2312"/>
          <w:color w:val="000000"/>
          <w:kern w:val="0"/>
          <w:sz w:val="32"/>
          <w:szCs w:val="32"/>
          <w:lang w:val="en-US" w:eastAsia="zh-CN" w:bidi="ar"/>
        </w:rPr>
        <w:t>1670.35</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22.33</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206.91</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11.02</w:t>
      </w:r>
      <w:r>
        <w:rPr>
          <w:rFonts w:ascii="仿宋_GB2312" w:hAnsi="宋体" w:eastAsia="仿宋_GB2312" w:cs="仿宋_GB2312"/>
          <w:color w:val="000000"/>
          <w:kern w:val="0"/>
          <w:sz w:val="32"/>
          <w:szCs w:val="32"/>
          <w:lang w:bidi="ar"/>
        </w:rPr>
        <w:t>%，</w:t>
      </w:r>
      <w:r>
        <w:rPr>
          <w:rFonts w:hint="eastAsia" w:ascii="仿宋_GB2312" w:hAnsi="仿宋" w:eastAsia="仿宋_GB2312"/>
          <w:sz w:val="32"/>
          <w:szCs w:val="32"/>
        </w:rPr>
        <w:t>主要原因</w:t>
      </w:r>
      <w:r>
        <w:rPr>
          <w:rFonts w:hint="eastAsia" w:ascii="仿宋_GB2312" w:hAnsi="宋体" w:eastAsia="仿宋_GB2312" w:cs="仿宋_GB2312"/>
          <w:color w:val="000000"/>
          <w:kern w:val="0"/>
          <w:sz w:val="32"/>
          <w:szCs w:val="32"/>
        </w:rPr>
        <w:t>日常公用经费减少、项目资金减少</w:t>
      </w:r>
      <w:r>
        <w:rPr>
          <w:rFonts w:hint="eastAsia" w:ascii="仿宋_GB2312" w:hAnsi="宋体" w:eastAsia="仿宋_GB2312" w:cs="仿宋_GB2312"/>
          <w:color w:val="000000"/>
          <w:kern w:val="0"/>
          <w:sz w:val="32"/>
          <w:szCs w:val="32"/>
          <w:lang w:bidi="ar"/>
        </w:rPr>
        <w:t>。</w:t>
      </w:r>
    </w:p>
    <w:p>
      <w:pPr>
        <w:widowControl/>
        <w:ind w:firstLine="420" w:firstLineChars="200"/>
        <w:jc w:val="left"/>
        <w:rPr>
          <w:rFonts w:hint="eastAsia" w:ascii="仿宋_GB2312" w:hAnsi="宋体" w:eastAsia="仿宋_GB2312" w:cs="仿宋_GB2312"/>
          <w:color w:val="000000"/>
          <w:kern w:val="0"/>
          <w:sz w:val="32"/>
          <w:szCs w:val="32"/>
          <w:lang w:bidi="ar"/>
        </w:rPr>
      </w:pPr>
      <w:r>
        <w:drawing>
          <wp:inline distT="0" distB="0" distL="0" distR="0">
            <wp:extent cx="5340350" cy="1854200"/>
            <wp:effectExtent l="4445" t="4445" r="8255" b="825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2019年财政拨款支出年初预算为</w:t>
      </w:r>
      <w:r>
        <w:rPr>
          <w:rFonts w:hint="eastAsia" w:ascii="仿宋_GB2312" w:hAnsi="宋体" w:eastAsia="仿宋_GB2312" w:cs="仿宋_GB2312"/>
          <w:color w:val="000000"/>
          <w:kern w:val="0"/>
          <w:sz w:val="32"/>
          <w:szCs w:val="32"/>
          <w:lang w:val="en-US" w:eastAsia="zh-CN" w:bidi="ar"/>
        </w:rPr>
        <w:t>1609.98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1670.35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103.75</w:t>
      </w:r>
      <w:r>
        <w:rPr>
          <w:rFonts w:ascii="仿宋_GB2312" w:hAnsi="宋体" w:eastAsia="仿宋_GB2312" w:cs="仿宋_GB2312"/>
          <w:color w:val="000000"/>
          <w:kern w:val="0"/>
          <w:sz w:val="32"/>
          <w:szCs w:val="32"/>
          <w:lang w:bidi="ar"/>
        </w:rPr>
        <w:t>%</w:t>
      </w:r>
      <w:bookmarkStart w:id="0" w:name="_GoBack"/>
      <w:bookmarkEnd w:id="0"/>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其中：</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农业</w:t>
      </w:r>
      <w:r>
        <w:rPr>
          <w:rFonts w:ascii="仿宋_GB2312" w:hAnsi="宋体" w:eastAsia="仿宋_GB2312" w:cs="仿宋_GB2312"/>
          <w:b/>
          <w:color w:val="000000"/>
          <w:kern w:val="0"/>
          <w:sz w:val="32"/>
          <w:szCs w:val="32"/>
          <w:lang w:bidi="ar"/>
        </w:rPr>
        <w:t>（款）行政运行（项）。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190.79</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206.6</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108.29</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机构改革，工作职能增加，人员有变动。</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2</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事业运行</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912.71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919.43</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100.74</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机构改革，工作职能增加，人员有变动。</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3</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科技转化与推广服务</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0.2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4</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病虫害控制</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62.17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98.27</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auto"/>
          <w:kern w:val="0"/>
          <w:sz w:val="32"/>
          <w:szCs w:val="32"/>
          <w:lang w:val="en-US" w:eastAsia="zh-CN" w:bidi="ar"/>
        </w:rPr>
        <w:t>158.07</w:t>
      </w:r>
      <w:r>
        <w:rPr>
          <w:rFonts w:ascii="仿宋_GB2312" w:hAnsi="宋体" w:eastAsia="仿宋_GB2312" w:cs="仿宋_GB2312"/>
          <w:color w:val="auto"/>
          <w:kern w:val="0"/>
          <w:sz w:val="32"/>
          <w:szCs w:val="32"/>
          <w:lang w:bidi="ar"/>
        </w:rPr>
        <w:t>%</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项目资金追加</w:t>
      </w:r>
      <w:r>
        <w:rPr>
          <w:rFonts w:hint="eastAsia" w:ascii="仿宋_GB2312" w:hAnsi="宋体" w:eastAsia="仿宋_GB2312" w:cs="仿宋_GB2312"/>
          <w:color w:val="000000"/>
          <w:kern w:val="0"/>
          <w:sz w:val="32"/>
          <w:szCs w:val="32"/>
          <w:lang w:bidi="ar"/>
        </w:rPr>
        <w:t>。</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5</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农产品质量安全</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30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27.87</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92.9</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基本</w:t>
      </w:r>
      <w:r>
        <w:rPr>
          <w:rFonts w:hint="eastAsia" w:ascii="仿宋_GB2312" w:hAnsi="宋体" w:eastAsia="仿宋_GB2312" w:cs="仿宋_GB2312"/>
          <w:color w:val="000000"/>
          <w:kern w:val="0"/>
          <w:sz w:val="32"/>
          <w:szCs w:val="32"/>
          <w:lang w:bidi="ar"/>
        </w:rPr>
        <w:t>持</w:t>
      </w:r>
      <w:r>
        <w:rPr>
          <w:rFonts w:hint="eastAsia" w:ascii="仿宋_GB2312" w:hAnsi="宋体" w:eastAsia="仿宋_GB2312" w:cs="仿宋_GB2312"/>
          <w:color w:val="000000"/>
          <w:kern w:val="0"/>
          <w:sz w:val="32"/>
          <w:szCs w:val="32"/>
          <w:lang w:eastAsia="zh-CN" w:bidi="ar"/>
        </w:rPr>
        <w:t>平</w:t>
      </w:r>
      <w:r>
        <w:rPr>
          <w:rFonts w:hint="eastAsia" w:ascii="仿宋_GB2312" w:hAnsi="宋体" w:eastAsia="仿宋_GB2312" w:cs="仿宋_GB2312"/>
          <w:color w:val="000000"/>
          <w:kern w:val="0"/>
          <w:sz w:val="32"/>
          <w:szCs w:val="32"/>
          <w:lang w:bidi="ar"/>
        </w:rPr>
        <w:t>。</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6</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农业行业业务管理</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8.1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8.2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101.23</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基本</w:t>
      </w:r>
      <w:r>
        <w:rPr>
          <w:rFonts w:hint="eastAsia" w:ascii="仿宋_GB2312" w:hAnsi="宋体" w:eastAsia="仿宋_GB2312" w:cs="仿宋_GB2312"/>
          <w:color w:val="000000"/>
          <w:kern w:val="0"/>
          <w:sz w:val="32"/>
          <w:szCs w:val="32"/>
          <w:lang w:bidi="ar"/>
        </w:rPr>
        <w:t>持</w:t>
      </w:r>
      <w:r>
        <w:rPr>
          <w:rFonts w:hint="eastAsia" w:ascii="仿宋_GB2312" w:hAnsi="宋体" w:eastAsia="仿宋_GB2312" w:cs="仿宋_GB2312"/>
          <w:color w:val="000000"/>
          <w:kern w:val="0"/>
          <w:sz w:val="32"/>
          <w:szCs w:val="32"/>
          <w:lang w:eastAsia="zh-CN" w:bidi="ar"/>
        </w:rPr>
        <w:t>平</w:t>
      </w:r>
      <w:r>
        <w:rPr>
          <w:rFonts w:hint="eastAsia" w:ascii="仿宋_GB2312" w:hAnsi="宋体" w:eastAsia="仿宋_GB2312" w:cs="仿宋_GB2312"/>
          <w:color w:val="000000"/>
          <w:kern w:val="0"/>
          <w:sz w:val="32"/>
          <w:szCs w:val="32"/>
          <w:lang w:bidi="ar"/>
        </w:rPr>
        <w:t>。</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7</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农业生产支出补贴</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59</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59.85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101.44</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基本</w:t>
      </w:r>
      <w:r>
        <w:rPr>
          <w:rFonts w:hint="eastAsia" w:ascii="仿宋_GB2312" w:hAnsi="宋体" w:eastAsia="仿宋_GB2312" w:cs="仿宋_GB2312"/>
          <w:color w:val="000000"/>
          <w:kern w:val="0"/>
          <w:sz w:val="32"/>
          <w:szCs w:val="32"/>
          <w:lang w:bidi="ar"/>
        </w:rPr>
        <w:t>持</w:t>
      </w:r>
      <w:r>
        <w:rPr>
          <w:rFonts w:hint="eastAsia" w:ascii="仿宋_GB2312" w:hAnsi="宋体" w:eastAsia="仿宋_GB2312" w:cs="仿宋_GB2312"/>
          <w:color w:val="000000"/>
          <w:kern w:val="0"/>
          <w:sz w:val="32"/>
          <w:szCs w:val="32"/>
          <w:lang w:eastAsia="zh-CN" w:bidi="ar"/>
        </w:rPr>
        <w:t>平</w:t>
      </w:r>
      <w:r>
        <w:rPr>
          <w:rFonts w:hint="eastAsia" w:ascii="仿宋_GB2312" w:hAnsi="宋体" w:eastAsia="仿宋_GB2312" w:cs="仿宋_GB2312"/>
          <w:color w:val="000000"/>
          <w:kern w:val="0"/>
          <w:sz w:val="32"/>
          <w:szCs w:val="32"/>
          <w:lang w:bidi="ar"/>
        </w:rPr>
        <w:t>。。</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8</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农业组织化与产业化组织经营</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5.5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5.95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108.18</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基本</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9</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农业资源保护修复与利用</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50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99.85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199.7</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专用设备购置费追加</w:t>
      </w:r>
      <w:r>
        <w:rPr>
          <w:rFonts w:hint="eastAsia" w:ascii="仿宋_GB2312" w:hAnsi="宋体" w:eastAsia="仿宋_GB2312" w:cs="仿宋_GB2312"/>
          <w:color w:val="000000"/>
          <w:kern w:val="0"/>
          <w:sz w:val="32"/>
          <w:szCs w:val="32"/>
          <w:lang w:bidi="ar"/>
        </w:rPr>
        <w:t>。</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10</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其他农业支出</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auto"/>
          <w:kern w:val="0"/>
          <w:sz w:val="32"/>
          <w:szCs w:val="32"/>
          <w:lang w:val="en-US" w:eastAsia="zh-CN" w:bidi="ar"/>
        </w:rPr>
        <w:t>41.8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85.04</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203.45</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新增项目。</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10</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农业综合开发</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机构运行</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86.21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87.37</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101.35</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基本</w:t>
      </w:r>
      <w:r>
        <w:rPr>
          <w:rFonts w:hint="eastAsia" w:ascii="仿宋_GB2312" w:hAnsi="宋体" w:eastAsia="仿宋_GB2312" w:cs="仿宋_GB2312"/>
          <w:color w:val="000000"/>
          <w:kern w:val="0"/>
          <w:sz w:val="32"/>
          <w:szCs w:val="32"/>
          <w:lang w:bidi="ar"/>
        </w:rPr>
        <w:t>持</w:t>
      </w:r>
      <w:r>
        <w:rPr>
          <w:rFonts w:hint="eastAsia" w:ascii="仿宋_GB2312" w:hAnsi="宋体" w:eastAsia="仿宋_GB2312" w:cs="仿宋_GB2312"/>
          <w:color w:val="000000"/>
          <w:kern w:val="0"/>
          <w:sz w:val="32"/>
          <w:szCs w:val="32"/>
          <w:lang w:eastAsia="zh-CN" w:bidi="ar"/>
        </w:rPr>
        <w:t>平</w:t>
      </w:r>
      <w:r>
        <w:rPr>
          <w:rFonts w:hint="eastAsia" w:ascii="仿宋_GB2312" w:hAnsi="宋体" w:eastAsia="仿宋_GB2312" w:cs="仿宋_GB2312"/>
          <w:color w:val="000000"/>
          <w:kern w:val="0"/>
          <w:sz w:val="32"/>
          <w:szCs w:val="32"/>
          <w:lang w:bidi="ar"/>
        </w:rPr>
        <w:t>。</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11</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农村综合改革</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其他农村综合改革支出</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13.5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13.81</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102.3</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基本</w:t>
      </w:r>
      <w:r>
        <w:rPr>
          <w:rFonts w:hint="eastAsia" w:ascii="仿宋_GB2312" w:hAnsi="宋体" w:eastAsia="仿宋_GB2312" w:cs="仿宋_GB2312"/>
          <w:color w:val="000000"/>
          <w:kern w:val="0"/>
          <w:sz w:val="32"/>
          <w:szCs w:val="32"/>
          <w:lang w:bidi="ar"/>
        </w:rPr>
        <w:t>持</w:t>
      </w:r>
      <w:r>
        <w:rPr>
          <w:rFonts w:hint="eastAsia" w:ascii="仿宋_GB2312" w:hAnsi="宋体" w:eastAsia="仿宋_GB2312" w:cs="仿宋_GB2312"/>
          <w:color w:val="000000"/>
          <w:kern w:val="0"/>
          <w:sz w:val="32"/>
          <w:szCs w:val="32"/>
          <w:lang w:eastAsia="zh-CN" w:bidi="ar"/>
        </w:rPr>
        <w:t>平</w:t>
      </w:r>
      <w:r>
        <w:rPr>
          <w:rFonts w:hint="eastAsia" w:ascii="仿宋_GB2312" w:hAnsi="宋体" w:eastAsia="仿宋_GB2312" w:cs="仿宋_GB2312"/>
          <w:color w:val="000000"/>
          <w:kern w:val="0"/>
          <w:sz w:val="32"/>
          <w:szCs w:val="32"/>
          <w:lang w:bidi="ar"/>
        </w:rPr>
        <w:t>。</w:t>
      </w:r>
    </w:p>
    <w:p>
      <w:pPr>
        <w:widowControl/>
        <w:ind w:firstLine="643" w:firstLineChars="200"/>
        <w:jc w:val="left"/>
      </w:pPr>
      <w:r>
        <w:rPr>
          <w:rFonts w:hint="eastAsia" w:ascii="仿宋_GB2312" w:hAnsi="宋体" w:eastAsia="仿宋_GB2312" w:cs="仿宋_GB2312"/>
          <w:b/>
          <w:color w:val="000000"/>
          <w:kern w:val="0"/>
          <w:sz w:val="32"/>
          <w:szCs w:val="32"/>
          <w:lang w:val="en-US" w:eastAsia="zh-CN" w:bidi="ar"/>
        </w:rPr>
        <w:t>12</w:t>
      </w:r>
      <w:r>
        <w:rPr>
          <w:rFonts w:ascii="仿宋_GB2312" w:hAnsi="宋体" w:eastAsia="仿宋_GB2312" w:cs="仿宋_GB2312"/>
          <w:b/>
          <w:color w:val="000000"/>
          <w:kern w:val="0"/>
          <w:sz w:val="32"/>
          <w:szCs w:val="32"/>
          <w:lang w:bidi="ar"/>
        </w:rPr>
        <w:t>.</w:t>
      </w:r>
      <w:r>
        <w:rPr>
          <w:rFonts w:hint="eastAsia" w:ascii="仿宋_GB2312" w:hAnsi="宋体" w:eastAsia="仿宋_GB2312" w:cs="仿宋_GB2312"/>
          <w:b/>
          <w:color w:val="000000"/>
          <w:kern w:val="0"/>
          <w:sz w:val="32"/>
          <w:szCs w:val="32"/>
          <w:lang w:eastAsia="zh-CN" w:bidi="ar"/>
        </w:rPr>
        <w:t>农林水</w:t>
      </w:r>
      <w:r>
        <w:rPr>
          <w:rFonts w:ascii="仿宋_GB2312" w:hAnsi="宋体" w:eastAsia="仿宋_GB2312" w:cs="仿宋_GB2312"/>
          <w:b/>
          <w:color w:val="000000"/>
          <w:kern w:val="0"/>
          <w:sz w:val="32"/>
          <w:szCs w:val="32"/>
          <w:lang w:bidi="ar"/>
        </w:rPr>
        <w:t>支出（类）</w:t>
      </w:r>
      <w:r>
        <w:rPr>
          <w:rFonts w:hint="eastAsia" w:ascii="仿宋_GB2312" w:hAnsi="宋体" w:eastAsia="仿宋_GB2312" w:cs="仿宋_GB2312"/>
          <w:b/>
          <w:color w:val="000000"/>
          <w:kern w:val="0"/>
          <w:sz w:val="32"/>
          <w:szCs w:val="32"/>
          <w:lang w:eastAsia="zh-CN" w:bidi="ar"/>
        </w:rPr>
        <w:t>普惠金融发展支出</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农业保险保费补贴</w:t>
      </w:r>
      <w:r>
        <w:rPr>
          <w:rFonts w:ascii="仿宋_GB2312" w:hAnsi="宋体" w:eastAsia="仿宋_GB2312" w:cs="仿宋_GB2312"/>
          <w:b/>
          <w:color w:val="000000"/>
          <w:kern w:val="0"/>
          <w:sz w:val="32"/>
          <w:szCs w:val="32"/>
          <w:lang w:bidi="ar"/>
        </w:rPr>
        <w:t>（项）。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150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57.9</w:t>
      </w:r>
      <w:r>
        <w:rPr>
          <w:rFonts w:ascii="仿宋_GB2312" w:hAnsi="宋体" w:eastAsia="仿宋_GB2312" w:cs="仿宋_GB2312"/>
          <w:color w:val="000000"/>
          <w:kern w:val="0"/>
          <w:sz w:val="32"/>
          <w:szCs w:val="32"/>
          <w:lang w:bidi="ar"/>
        </w:rPr>
        <w:t>万元，完成年初预算的</w:t>
      </w:r>
      <w:r>
        <w:rPr>
          <w:rFonts w:hint="eastAsia" w:ascii="仿宋_GB2312" w:hAnsi="仿宋_GB2312" w:eastAsia="仿宋_GB2312" w:cs="仿宋_GB2312"/>
          <w:color w:val="000000"/>
          <w:kern w:val="0"/>
          <w:sz w:val="31"/>
          <w:szCs w:val="31"/>
          <w:lang w:val="en-US" w:eastAsia="zh-CN" w:bidi="ar"/>
        </w:rPr>
        <w:t>38.6</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eastAsia="zh-CN" w:bidi="ar"/>
        </w:rPr>
        <w:t>报账进度滞后，未能及时报账。</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1213.40</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1161</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52.41</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1161</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lang w:val="en-US" w:eastAsia="zh-CN"/>
        </w:rPr>
        <w:t>374.1</w:t>
      </w:r>
      <w:r>
        <w:rPr>
          <w:rFonts w:hint="eastAsia" w:ascii="仿宋_GB2312" w:hAnsi="宋体" w:eastAsia="仿宋_GB2312" w:cs="仿宋_GB2312"/>
          <w:color w:val="000000"/>
          <w:kern w:val="0"/>
          <w:sz w:val="32"/>
          <w:szCs w:val="32"/>
        </w:rPr>
        <w:t>万元；津贴补贴</w:t>
      </w:r>
      <w:r>
        <w:rPr>
          <w:rFonts w:hint="eastAsia" w:ascii="仿宋_GB2312" w:hAnsi="宋体" w:eastAsia="仿宋_GB2312" w:cs="仿宋_GB2312"/>
          <w:color w:val="000000"/>
          <w:kern w:val="0"/>
          <w:sz w:val="32"/>
          <w:szCs w:val="32"/>
          <w:lang w:val="en-US" w:eastAsia="zh-CN"/>
        </w:rPr>
        <w:t>85.68</w:t>
      </w:r>
      <w:r>
        <w:rPr>
          <w:rFonts w:hint="eastAsia" w:ascii="仿宋_GB2312" w:hAnsi="宋体" w:eastAsia="仿宋_GB2312" w:cs="仿宋_GB2312"/>
          <w:color w:val="000000"/>
          <w:kern w:val="0"/>
          <w:sz w:val="32"/>
          <w:szCs w:val="32"/>
        </w:rPr>
        <w:t>万元；奖金</w:t>
      </w:r>
      <w:r>
        <w:rPr>
          <w:rFonts w:hint="eastAsia" w:ascii="仿宋_GB2312" w:hAnsi="宋体" w:eastAsia="仿宋_GB2312" w:cs="仿宋_GB2312"/>
          <w:color w:val="000000"/>
          <w:kern w:val="0"/>
          <w:sz w:val="32"/>
          <w:szCs w:val="32"/>
          <w:lang w:val="en-US" w:eastAsia="zh-CN"/>
        </w:rPr>
        <w:t>188.02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伙食补助</w:t>
      </w:r>
      <w:r>
        <w:rPr>
          <w:rFonts w:hint="eastAsia" w:ascii="仿宋_GB2312" w:hAnsi="宋体" w:eastAsia="仿宋_GB2312" w:cs="仿宋_GB2312"/>
          <w:color w:val="000000"/>
          <w:kern w:val="0"/>
          <w:sz w:val="32"/>
          <w:szCs w:val="32"/>
          <w:lang w:val="en-US" w:eastAsia="zh-CN"/>
        </w:rPr>
        <w:t>15.81万元；</w:t>
      </w:r>
      <w:r>
        <w:rPr>
          <w:rFonts w:hint="eastAsia" w:ascii="仿宋_GB2312" w:hAnsi="宋体" w:eastAsia="仿宋_GB2312" w:cs="仿宋_GB2312"/>
          <w:color w:val="000000"/>
          <w:kern w:val="0"/>
          <w:sz w:val="32"/>
          <w:szCs w:val="32"/>
        </w:rPr>
        <w:t>绩效工资</w:t>
      </w:r>
      <w:r>
        <w:rPr>
          <w:rFonts w:hint="eastAsia" w:ascii="仿宋_GB2312" w:hAnsi="宋体" w:eastAsia="仿宋_GB2312" w:cs="仿宋_GB2312"/>
          <w:color w:val="000000"/>
          <w:kern w:val="0"/>
          <w:sz w:val="32"/>
          <w:szCs w:val="32"/>
          <w:lang w:val="en-US" w:eastAsia="zh-CN"/>
        </w:rPr>
        <w:t>238.25</w:t>
      </w:r>
      <w:r>
        <w:rPr>
          <w:rFonts w:hint="eastAsia" w:ascii="仿宋_GB2312" w:hAnsi="宋体" w:eastAsia="仿宋_GB2312" w:cs="仿宋_GB2312"/>
          <w:color w:val="000000"/>
          <w:kern w:val="0"/>
          <w:sz w:val="32"/>
          <w:szCs w:val="32"/>
        </w:rPr>
        <w:t>万元；机关事业单位基本养老保险缴费</w:t>
      </w:r>
      <w:r>
        <w:rPr>
          <w:rFonts w:hint="eastAsia" w:ascii="仿宋_GB2312" w:hAnsi="宋体" w:eastAsia="仿宋_GB2312" w:cs="仿宋_GB2312"/>
          <w:color w:val="000000"/>
          <w:kern w:val="0"/>
          <w:sz w:val="32"/>
          <w:szCs w:val="32"/>
          <w:lang w:val="en-US" w:eastAsia="zh-CN"/>
        </w:rPr>
        <w:t>113.37</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抚恤金</w:t>
      </w:r>
      <w:r>
        <w:rPr>
          <w:rFonts w:hint="eastAsia" w:ascii="仿宋_GB2312" w:hAnsi="宋体" w:eastAsia="仿宋_GB2312" w:cs="仿宋_GB2312"/>
          <w:color w:val="000000"/>
          <w:kern w:val="0"/>
          <w:sz w:val="32"/>
          <w:szCs w:val="32"/>
          <w:lang w:val="en-US" w:eastAsia="zh-CN"/>
        </w:rPr>
        <w:t>18.75万元；</w:t>
      </w:r>
      <w:r>
        <w:rPr>
          <w:rFonts w:hint="eastAsia" w:ascii="仿宋_GB2312" w:hAnsi="宋体" w:eastAsia="仿宋_GB2312" w:cs="仿宋_GB2312"/>
          <w:color w:val="000000"/>
          <w:kern w:val="0"/>
          <w:sz w:val="32"/>
          <w:szCs w:val="32"/>
        </w:rPr>
        <w:t>奖励金0.</w:t>
      </w:r>
      <w:r>
        <w:rPr>
          <w:rFonts w:hint="eastAsia" w:ascii="仿宋_GB2312" w:hAnsi="宋体" w:eastAsia="仿宋_GB2312" w:cs="仿宋_GB2312"/>
          <w:color w:val="000000"/>
          <w:kern w:val="0"/>
          <w:sz w:val="32"/>
          <w:szCs w:val="32"/>
          <w:lang w:val="en-US" w:eastAsia="zh-CN"/>
        </w:rPr>
        <w:t>27</w:t>
      </w:r>
      <w:r>
        <w:rPr>
          <w:rFonts w:hint="eastAsia" w:ascii="仿宋_GB2312" w:hAnsi="宋体" w:eastAsia="仿宋_GB2312" w:cs="仿宋_GB2312"/>
          <w:color w:val="000000"/>
          <w:kern w:val="0"/>
          <w:sz w:val="32"/>
          <w:szCs w:val="32"/>
        </w:rPr>
        <w:t>万元；生活补贴</w:t>
      </w:r>
      <w:r>
        <w:rPr>
          <w:rFonts w:hint="eastAsia" w:ascii="仿宋_GB2312" w:hAnsi="宋体" w:eastAsia="仿宋_GB2312" w:cs="仿宋_GB2312"/>
          <w:color w:val="000000"/>
          <w:kern w:val="0"/>
          <w:sz w:val="32"/>
          <w:szCs w:val="32"/>
          <w:lang w:val="en-US" w:eastAsia="zh-CN"/>
        </w:rPr>
        <w:t>4.25</w:t>
      </w:r>
      <w:r>
        <w:rPr>
          <w:rFonts w:hint="eastAsia" w:ascii="仿宋_GB2312" w:hAnsi="宋体" w:eastAsia="仿宋_GB2312" w:cs="仿宋_GB2312"/>
          <w:color w:val="000000"/>
          <w:kern w:val="0"/>
          <w:sz w:val="32"/>
          <w:szCs w:val="32"/>
        </w:rPr>
        <w:t>万元；住房公积金</w:t>
      </w:r>
      <w:r>
        <w:rPr>
          <w:rFonts w:hint="eastAsia" w:ascii="仿宋_GB2312" w:hAnsi="宋体" w:eastAsia="仿宋_GB2312" w:cs="仿宋_GB2312"/>
          <w:color w:val="000000"/>
          <w:kern w:val="0"/>
          <w:sz w:val="32"/>
          <w:szCs w:val="32"/>
          <w:lang w:val="en-US" w:eastAsia="zh-CN"/>
        </w:rPr>
        <w:t>122.5</w:t>
      </w:r>
      <w:r>
        <w:rPr>
          <w:rFonts w:hint="eastAsia" w:ascii="仿宋_GB2312" w:hAnsi="宋体" w:eastAsia="仿宋_GB2312" w:cs="仿宋_GB2312"/>
          <w:color w:val="000000"/>
          <w:kern w:val="0"/>
          <w:sz w:val="32"/>
          <w:szCs w:val="32"/>
        </w:rPr>
        <w:t>万元。</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lang w:val="en-US" w:eastAsia="zh-CN"/>
        </w:rPr>
        <w:t>52.41</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lang w:val="en-US" w:eastAsia="zh-CN"/>
        </w:rPr>
        <w:t>2.63</w:t>
      </w:r>
      <w:r>
        <w:rPr>
          <w:rFonts w:hint="eastAsia" w:ascii="仿宋_GB2312" w:hAnsi="宋体" w:eastAsia="仿宋_GB2312" w:cs="仿宋_GB2312"/>
          <w:color w:val="000000"/>
          <w:kern w:val="0"/>
          <w:sz w:val="32"/>
          <w:szCs w:val="32"/>
        </w:rPr>
        <w:t>万元；印刷费</w:t>
      </w:r>
      <w:r>
        <w:rPr>
          <w:rFonts w:hint="eastAsia" w:ascii="仿宋_GB2312" w:hAnsi="宋体" w:eastAsia="仿宋_GB2312" w:cs="仿宋_GB2312"/>
          <w:color w:val="000000"/>
          <w:kern w:val="0"/>
          <w:sz w:val="32"/>
          <w:szCs w:val="32"/>
          <w:lang w:val="en-US" w:eastAsia="zh-CN"/>
        </w:rPr>
        <w:t>1.04</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咨询费</w:t>
      </w:r>
      <w:r>
        <w:rPr>
          <w:rFonts w:hint="eastAsia" w:ascii="仿宋_GB2312" w:hAnsi="宋体" w:eastAsia="仿宋_GB2312" w:cs="仿宋_GB2312"/>
          <w:color w:val="000000"/>
          <w:kern w:val="0"/>
          <w:sz w:val="32"/>
          <w:szCs w:val="32"/>
          <w:lang w:val="en-US" w:eastAsia="zh-CN"/>
        </w:rPr>
        <w:t>0.8万元；手续费0.15万元；水费0.9万元；电费5.6万元；</w:t>
      </w:r>
      <w:r>
        <w:rPr>
          <w:rFonts w:hint="eastAsia" w:ascii="仿宋_GB2312" w:hAnsi="宋体" w:eastAsia="仿宋_GB2312" w:cs="仿宋_GB2312"/>
          <w:color w:val="000000"/>
          <w:kern w:val="0"/>
          <w:sz w:val="32"/>
          <w:szCs w:val="32"/>
        </w:rPr>
        <w:t>邮电费</w:t>
      </w:r>
      <w:r>
        <w:rPr>
          <w:rFonts w:hint="eastAsia" w:ascii="仿宋_GB2312" w:hAnsi="宋体" w:eastAsia="仿宋_GB2312" w:cs="仿宋_GB2312"/>
          <w:color w:val="000000"/>
          <w:kern w:val="0"/>
          <w:sz w:val="32"/>
          <w:szCs w:val="32"/>
          <w:lang w:val="en-US" w:eastAsia="zh-CN"/>
        </w:rPr>
        <w:t>2.74</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差旅费</w:t>
      </w:r>
      <w:r>
        <w:rPr>
          <w:rFonts w:hint="eastAsia" w:ascii="仿宋_GB2312" w:hAnsi="宋体" w:eastAsia="仿宋_GB2312" w:cs="仿宋_GB2312"/>
          <w:color w:val="000000"/>
          <w:kern w:val="0"/>
          <w:sz w:val="32"/>
          <w:szCs w:val="32"/>
          <w:lang w:val="en-US" w:eastAsia="zh-CN"/>
        </w:rPr>
        <w:t>5.18万元；</w:t>
      </w:r>
      <w:r>
        <w:rPr>
          <w:rFonts w:hint="eastAsia" w:ascii="仿宋_GB2312" w:hAnsi="宋体" w:eastAsia="仿宋_GB2312" w:cs="仿宋_GB2312"/>
          <w:color w:val="000000"/>
          <w:kern w:val="0"/>
          <w:sz w:val="32"/>
          <w:szCs w:val="32"/>
        </w:rPr>
        <w:t>维修（护）费</w:t>
      </w:r>
      <w:r>
        <w:rPr>
          <w:rFonts w:hint="eastAsia" w:ascii="仿宋_GB2312" w:hAnsi="宋体" w:eastAsia="仿宋_GB2312" w:cs="仿宋_GB2312"/>
          <w:color w:val="000000"/>
          <w:kern w:val="0"/>
          <w:sz w:val="32"/>
          <w:szCs w:val="32"/>
          <w:lang w:val="en-US" w:eastAsia="zh-CN"/>
        </w:rPr>
        <w:t>4.15</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委托业务费</w:t>
      </w:r>
      <w:r>
        <w:rPr>
          <w:rFonts w:hint="eastAsia" w:ascii="仿宋_GB2312" w:hAnsi="宋体" w:eastAsia="仿宋_GB2312" w:cs="仿宋_GB2312"/>
          <w:color w:val="000000"/>
          <w:kern w:val="0"/>
          <w:sz w:val="32"/>
          <w:szCs w:val="32"/>
          <w:lang w:val="en-US" w:eastAsia="zh-CN"/>
        </w:rPr>
        <w:t>16.27万元；</w:t>
      </w:r>
      <w:r>
        <w:rPr>
          <w:rFonts w:hint="eastAsia" w:ascii="仿宋_GB2312" w:hAnsi="宋体" w:eastAsia="仿宋_GB2312" w:cs="仿宋_GB2312"/>
          <w:color w:val="000000"/>
          <w:kern w:val="0"/>
          <w:sz w:val="32"/>
          <w:szCs w:val="32"/>
        </w:rPr>
        <w:t>其他交通费</w:t>
      </w:r>
      <w:r>
        <w:rPr>
          <w:rFonts w:hint="eastAsia" w:ascii="仿宋_GB2312" w:hAnsi="宋体" w:eastAsia="仿宋_GB2312" w:cs="仿宋_GB2312"/>
          <w:color w:val="000000"/>
          <w:kern w:val="0"/>
          <w:sz w:val="32"/>
          <w:szCs w:val="32"/>
          <w:lang w:val="en-US" w:eastAsia="zh-CN"/>
        </w:rPr>
        <w:t>8.8</w:t>
      </w:r>
      <w:r>
        <w:rPr>
          <w:rFonts w:hint="eastAsia" w:ascii="仿宋_GB2312" w:hAnsi="宋体" w:eastAsia="仿宋_GB2312" w:cs="仿宋_GB2312"/>
          <w:color w:val="000000"/>
          <w:kern w:val="0"/>
          <w:sz w:val="32"/>
          <w:szCs w:val="32"/>
        </w:rPr>
        <w:t>万元。</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13.14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13.14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主要原因是事业单位公车改革，原有车辆收回</w:t>
      </w:r>
      <w:r>
        <w:rPr>
          <w:rFonts w:hint="eastAsia" w:ascii="仿宋_GB2312" w:hAnsi="宋体" w:eastAsia="仿宋_GB2312" w:cs="仿宋_GB2312"/>
          <w:color w:val="000000"/>
          <w:kern w:val="0"/>
          <w:sz w:val="32"/>
          <w:szCs w:val="32"/>
          <w:lang w:eastAsia="zh-CN" w:bidi="ar"/>
        </w:rPr>
        <w:t>，支出减少</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lang w:val="en-US" w:eastAsia="zh-CN"/>
        </w:rPr>
        <w:t>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主要原因是无</w:t>
      </w:r>
      <w:r>
        <w:rPr>
          <w:rFonts w:hint="eastAsia" w:ascii="仿宋_GB2312" w:hAnsi="宋体" w:eastAsia="仿宋_GB2312" w:cs="仿宋_GB2312"/>
          <w:color w:val="000000"/>
          <w:kern w:val="0"/>
          <w:sz w:val="32"/>
          <w:szCs w:val="32"/>
          <w:lang w:bidi="ar"/>
        </w:rPr>
        <w:t>因公出国（境）团组情况。</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减少0万元。</w:t>
      </w:r>
      <w:r>
        <w:rPr>
          <w:rFonts w:ascii="仿宋_GB2312" w:hAnsi="宋体" w:eastAsia="仿宋_GB2312" w:cs="仿宋_GB2312"/>
          <w:color w:val="000000"/>
          <w:kern w:val="0"/>
          <w:sz w:val="32"/>
          <w:szCs w:val="32"/>
          <w:lang w:bidi="ar"/>
        </w:rPr>
        <w:t>主要原因是未购置</w:t>
      </w:r>
      <w:r>
        <w:rPr>
          <w:rFonts w:hint="eastAsia" w:ascii="仿宋_GB2312" w:hAnsi="宋体" w:eastAsia="仿宋_GB2312" w:cs="仿宋_GB2312"/>
          <w:color w:val="000000"/>
          <w:kern w:val="0"/>
          <w:sz w:val="32"/>
          <w:szCs w:val="32"/>
          <w:lang w:bidi="ar"/>
        </w:rPr>
        <w:t>公务用车。</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8.92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8.92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本年无公务用车</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4.22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4.22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本年无公务接待</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4.15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4.15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本年有培训费用</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lang w:val="en-US" w:eastAsia="zh-CN"/>
        </w:rPr>
        <w:t>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本年无会议费支出</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62.9</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13.8</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w:t>
      </w:r>
      <w:r>
        <w:rPr>
          <w:rFonts w:ascii="仿宋_GB2312" w:hAnsi="仿宋_GB2312" w:eastAsia="仿宋_GB2312" w:cs="仿宋_GB2312"/>
          <w:color w:val="000000"/>
          <w:kern w:val="0"/>
          <w:sz w:val="31"/>
          <w:szCs w:val="31"/>
        </w:rPr>
        <w:t>2019年</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创新性农业保险和设施农业“银保富”</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73</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150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57.9</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38.6</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val="en-US" w:eastAsia="zh-CN" w:bidi="ar"/>
        </w:rPr>
        <w:t>通过项目的实施，实现从自然灾害风险保障到价格指数市场风险保障及收入保险的系列农业险种，完善了杨陵区农业风险保障体系</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前期农户对保险险种保障认识不高，参与保险积极性不高</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加大宣传力度，争取协调保险公司提高险种保障补贴比例</w:t>
      </w:r>
      <w:r>
        <w:rPr>
          <w:rFonts w:hint="eastAsia" w:ascii="仿宋_GB2312" w:hAnsi="仿宋_GB2312" w:eastAsia="仿宋_GB2312" w:cs="仿宋_GB2312"/>
          <w:color w:val="000000"/>
          <w:kern w:val="0"/>
          <w:sz w:val="31"/>
          <w:szCs w:val="31"/>
          <w:lang w:bidi="ar"/>
        </w:rPr>
        <w:t>。</w:t>
      </w:r>
    </w:p>
    <w:p>
      <w:pPr>
        <w:widowControl/>
        <w:ind w:firstLine="620" w:firstLineChars="200"/>
        <w:jc w:val="lef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农作物新品种引进试验示范项目绩效自评综述：根据年初设定的绩效目标，项目自评得分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98</w:t>
      </w:r>
      <w:r>
        <w:rPr>
          <w:rFonts w:hint="eastAsia" w:ascii="仿宋_GB2312" w:hAnsi="仿宋_GB2312" w:eastAsia="仿宋_GB2312" w:cs="仿宋_GB2312"/>
          <w:color w:val="000000"/>
          <w:kern w:val="0"/>
          <w:sz w:val="31"/>
          <w:szCs w:val="31"/>
          <w:lang w:bidi="ar"/>
        </w:rPr>
        <w:t>分。项目全年预算数5万元，执行数5万元，完成预算的100%。主要产出和效果：通过项目实施，实现区内农作物新品种、新技术引进10项。发现的问题及原因：引进新品种、新技术项目标准需进一步提高。下一步改进措施：制定和完善新品种、新技术引进标准，加强引进工作的支持力度。</w:t>
      </w:r>
    </w:p>
    <w:p>
      <w:pPr>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67.45pt;width:469.5pt;" o:ole="t" filled="f" o:preferrelative="t" stroked="f" coordsize="21600,2160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r>
        <w:rPr>
          <w:rFonts w:hint="eastAsia" w:ascii="楷体" w:hAnsi="楷体" w:eastAsia="楷体" w:cs="楷体"/>
          <w:sz w:val="32"/>
          <w:szCs w:val="32"/>
        </w:rPr>
        <w:object>
          <v:shape id="_x0000_i1026" o:spt="75" type="#_x0000_t75" style="height:613.15pt;width:462.75pt;" o:ole="t" filled="f" o:preferrelative="t" stroked="f" coordsize="21600,21600">
            <v:path/>
            <v:fill on="f" focussize="0,0"/>
            <v:stroke on="f"/>
            <v:imagedata r:id="rId16" o:title=""/>
            <o:lock v:ext="edit" aspectratio="t"/>
            <w10:wrap type="none"/>
            <w10:anchorlock/>
          </v:shape>
          <o:OLEObject Type="Embed" ProgID="Excel.Sheet.8" ShapeID="_x0000_i1026" DrawAspect="Content" ObjectID="_1468075726" r:id="rId15">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7" o:spt="75" type="#_x0000_t75" style="height:1364.7pt;width:632.1pt;" o:ole="t" filled="f" o:preferrelative="t" stroked="f" coordsize="21600,21600">
            <v:path/>
            <v:fill on="f" focussize="0,0"/>
            <v:stroke on="f"/>
            <v:imagedata r:id="rId18" o:title=""/>
            <o:lock v:ext="edit" aspectratio="t"/>
            <w10:wrap type="none"/>
            <w10:anchorlock/>
          </v:shape>
          <o:OLEObject Type="Embed" ProgID="Excel.Sheet.8" ShapeID="_x0000_i1027" DrawAspect="Content" ObjectID="_1468075727" r:id="rId17">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8" o:spt="75" type="#_x0000_t75" style="height:387.1pt;width:648pt;" o:ole="t" filled="f" o:preferrelative="t" stroked="f" coordsize="21600,21600">
            <v:path/>
            <v:fill on="f" focussize="0,0"/>
            <v:stroke on="f"/>
            <v:imagedata r:id="rId20" o:title=""/>
            <o:lock v:ext="edit" aspectratio="t"/>
            <w10:wrap type="none"/>
            <w10:anchorlock/>
          </v:shape>
          <o:OLEObject Type="Embed" ProgID="Excel.Sheet.8" ShapeID="_x0000_i1028" DrawAspect="Content" ObjectID="_1468075728" r:id="rId1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9" o:spt="75" type="#_x0000_t75" style="height:339pt;width:645.65pt;" o:ole="t" filled="f" o:preferrelative="t" stroked="f" coordsize="21600,21600">
            <v:path/>
            <v:fill on="f" focussize="0,0"/>
            <v:stroke on="f"/>
            <v:imagedata r:id="rId22" o:title=""/>
            <o:lock v:ext="edit" aspectratio="t"/>
            <w10:wrap type="none"/>
            <w10:anchorlock/>
          </v:shape>
          <o:OLEObject Type="Embed" ProgID="Excel.Sheet.8" ShapeID="_x0000_i1029" DrawAspect="Content" ObjectID="_1468075729" r:id="rId21">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auto"/>
          <w:kern w:val="0"/>
          <w:sz w:val="32"/>
          <w:szCs w:val="32"/>
          <w:lang w:val="en-US" w:eastAsia="zh-CN" w:bidi="ar"/>
        </w:rPr>
        <w:t>52.88</w:t>
      </w:r>
      <w:r>
        <w:rPr>
          <w:rFonts w:ascii="仿宋_GB2312" w:hAnsi="宋体" w:eastAsia="仿宋_GB2312" w:cs="仿宋_GB2312"/>
          <w:color w:val="auto"/>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rPr>
        <w:t>52.41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97.28</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eastAsia="zh-CN"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基本持平</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1362.25</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1315.77</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46.48</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lang w:bidi="ar"/>
        </w:rPr>
        <w:t>授予中小企业合同金额</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黑体" w:hAnsi="宋体" w:eastAsia="黑体"/>
          <w:color w:val="000000"/>
          <w:kern w:val="0"/>
          <w:sz w:val="32"/>
          <w:szCs w:val="32"/>
          <w:lang w:bidi="ar"/>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pPr>
        <w:jc w:val="center"/>
        <w:rPr>
          <w:rFonts w:hint="eastAsia"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1EB7"/>
    <w:rsid w:val="001D7568"/>
    <w:rsid w:val="002424C8"/>
    <w:rsid w:val="002A7893"/>
    <w:rsid w:val="003364E9"/>
    <w:rsid w:val="00452E2E"/>
    <w:rsid w:val="004B6D6E"/>
    <w:rsid w:val="00813F4A"/>
    <w:rsid w:val="00B80654"/>
    <w:rsid w:val="00E8111E"/>
    <w:rsid w:val="013B79AC"/>
    <w:rsid w:val="01D84FED"/>
    <w:rsid w:val="02A5474F"/>
    <w:rsid w:val="059A3EB8"/>
    <w:rsid w:val="06AE1C17"/>
    <w:rsid w:val="0ACB2681"/>
    <w:rsid w:val="0DE16564"/>
    <w:rsid w:val="0E3B45DC"/>
    <w:rsid w:val="0F561028"/>
    <w:rsid w:val="122A5308"/>
    <w:rsid w:val="125E2600"/>
    <w:rsid w:val="132E46A0"/>
    <w:rsid w:val="14411117"/>
    <w:rsid w:val="1462669A"/>
    <w:rsid w:val="150F78DD"/>
    <w:rsid w:val="1586116E"/>
    <w:rsid w:val="183253E3"/>
    <w:rsid w:val="18AE04B3"/>
    <w:rsid w:val="18BB4AD7"/>
    <w:rsid w:val="18FA75FB"/>
    <w:rsid w:val="1B4A3FDA"/>
    <w:rsid w:val="1B524C98"/>
    <w:rsid w:val="1C5E2F73"/>
    <w:rsid w:val="1D434428"/>
    <w:rsid w:val="1D6E0C0D"/>
    <w:rsid w:val="1DF12C40"/>
    <w:rsid w:val="20782C59"/>
    <w:rsid w:val="221C15BB"/>
    <w:rsid w:val="238F585B"/>
    <w:rsid w:val="25135943"/>
    <w:rsid w:val="26024FC8"/>
    <w:rsid w:val="281700CC"/>
    <w:rsid w:val="29785A6B"/>
    <w:rsid w:val="2AA2739F"/>
    <w:rsid w:val="2D1F3974"/>
    <w:rsid w:val="2DB52EF2"/>
    <w:rsid w:val="2E4B0825"/>
    <w:rsid w:val="31AA6038"/>
    <w:rsid w:val="336E5851"/>
    <w:rsid w:val="33887EE3"/>
    <w:rsid w:val="34677C61"/>
    <w:rsid w:val="358E7369"/>
    <w:rsid w:val="373B145E"/>
    <w:rsid w:val="3A681442"/>
    <w:rsid w:val="3B121AD1"/>
    <w:rsid w:val="3B2872BF"/>
    <w:rsid w:val="3B882794"/>
    <w:rsid w:val="3CFD0D2E"/>
    <w:rsid w:val="41603979"/>
    <w:rsid w:val="41CF436B"/>
    <w:rsid w:val="4320454E"/>
    <w:rsid w:val="43757DB4"/>
    <w:rsid w:val="4619368A"/>
    <w:rsid w:val="471F2499"/>
    <w:rsid w:val="4A0726B3"/>
    <w:rsid w:val="4A78689D"/>
    <w:rsid w:val="4D6E0FDF"/>
    <w:rsid w:val="4EE4307A"/>
    <w:rsid w:val="4F600101"/>
    <w:rsid w:val="4FE420D8"/>
    <w:rsid w:val="50061894"/>
    <w:rsid w:val="5153143F"/>
    <w:rsid w:val="54F12DEE"/>
    <w:rsid w:val="552357E7"/>
    <w:rsid w:val="55370BFB"/>
    <w:rsid w:val="5572676E"/>
    <w:rsid w:val="56040FD2"/>
    <w:rsid w:val="587A1E52"/>
    <w:rsid w:val="59D241C1"/>
    <w:rsid w:val="5B8D564A"/>
    <w:rsid w:val="5DE52ECA"/>
    <w:rsid w:val="5F903AC3"/>
    <w:rsid w:val="63477D81"/>
    <w:rsid w:val="65074FBA"/>
    <w:rsid w:val="66830C47"/>
    <w:rsid w:val="69512523"/>
    <w:rsid w:val="6B1B1F62"/>
    <w:rsid w:val="6BAD6A04"/>
    <w:rsid w:val="6D3D1446"/>
    <w:rsid w:val="6E5D17B7"/>
    <w:rsid w:val="71086DB5"/>
    <w:rsid w:val="723F6351"/>
    <w:rsid w:val="758B7055"/>
    <w:rsid w:val="75C31473"/>
    <w:rsid w:val="79D656F1"/>
    <w:rsid w:val="7BF10EAB"/>
    <w:rsid w:val="7C3E5E46"/>
    <w:rsid w:val="7C5B5A63"/>
    <w:rsid w:val="7EE759C2"/>
    <w:rsid w:val="7F5C5EE7"/>
    <w:rsid w:val="7FC9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5.emf"/><Relationship Id="rId21" Type="http://schemas.openxmlformats.org/officeDocument/2006/relationships/oleObject" Target="embeddings/oleObject5.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编制人数</c:v>
                </c:pt>
              </c:strCache>
            </c:strRef>
          </c:tx>
          <c:invertIfNegative val="0"/>
          <c:dLbls>
            <c:delete val="1"/>
          </c:dLbls>
          <c:cat>
            <c:strRef>
              <c:f>Sheet1!$A$2:$A$5</c:f>
              <c:strCache>
                <c:ptCount val="4"/>
                <c:pt idx="0">
                  <c:v>行政人员</c:v>
                </c:pt>
                <c:pt idx="1">
                  <c:v>事业人员</c:v>
                </c:pt>
                <c:pt idx="2">
                  <c:v>离退休人员</c:v>
                </c:pt>
              </c:strCache>
            </c:strRef>
          </c:cat>
          <c:val>
            <c:numRef>
              <c:f>Sheet1!$B$2:$B$5</c:f>
              <c:numCache>
                <c:formatCode>General</c:formatCode>
                <c:ptCount val="4"/>
                <c:pt idx="0">
                  <c:v>10</c:v>
                </c:pt>
                <c:pt idx="1">
                  <c:v>100</c:v>
                </c:pt>
              </c:numCache>
            </c:numRef>
          </c:val>
        </c:ser>
        <c:ser>
          <c:idx val="1"/>
          <c:order val="1"/>
          <c:tx>
            <c:strRef>
              <c:f>Sheet1!$C$1</c:f>
              <c:strCache>
                <c:ptCount val="1"/>
                <c:pt idx="0">
                  <c:v>实有人数</c:v>
                </c:pt>
              </c:strCache>
            </c:strRef>
          </c:tx>
          <c:invertIfNegative val="0"/>
          <c:dLbls>
            <c:delete val="1"/>
          </c:dLbls>
          <c:cat>
            <c:strRef>
              <c:f>Sheet1!$A$2:$A$5</c:f>
              <c:strCache>
                <c:ptCount val="4"/>
                <c:pt idx="0">
                  <c:v>行政人员</c:v>
                </c:pt>
                <c:pt idx="1">
                  <c:v>事业人员</c:v>
                </c:pt>
                <c:pt idx="2">
                  <c:v>离退休人员</c:v>
                </c:pt>
              </c:strCache>
            </c:strRef>
          </c:cat>
          <c:val>
            <c:numRef>
              <c:f>Sheet1!$C$2:$C$5</c:f>
              <c:numCache>
                <c:formatCode>General</c:formatCode>
                <c:ptCount val="4"/>
                <c:pt idx="0">
                  <c:v>10</c:v>
                </c:pt>
                <c:pt idx="1">
                  <c:v>74</c:v>
                </c:pt>
                <c:pt idx="2">
                  <c:v>40</c:v>
                </c:pt>
              </c:numCache>
            </c:numRef>
          </c:val>
        </c:ser>
        <c:dLbls>
          <c:showLegendKey val="0"/>
          <c:showVal val="0"/>
          <c:showCatName val="0"/>
          <c:showSerName val="0"/>
          <c:showPercent val="0"/>
          <c:showBubbleSize val="0"/>
        </c:dLbls>
        <c:gapWidth val="150"/>
        <c:axId val="193672704"/>
        <c:axId val="193674240"/>
      </c:barChart>
      <c:catAx>
        <c:axId val="1936727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3674240"/>
        <c:crosses val="autoZero"/>
        <c:auto val="1"/>
        <c:lblAlgn val="ctr"/>
        <c:lblOffset val="100"/>
        <c:noMultiLvlLbl val="0"/>
      </c:catAx>
      <c:valAx>
        <c:axId val="1936742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36727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2018年收入</c:v>
                </c:pt>
                <c:pt idx="1">
                  <c:v>2019年收入</c:v>
                </c:pt>
              </c:strCache>
            </c:strRef>
          </c:cat>
          <c:val>
            <c:numRef>
              <c:f>Sheet1!$B$2:$B$3</c:f>
              <c:numCache>
                <c:formatCode>General</c:formatCode>
                <c:ptCount val="2"/>
                <c:pt idx="0">
                  <c:v>9329.73</c:v>
                </c:pt>
                <c:pt idx="1">
                  <c:v>4324.21</c:v>
                </c:pt>
              </c:numCache>
            </c:numRef>
          </c:val>
        </c:ser>
        <c:ser>
          <c:idx val="1"/>
          <c:order val="1"/>
          <c:tx>
            <c:strRef>
              <c:f>Sheet1!$C$1</c:f>
              <c:strCache>
                <c:ptCount val="1"/>
                <c:pt idx="0">
                  <c:v>列1</c:v>
                </c:pt>
              </c:strCache>
            </c:strRef>
          </c:tx>
          <c:spPr>
            <a:solidFill>
              <a:schemeClr val="accent2"/>
            </a:solidFill>
            <a:ln>
              <a:noFill/>
            </a:ln>
            <a:effectLst/>
          </c:spPr>
          <c:invertIfNegative val="0"/>
          <c:dLbls>
            <c:delete val="1"/>
          </c:dLbls>
          <c:cat>
            <c:strRef>
              <c:f>Sheet1!$A$2:$A$3</c:f>
              <c:strCache>
                <c:ptCount val="2"/>
                <c:pt idx="0">
                  <c:v>2018年收入</c:v>
                </c:pt>
                <c:pt idx="1">
                  <c:v>2019年收入</c:v>
                </c:pt>
              </c:strCache>
            </c:strRef>
          </c:cat>
          <c:val>
            <c:numRef>
              <c:f>Sheet1!$C$2:$C$3</c:f>
              <c:numCache>
                <c:formatCode>General</c:formatCode>
                <c:ptCount val="2"/>
              </c:numCache>
            </c:numRef>
          </c:val>
        </c:ser>
        <c:ser>
          <c:idx val="2"/>
          <c:order val="2"/>
          <c:tx>
            <c:strRef>
              <c:f>Sheet1!$D$1</c:f>
              <c:strCache>
                <c:ptCount val="1"/>
                <c:pt idx="0">
                  <c:v>列2</c:v>
                </c:pt>
              </c:strCache>
            </c:strRef>
          </c:tx>
          <c:spPr>
            <a:solidFill>
              <a:schemeClr val="accent3"/>
            </a:solidFill>
            <a:ln>
              <a:noFill/>
            </a:ln>
            <a:effectLst/>
          </c:spPr>
          <c:invertIfNegative val="0"/>
          <c:dLbls>
            <c:delete val="1"/>
          </c:dLbls>
          <c:cat>
            <c:strRef>
              <c:f>Sheet1!$A$2:$A$3</c:f>
              <c:strCache>
                <c:ptCount val="2"/>
                <c:pt idx="0">
                  <c:v>2018年收入</c:v>
                </c:pt>
                <c:pt idx="1">
                  <c:v>2019年收入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193497728"/>
        <c:axId val="194306432"/>
      </c:barChart>
      <c:catAx>
        <c:axId val="193497728"/>
        <c:scaling>
          <c:orientation val="minMax"/>
        </c:scaling>
        <c:delete val="0"/>
        <c:axPos val="l"/>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306432"/>
        <c:crosses val="autoZero"/>
        <c:auto val="1"/>
        <c:lblAlgn val="ctr"/>
        <c:lblOffset val="100"/>
        <c:noMultiLvlLbl val="0"/>
      </c:catAx>
      <c:valAx>
        <c:axId val="194306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49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2018年支出</c:v>
                </c:pt>
                <c:pt idx="1">
                  <c:v>2019年支出</c:v>
                </c:pt>
              </c:strCache>
            </c:strRef>
          </c:cat>
          <c:val>
            <c:numRef>
              <c:f>Sheet1!$B$2:$B$3</c:f>
              <c:numCache>
                <c:formatCode>General</c:formatCode>
                <c:ptCount val="2"/>
                <c:pt idx="0">
                  <c:v>5955.48</c:v>
                </c:pt>
                <c:pt idx="1">
                  <c:v>7479.46</c:v>
                </c:pt>
              </c:numCache>
            </c:numRef>
          </c:val>
        </c:ser>
        <c:ser>
          <c:idx val="1"/>
          <c:order val="1"/>
          <c:tx>
            <c:strRef>
              <c:f>Sheet1!$C$1</c:f>
              <c:strCache>
                <c:ptCount val="1"/>
                <c:pt idx="0">
                  <c:v>列1</c:v>
                </c:pt>
              </c:strCache>
            </c:strRef>
          </c:tx>
          <c:spPr>
            <a:solidFill>
              <a:schemeClr val="accent2"/>
            </a:solidFill>
            <a:ln>
              <a:noFill/>
            </a:ln>
            <a:effectLst/>
          </c:spPr>
          <c:invertIfNegative val="0"/>
          <c:dLbls>
            <c:delete val="1"/>
          </c:dLbls>
          <c:cat>
            <c:strRef>
              <c:f>Sheet1!$A$2:$A$3</c:f>
              <c:strCache>
                <c:ptCount val="2"/>
                <c:pt idx="0">
                  <c:v>2018年支出</c:v>
                </c:pt>
                <c:pt idx="1">
                  <c:v>2019年支出</c:v>
                </c:pt>
              </c:strCache>
            </c:strRef>
          </c:cat>
          <c:val>
            <c:numRef>
              <c:f>Sheet1!$C$2:$C$3</c:f>
              <c:numCache>
                <c:formatCode>General</c:formatCode>
                <c:ptCount val="2"/>
              </c:numCache>
            </c:numRef>
          </c:val>
        </c:ser>
        <c:ser>
          <c:idx val="2"/>
          <c:order val="2"/>
          <c:tx>
            <c:strRef>
              <c:f>Sheet1!$D$1</c:f>
              <c:strCache>
                <c:ptCount val="1"/>
                <c:pt idx="0">
                  <c:v>列2</c:v>
                </c:pt>
              </c:strCache>
            </c:strRef>
          </c:tx>
          <c:spPr>
            <a:solidFill>
              <a:schemeClr val="accent3"/>
            </a:solidFill>
            <a:ln>
              <a:noFill/>
            </a:ln>
            <a:effectLst/>
          </c:spPr>
          <c:invertIfNegative val="0"/>
          <c:dLbls>
            <c:delete val="1"/>
          </c:dLbls>
          <c:cat>
            <c:strRef>
              <c:f>Sheet1!$A$2:$A$3</c:f>
              <c:strCache>
                <c:ptCount val="2"/>
                <c:pt idx="0">
                  <c:v>2018年支出</c:v>
                </c:pt>
                <c:pt idx="1">
                  <c:v>2019年支出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193497728"/>
        <c:axId val="194306432"/>
      </c:barChart>
      <c:catAx>
        <c:axId val="193497728"/>
        <c:scaling>
          <c:orientation val="minMax"/>
        </c:scaling>
        <c:delete val="0"/>
        <c:axPos val="l"/>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306432"/>
        <c:crosses val="autoZero"/>
        <c:auto val="1"/>
        <c:lblAlgn val="ctr"/>
        <c:lblOffset val="100"/>
        <c:noMultiLvlLbl val="0"/>
      </c:catAx>
      <c:valAx>
        <c:axId val="194306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49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b="1">
                <a:latin typeface="黑体" panose="02010600030101010101" charset="-122"/>
                <a:ea typeface="黑体" panose="02010600030101010101" charset="-122"/>
                <a:cs typeface="黑体" panose="02010600030101010101" charset="-122"/>
              </a:rPr>
              <a:t>2019</a:t>
            </a:r>
            <a:r>
              <a:rPr altLang="zh-CN" b="1">
                <a:latin typeface="黑体" panose="02010600030101010101" charset="-122"/>
                <a:ea typeface="黑体" panose="02010600030101010101" charset="-122"/>
                <a:cs typeface="黑体" panose="02010600030101010101" charset="-122"/>
              </a:rPr>
              <a:t>年收入合计</a:t>
            </a:r>
            <a:endParaRPr altLang="zh-CN" b="1">
              <a:latin typeface="黑体" panose="02010600030101010101" charset="-122"/>
              <a:ea typeface="黑体" panose="02010600030101010101" charset="-122"/>
              <a:cs typeface="黑体" panose="02010600030101010101" charset="-122"/>
            </a:endParaRPr>
          </a:p>
        </c:rich>
      </c:tx>
      <c:layout>
        <c:manualLayout>
          <c:xMode val="edge"/>
          <c:yMode val="edge"/>
          <c:x val="0.313998505046016"/>
          <c:y val="0.0686785248750483"/>
        </c:manualLayout>
      </c:layout>
      <c:overlay val="0"/>
      <c:spPr>
        <a:noFill/>
        <a:ln>
          <a:noFill/>
        </a:ln>
        <a:effectLst/>
      </c:spPr>
    </c:title>
    <c:autoTitleDeleted val="0"/>
    <c:plotArea>
      <c:layout>
        <c:manualLayout>
          <c:layoutTarget val="inner"/>
          <c:xMode val="edge"/>
          <c:yMode val="edge"/>
          <c:x val="0.246486680483524"/>
          <c:y val="0.238153662235155"/>
          <c:w val="0.393574297188755"/>
          <c:h val="0.754187415119964"/>
        </c:manualLayout>
      </c:layout>
      <c:pieChart>
        <c:varyColors val="1"/>
        <c:ser>
          <c:idx val="0"/>
          <c:order val="0"/>
          <c:tx>
            <c:strRef>
              <c:f>Sheet1!$B$1</c:f>
              <c:strCache>
                <c:ptCount val="1"/>
                <c:pt idx="0">
                  <c:v>2019年收入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1670.17</c:v>
                </c:pt>
                <c:pt idx="1">
                  <c:v>0</c:v>
                </c:pt>
                <c:pt idx="2">
                  <c:v>0</c:v>
                </c:pt>
                <c:pt idx="3">
                  <c:v>2654.04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0253164556962"/>
          <c:y val="0.339034975746745"/>
          <c:w val="0.29381694255112"/>
          <c:h val="0.51544549400051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b="1">
                <a:latin typeface="黑体" panose="02010600030101010101" charset="-122"/>
                <a:ea typeface="黑体" panose="02010600030101010101" charset="-122"/>
                <a:cs typeface="黑体" panose="02010600030101010101" charset="-122"/>
              </a:rPr>
              <a:t>2019</a:t>
            </a:r>
            <a:r>
              <a:rPr altLang="zh-CN" b="1">
                <a:latin typeface="黑体" panose="02010600030101010101" charset="-122"/>
                <a:ea typeface="黑体" panose="02010600030101010101" charset="-122"/>
                <a:cs typeface="黑体" panose="02010600030101010101" charset="-122"/>
              </a:rPr>
              <a:t>年支出合计</a:t>
            </a:r>
            <a:endParaRPr altLang="zh-CN" b="1">
              <a:latin typeface="黑体" panose="02010600030101010101" charset="-122"/>
              <a:ea typeface="黑体" panose="02010600030101010101" charset="-122"/>
              <a:cs typeface="黑体" panose="02010600030101010101" charset="-122"/>
            </a:endParaRPr>
          </a:p>
        </c:rich>
      </c:tx>
      <c:layout>
        <c:manualLayout>
          <c:xMode val="edge"/>
          <c:yMode val="edge"/>
          <c:x val="0.288111288596978"/>
          <c:y val="0.0809720346679782"/>
        </c:manualLayout>
      </c:layout>
      <c:overlay val="0"/>
      <c:spPr>
        <a:noFill/>
        <a:ln>
          <a:noFill/>
        </a:ln>
        <a:effectLst/>
      </c:spPr>
    </c:title>
    <c:autoTitleDeleted val="0"/>
    <c:plotArea>
      <c:layout>
        <c:manualLayout>
          <c:layoutTarget val="inner"/>
          <c:xMode val="edge"/>
          <c:yMode val="edge"/>
          <c:x val="0.230413549534471"/>
          <c:y val="0.244443844454348"/>
          <c:w val="0.393574297188755"/>
          <c:h val="0.754187415119964"/>
        </c:manualLayout>
      </c:layout>
      <c:pieChart>
        <c:varyColors val="1"/>
        <c:ser>
          <c:idx val="0"/>
          <c:order val="0"/>
          <c:tx>
            <c:strRef>
              <c:f>Sheet1!$B$1</c:f>
              <c:strCache>
                <c:ptCount val="1"/>
                <c:pt idx="0">
                  <c:v>2019年支出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基本支出</c:v>
                </c:pt>
                <c:pt idx="1">
                  <c:v>项目支出</c:v>
                </c:pt>
                <c:pt idx="2">
                  <c:v>经营支出</c:v>
                </c:pt>
              </c:strCache>
            </c:strRef>
          </c:cat>
          <c:val>
            <c:numRef>
              <c:f>Sheet1!$B$2:$B$4</c:f>
              <c:numCache>
                <c:formatCode>General</c:formatCode>
                <c:ptCount val="3"/>
                <c:pt idx="0">
                  <c:v>1213.57</c:v>
                </c:pt>
                <c:pt idx="1">
                  <c:v>6266.38</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09275558564658"/>
          <c:y val="0.331501373969523"/>
          <c:w val="0.221394719025051"/>
          <c:h val="0.48363727204596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2018年财政拨款收入</c:v>
                </c:pt>
                <c:pt idx="1">
                  <c:v>2019年财政拨款收入</c:v>
                </c:pt>
              </c:strCache>
            </c:strRef>
          </c:cat>
          <c:val>
            <c:numRef>
              <c:f>Sheet1!$B$2:$B$3</c:f>
              <c:numCache>
                <c:formatCode>General</c:formatCode>
                <c:ptCount val="2"/>
                <c:pt idx="0">
                  <c:v>1876.98</c:v>
                </c:pt>
                <c:pt idx="1">
                  <c:v>1670.17</c:v>
                </c:pt>
              </c:numCache>
            </c:numRef>
          </c:val>
        </c:ser>
        <c:ser>
          <c:idx val="1"/>
          <c:order val="1"/>
          <c:tx>
            <c:strRef>
              <c:f>Sheet1!$C$1</c:f>
              <c:strCache>
                <c:ptCount val="1"/>
                <c:pt idx="0">
                  <c:v>列1</c:v>
                </c:pt>
              </c:strCache>
            </c:strRef>
          </c:tx>
          <c:invertIfNegative val="0"/>
          <c:dLbls>
            <c:delete val="1"/>
          </c:dLbls>
          <c:cat>
            <c:strRef>
              <c:f>Sheet1!$A$2:$A$3</c:f>
              <c:strCache>
                <c:ptCount val="2"/>
                <c:pt idx="0">
                  <c:v>2018年财政拨款收入</c:v>
                </c:pt>
                <c:pt idx="1">
                  <c:v>2019年财政拨款收入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2018年财政拨款收入</c:v>
                </c:pt>
                <c:pt idx="1">
                  <c:v>2019年财政拨款收入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232278656"/>
        <c:axId val="232735104"/>
      </c:barChart>
      <c:catAx>
        <c:axId val="232278656"/>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2735104"/>
        <c:crosses val="autoZero"/>
        <c:auto val="1"/>
        <c:lblAlgn val="ctr"/>
        <c:lblOffset val="100"/>
        <c:noMultiLvlLbl val="0"/>
      </c:catAx>
      <c:valAx>
        <c:axId val="23273510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227865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833917819097"/>
          <c:y val="0.0720523893593527"/>
          <c:w val="0.700700248603381"/>
          <c:h val="0.763853838349925"/>
        </c:manualLayout>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2018年财政拨款支出</c:v>
                </c:pt>
                <c:pt idx="1">
                  <c:v>2019年财政拨款支出</c:v>
                </c:pt>
              </c:strCache>
            </c:strRef>
          </c:cat>
          <c:val>
            <c:numRef>
              <c:f>Sheet1!$B$2:$B$3</c:f>
              <c:numCache>
                <c:formatCode>General</c:formatCode>
                <c:ptCount val="2"/>
                <c:pt idx="0">
                  <c:v>1877.26</c:v>
                </c:pt>
                <c:pt idx="1">
                  <c:v>1670.35</c:v>
                </c:pt>
              </c:numCache>
            </c:numRef>
          </c:val>
        </c:ser>
        <c:dLbls>
          <c:showLegendKey val="0"/>
          <c:showVal val="0"/>
          <c:showCatName val="0"/>
          <c:showSerName val="0"/>
          <c:showPercent val="0"/>
          <c:showBubbleSize val="0"/>
        </c:dLbls>
        <c:gapWidth val="150"/>
        <c:overlap val="100"/>
        <c:axId val="232291328"/>
        <c:axId val="232755968"/>
      </c:barChart>
      <c:catAx>
        <c:axId val="232291328"/>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2755968"/>
        <c:crosses val="autoZero"/>
        <c:auto val="1"/>
        <c:lblAlgn val="ctr"/>
        <c:lblOffset val="100"/>
        <c:noMultiLvlLbl val="0"/>
      </c:catAx>
      <c:valAx>
        <c:axId val="23275596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22913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2018年财政拨款支出</c:v>
                </c:pt>
              </c:strCache>
            </c:strRef>
          </c:tx>
          <c:invertIfNegative val="0"/>
          <c:dLbls>
            <c:delete val="1"/>
          </c:dLbls>
          <c:cat>
            <c:numRef>
              <c:f>Sheet1!$A$2</c:f>
              <c:numCache>
                <c:formatCode>General</c:formatCode>
                <c:ptCount val="1"/>
              </c:numCache>
            </c:numRef>
          </c:cat>
          <c:val>
            <c:numRef>
              <c:f>Sheet1!$B$2</c:f>
              <c:numCache>
                <c:formatCode>General</c:formatCode>
                <c:ptCount val="1"/>
                <c:pt idx="0">
                  <c:v>1877.26</c:v>
                </c:pt>
              </c:numCache>
            </c:numRef>
          </c:val>
        </c:ser>
        <c:ser>
          <c:idx val="1"/>
          <c:order val="1"/>
          <c:tx>
            <c:strRef>
              <c:f>Sheet1!$C$1</c:f>
              <c:strCache>
                <c:ptCount val="1"/>
                <c:pt idx="0">
                  <c:v>2019年财政拨款支出</c:v>
                </c:pt>
              </c:strCache>
            </c:strRef>
          </c:tx>
          <c:invertIfNegative val="0"/>
          <c:dLbls>
            <c:delete val="1"/>
          </c:dLbls>
          <c:cat>
            <c:numRef>
              <c:f>Sheet1!$A$2</c:f>
              <c:numCache>
                <c:formatCode>General</c:formatCode>
                <c:ptCount val="1"/>
              </c:numCache>
            </c:numRef>
          </c:cat>
          <c:val>
            <c:numRef>
              <c:f>Sheet1!$C$2</c:f>
              <c:numCache>
                <c:formatCode>General</c:formatCode>
                <c:ptCount val="1"/>
                <c:pt idx="0">
                  <c:v>1670.35</c:v>
                </c:pt>
              </c:numCache>
            </c:numRef>
          </c:val>
        </c:ser>
        <c:ser>
          <c:idx val="2"/>
          <c:order val="2"/>
          <c:tx>
            <c:strRef>
              <c:f>Sheet1!$D$1</c:f>
              <c:strCache>
                <c:ptCount val="1"/>
                <c:pt idx="0">
                  <c:v>2019年总支出</c:v>
                </c:pt>
              </c:strCache>
            </c:strRef>
          </c:tx>
          <c:invertIfNegative val="0"/>
          <c:dLbls>
            <c:delete val="1"/>
          </c:dLbls>
          <c:cat>
            <c:numRef>
              <c:f>Sheet1!$A$2</c:f>
              <c:numCache>
                <c:formatCode>General</c:formatCode>
                <c:ptCount val="1"/>
              </c:numCache>
            </c:numRef>
          </c:cat>
          <c:val>
            <c:numRef>
              <c:f>Sheet1!$D$2</c:f>
              <c:numCache>
                <c:formatCode>General</c:formatCode>
                <c:ptCount val="1"/>
                <c:pt idx="0">
                  <c:v>7479.96</c:v>
                </c:pt>
              </c:numCache>
            </c:numRef>
          </c:val>
        </c:ser>
        <c:dLbls>
          <c:showLegendKey val="0"/>
          <c:showVal val="0"/>
          <c:showCatName val="0"/>
          <c:showSerName val="0"/>
          <c:showPercent val="0"/>
          <c:showBubbleSize val="0"/>
        </c:dLbls>
        <c:gapWidth val="150"/>
        <c:axId val="232187008"/>
        <c:axId val="232188544"/>
      </c:barChart>
      <c:catAx>
        <c:axId val="23218700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2188544"/>
        <c:crosses val="autoZero"/>
        <c:auto val="1"/>
        <c:lblAlgn val="ctr"/>
        <c:lblOffset val="100"/>
        <c:noMultiLvlLbl val="0"/>
      </c:catAx>
      <c:valAx>
        <c:axId val="23218854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21870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32</TotalTime>
  <ScaleCrop>false</ScaleCrop>
  <LinksUpToDate>false</LinksUpToDate>
  <CharactersWithSpaces>8778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Administrator</cp:lastModifiedBy>
  <cp:lastPrinted>2020-10-13T07:53:00Z</cp:lastPrinted>
  <dcterms:modified xsi:type="dcterms:W3CDTF">2020-10-25T04:11:13Z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