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color w:val="auto"/>
          <w:sz w:val="32"/>
          <w:szCs w:val="32"/>
          <w:lang w:eastAsia="zh-CN"/>
        </w:rPr>
        <w:sectPr>
          <w:pgSz w:w="11906" w:h="16838"/>
          <w:pgMar w:top="1440" w:right="1080" w:bottom="1440" w:left="1080" w:header="851" w:footer="992" w:gutter="0"/>
          <w:cols w:space="425" w:num="1"/>
          <w:docGrid w:type="lines" w:linePitch="312" w:charSpace="0"/>
        </w:sectPr>
      </w:pPr>
      <w:r>
        <w:rPr>
          <w:rFonts w:hint="eastAsia" w:ascii="楷体" w:hAnsi="楷体" w:eastAsia="楷体" w:cs="楷体"/>
          <w:color w:val="auto"/>
          <w:sz w:val="32"/>
          <w:szCs w:val="32"/>
          <w:lang w:eastAsia="zh-CN"/>
        </w:rPr>
        <w:object>
          <v:shape id="_x0000_i1034" o:spt="75" type="#_x0000_t75" style="height:673.5pt;width:471pt;" o:ole="t" filled="f" o:preferrelative="t" stroked="f" coordsize="21600,21600">
            <v:path/>
            <v:fill on="f" focussize="0,0"/>
            <v:stroke on="f"/>
            <v:imagedata r:id="rId5" o:title=""/>
            <o:lock v:ext="edit" aspectratio="t"/>
            <w10:wrap type="none"/>
            <w10:anchorlock/>
          </v:shape>
          <o:OLEObject Type="Embed" ProgID="Excel.Sheet.8" ShapeID="_x0000_i1034" DrawAspect="Content" ObjectID="_1468075725" r:id="rId4">
            <o:LockedField>false</o:LockedField>
          </o:OLEObject>
        </w:object>
      </w:r>
      <w:bookmarkStart w:id="0" w:name="_GoBack"/>
      <w:bookmarkEnd w:id="0"/>
    </w:p>
    <w:p>
      <w:pPr>
        <w:rPr>
          <w:rFonts w:hint="eastAsia" w:ascii="楷体" w:hAnsi="楷体" w:eastAsia="楷体" w:cs="楷体"/>
          <w:color w:val="auto"/>
          <w:sz w:val="32"/>
          <w:szCs w:val="32"/>
          <w:lang w:eastAsia="zh-CN"/>
        </w:rPr>
      </w:pPr>
    </w:p>
    <w:tbl>
      <w:tblPr>
        <w:tblW w:w="15267" w:type="dxa"/>
        <w:tblInd w:w="0" w:type="dxa"/>
        <w:shd w:val="clear"/>
        <w:tblLayout w:type="fixed"/>
        <w:tblCellMar>
          <w:top w:w="0" w:type="dxa"/>
          <w:left w:w="0" w:type="dxa"/>
          <w:bottom w:w="0" w:type="dxa"/>
          <w:right w:w="0" w:type="dxa"/>
        </w:tblCellMar>
      </w:tblPr>
      <w:tblGrid>
        <w:gridCol w:w="525"/>
        <w:gridCol w:w="705"/>
        <w:gridCol w:w="1032"/>
        <w:gridCol w:w="720"/>
        <w:gridCol w:w="2565"/>
        <w:gridCol w:w="2775"/>
        <w:gridCol w:w="1893"/>
        <w:gridCol w:w="825"/>
        <w:gridCol w:w="825"/>
        <w:gridCol w:w="675"/>
        <w:gridCol w:w="1047"/>
        <w:gridCol w:w="1680"/>
      </w:tblGrid>
      <w:tr>
        <w:tblPrEx>
          <w:shd w:val="clear"/>
          <w:tblLayout w:type="fixed"/>
          <w:tblCellMar>
            <w:top w:w="0" w:type="dxa"/>
            <w:left w:w="0" w:type="dxa"/>
            <w:bottom w:w="0" w:type="dxa"/>
            <w:right w:w="0" w:type="dxa"/>
          </w:tblCellMar>
        </w:tblPrEx>
        <w:trPr>
          <w:trHeight w:val="885" w:hRule="atLeast"/>
        </w:trPr>
        <w:tc>
          <w:tcPr>
            <w:tcW w:w="15267"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bdr w:val="none" w:color="auto" w:sz="0" w:space="0"/>
                <w:lang w:val="en-US" w:eastAsia="zh-CN" w:bidi="ar"/>
              </w:rPr>
              <w:t>部门整体支出绩效自评表</w:t>
            </w:r>
            <w:r>
              <w:rPr>
                <w:rFonts w:hint="eastAsia" w:ascii="黑体" w:hAnsi="宋体" w:eastAsia="黑体" w:cs="黑体"/>
                <w:i w:val="0"/>
                <w:color w:val="000000"/>
                <w:kern w:val="0"/>
                <w:sz w:val="40"/>
                <w:szCs w:val="40"/>
                <w:u w:val="none"/>
                <w:bdr w:val="none" w:color="auto" w:sz="0" w:space="0"/>
                <w:lang w:val="en-US" w:eastAsia="zh-CN" w:bidi="ar"/>
              </w:rPr>
              <w:br w:type="textWrapping"/>
            </w:r>
            <w:r>
              <w:rPr>
                <w:rStyle w:val="4"/>
                <w:bdr w:val="none" w:color="auto" w:sz="0" w:space="0"/>
                <w:lang w:val="en-US" w:eastAsia="zh-CN" w:bidi="ar"/>
              </w:rPr>
              <w:t>（2018年度）</w:t>
            </w:r>
          </w:p>
        </w:tc>
      </w:tr>
      <w:tr>
        <w:tblPrEx>
          <w:shd w:val="clear"/>
          <w:tblLayout w:type="fixed"/>
          <w:tblCellMar>
            <w:top w:w="0" w:type="dxa"/>
            <w:left w:w="0" w:type="dxa"/>
            <w:bottom w:w="0" w:type="dxa"/>
            <w:right w:w="0" w:type="dxa"/>
          </w:tblCellMar>
        </w:tblPrEx>
        <w:trPr>
          <w:trHeight w:val="454" w:hRule="atLeast"/>
        </w:trPr>
        <w:tc>
          <w:tcPr>
            <w:tcW w:w="5547"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填报单位:中共杨陵区委组织部</w:t>
            </w:r>
          </w:p>
        </w:tc>
        <w:tc>
          <w:tcPr>
            <w:tcW w:w="277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自评得分：88</w:t>
            </w:r>
          </w:p>
        </w:tc>
        <w:tc>
          <w:tcPr>
            <w:tcW w:w="1893" w:type="dxa"/>
            <w:tcBorders>
              <w:top w:val="nil"/>
              <w:left w:val="nil"/>
              <w:bottom w:val="nil"/>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825" w:type="dxa"/>
            <w:tcBorders>
              <w:top w:val="nil"/>
              <w:left w:val="nil"/>
              <w:bottom w:val="nil"/>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825" w:type="dxa"/>
            <w:tcBorders>
              <w:top w:val="nil"/>
              <w:left w:val="nil"/>
              <w:bottom w:val="nil"/>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75" w:type="dxa"/>
            <w:tcBorders>
              <w:top w:val="nil"/>
              <w:left w:val="nil"/>
              <w:bottom w:val="nil"/>
              <w:right w:val="nil"/>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47"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tblLayout w:type="fixed"/>
          <w:tblCellMar>
            <w:top w:w="0" w:type="dxa"/>
            <w:left w:w="0" w:type="dxa"/>
            <w:bottom w:w="0" w:type="dxa"/>
            <w:right w:w="0" w:type="dxa"/>
          </w:tblCellMar>
        </w:tblPrEx>
        <w:trPr>
          <w:trHeight w:val="1815" w:hRule="atLeast"/>
        </w:trPr>
        <w:tc>
          <w:tcPr>
            <w:tcW w:w="5547"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bCs/>
                <w:i w:val="0"/>
                <w:color w:val="000000"/>
                <w:sz w:val="20"/>
                <w:szCs w:val="20"/>
                <w:u w:val="none"/>
              </w:rPr>
            </w:pPr>
            <w:r>
              <w:rPr>
                <w:rFonts w:hint="default" w:ascii="仿宋_GB2312" w:hAnsi="宋体" w:eastAsia="仿宋_GB2312" w:cs="仿宋_GB2312"/>
                <w:b/>
                <w:bCs/>
                <w:i w:val="0"/>
                <w:color w:val="000000"/>
                <w:kern w:val="0"/>
                <w:sz w:val="20"/>
                <w:szCs w:val="20"/>
                <w:u w:val="none"/>
                <w:bdr w:val="none" w:color="auto" w:sz="0" w:space="0"/>
                <w:lang w:val="en-US" w:eastAsia="zh-CN" w:bidi="ar"/>
              </w:rPr>
              <w:t>（一）简要概述部门职能与职责。</w:t>
            </w:r>
          </w:p>
        </w:tc>
        <w:tc>
          <w:tcPr>
            <w:tcW w:w="972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中共杨陵区委组织部是区委主管组织工作和干部工作的职能部门，与区级机关工委合署办公，代管区非公经济组织和社会组织党工委，设区委基层办，下设区远程教育中心。主要负责拟订全区组织、干部管理工作制度及党员、干部管理的规划，并组织实施；研究和指导党组织建设，协调和指导党员教育工作，主管党员的管理和发展工作；宏观指导全区干部队伍建设，办理区管干部及区级有关部门工作人员的任免、调配、工资、退休等审批手续，综合管理培养选拔年轻干部、女干部、党外干部工作，负责挂职干部和选调生工作和全区干部教育培训工作；参与区级领导班子的换届选举，指导基层党（工）委做好各级党组织领导班子换届选举工作；完成区委和上级组织部门交办的其他工作。</w:t>
            </w:r>
          </w:p>
        </w:tc>
      </w:tr>
      <w:tr>
        <w:tblPrEx>
          <w:shd w:val="clear"/>
          <w:tblLayout w:type="fixed"/>
          <w:tblCellMar>
            <w:top w:w="0" w:type="dxa"/>
            <w:left w:w="0" w:type="dxa"/>
            <w:bottom w:w="0" w:type="dxa"/>
            <w:right w:w="0" w:type="dxa"/>
          </w:tblCellMar>
        </w:tblPrEx>
        <w:trPr>
          <w:trHeight w:val="1062" w:hRule="atLeast"/>
        </w:trPr>
        <w:tc>
          <w:tcPr>
            <w:tcW w:w="5547"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bCs/>
                <w:i w:val="0"/>
                <w:color w:val="000000"/>
                <w:sz w:val="20"/>
                <w:szCs w:val="20"/>
                <w:u w:val="none"/>
              </w:rPr>
            </w:pPr>
            <w:r>
              <w:rPr>
                <w:rFonts w:hint="default" w:ascii="仿宋_GB2312" w:hAnsi="宋体" w:eastAsia="仿宋_GB2312" w:cs="仿宋_GB2312"/>
                <w:b/>
                <w:bCs/>
                <w:i w:val="0"/>
                <w:color w:val="000000"/>
                <w:kern w:val="0"/>
                <w:sz w:val="20"/>
                <w:szCs w:val="20"/>
                <w:u w:val="none"/>
                <w:bdr w:val="none" w:color="auto" w:sz="0" w:space="0"/>
                <w:lang w:val="en-US" w:eastAsia="zh-CN" w:bidi="ar"/>
              </w:rPr>
              <w:t>（二）简要概述部门支出情况，按活动内容分类。</w:t>
            </w:r>
          </w:p>
        </w:tc>
        <w:tc>
          <w:tcPr>
            <w:tcW w:w="972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一般公共预算财政拨款基本支出合计204.23万元，主要用于部门本年度人员经费及日常公用经费支出。其中：人员经费182.57万元，主要用于人员工资福利支出；公用经费支出21.66万元，主要用于办公费、邮电费、水电费、工费经费和交通费用；项目支出304.54万元，主要用于对村民委员会和村党支部补助、对高校毕业生到基层任职补助等支出。</w:t>
            </w:r>
          </w:p>
        </w:tc>
      </w:tr>
      <w:tr>
        <w:tblPrEx>
          <w:tblLayout w:type="fixed"/>
          <w:tblCellMar>
            <w:top w:w="0" w:type="dxa"/>
            <w:left w:w="0" w:type="dxa"/>
            <w:bottom w:w="0" w:type="dxa"/>
            <w:right w:w="0" w:type="dxa"/>
          </w:tblCellMar>
        </w:tblPrEx>
        <w:trPr>
          <w:trHeight w:val="1590" w:hRule="atLeast"/>
        </w:trPr>
        <w:tc>
          <w:tcPr>
            <w:tcW w:w="5547"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bCs/>
                <w:i w:val="0"/>
                <w:color w:val="000000"/>
                <w:sz w:val="20"/>
                <w:szCs w:val="20"/>
                <w:u w:val="none"/>
              </w:rPr>
            </w:pPr>
            <w:r>
              <w:rPr>
                <w:rFonts w:hint="default" w:ascii="仿宋_GB2312" w:hAnsi="宋体" w:eastAsia="仿宋_GB2312" w:cs="仿宋_GB2312"/>
                <w:b/>
                <w:bCs/>
                <w:i w:val="0"/>
                <w:color w:val="000000"/>
                <w:kern w:val="0"/>
                <w:sz w:val="20"/>
                <w:szCs w:val="20"/>
                <w:u w:val="none"/>
                <w:bdr w:val="none" w:color="auto" w:sz="0" w:space="0"/>
                <w:lang w:val="en-US" w:eastAsia="zh-CN" w:bidi="ar"/>
              </w:rPr>
              <w:t>（三）简要概述当年区委区政府下达的重点工作。</w:t>
            </w:r>
          </w:p>
        </w:tc>
        <w:tc>
          <w:tcPr>
            <w:tcW w:w="972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 xml:space="preserve"> 一是扎实抓好党内政治生活和党建责任落实。二是圆满完成农村（社区）“两委”班子换届选举工作，扎实开展“千村示范、万村达标”活动，创建了2个省级标准化建设示范村、15个省级达标村。开展抓党建促发展“三个三”行动成效显著。公开招聘69名乡村振兴办公室专职工作人员，与杨职院合作开展农村干部学历教育，累计有96名村干部及后备干部进入3年制大专脱产班学习；为11名优秀村干部落实了副科级干部待遇，提拔使用38名驻村干部。三是全面提升全区非公和社会组织党建工作，持续激发党建活力。四是强化措施、从严管理，干部队伍呈现新气象</w:t>
            </w:r>
          </w:p>
        </w:tc>
      </w:tr>
      <w:tr>
        <w:tblPrEx>
          <w:shd w:val="clear"/>
          <w:tblLayout w:type="fixed"/>
          <w:tblCellMar>
            <w:top w:w="0" w:type="dxa"/>
            <w:left w:w="0" w:type="dxa"/>
            <w:bottom w:w="0" w:type="dxa"/>
            <w:right w:w="0" w:type="dxa"/>
          </w:tblCellMar>
        </w:tblPrEx>
        <w:trPr>
          <w:trHeight w:val="266"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一级</w:t>
            </w:r>
            <w:r>
              <w:rPr>
                <w:rFonts w:hint="default" w:ascii="楷体_GB2312" w:hAnsi="宋体" w:eastAsia="楷体_GB2312" w:cs="楷体_GB2312"/>
                <w:b/>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b/>
                <w:i w:val="0"/>
                <w:color w:val="000000"/>
                <w:kern w:val="0"/>
                <w:sz w:val="20"/>
                <w:szCs w:val="20"/>
                <w:u w:val="none"/>
                <w:bdr w:val="none" w:color="auto" w:sz="0" w:space="0"/>
                <w:lang w:val="en-US" w:eastAsia="zh-CN" w:bidi="ar"/>
              </w:rPr>
              <w:t>指标</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二级</w:t>
            </w:r>
            <w:r>
              <w:rPr>
                <w:rFonts w:hint="default" w:ascii="楷体_GB2312" w:hAnsi="宋体" w:eastAsia="楷体_GB2312" w:cs="楷体_GB2312"/>
                <w:b/>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b/>
                <w:i w:val="0"/>
                <w:color w:val="000000"/>
                <w:kern w:val="0"/>
                <w:sz w:val="20"/>
                <w:szCs w:val="20"/>
                <w:u w:val="none"/>
                <w:bdr w:val="none" w:color="auto" w:sz="0" w:space="0"/>
                <w:lang w:val="en-US" w:eastAsia="zh-CN" w:bidi="ar"/>
              </w:rPr>
              <w:t>指标</w:t>
            </w: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分值</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指标说明</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评分标准</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指标值计算公式和数据获取方式</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实际完成值</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bdr w:val="none" w:color="auto" w:sz="0" w:space="0"/>
                <w:lang w:val="en-US" w:eastAsia="zh-CN" w:bidi="ar"/>
              </w:rPr>
              <w:t>得分</w:t>
            </w:r>
          </w:p>
        </w:tc>
        <w:tc>
          <w:tcPr>
            <w:tcW w:w="10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bdr w:val="none" w:color="auto" w:sz="0" w:space="0"/>
                <w:lang w:val="en-US" w:eastAsia="zh-CN" w:bidi="ar"/>
              </w:rPr>
              <w:t>未完成原因分析与改进措施</w:t>
            </w: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bdr w:val="none" w:color="auto" w:sz="0" w:space="0"/>
                <w:lang w:val="en-US" w:eastAsia="zh-CN" w:bidi="ar"/>
              </w:rPr>
              <w:t>绩效指标分析与建议</w:t>
            </w:r>
          </w:p>
        </w:tc>
      </w:tr>
      <w:tr>
        <w:tblPrEx>
          <w:shd w:val="clear"/>
          <w:tblLayout w:type="fixed"/>
          <w:tblCellMar>
            <w:top w:w="0" w:type="dxa"/>
            <w:left w:w="0" w:type="dxa"/>
            <w:bottom w:w="0" w:type="dxa"/>
            <w:right w:w="0" w:type="dxa"/>
          </w:tblCellMar>
        </w:tblPrEx>
        <w:trPr>
          <w:trHeight w:val="3038"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投入</w:t>
            </w:r>
          </w:p>
        </w:tc>
        <w:tc>
          <w:tcPr>
            <w:tcW w:w="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预算执行（25分）</w:t>
            </w: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完成率</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（10分）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预算完成率=（预算完成数/预算数）×100%，用以反映和考核部门（单位）预算完成程度。</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预算完成数：部门（单位）本年度实际完成的预算数。</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预算数：财政部门批复的本年度部门（单位）预算数。</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预算完成率＝100%的，得10分。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预算完成率≥95%的，得9分。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预算完成率在90%（含）和95%之间，得8分。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预算完成率在85%（含）和90%之间，得7分。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预算完成率在80%（含）和85%之间，得6分。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预算完成率在70%（含）和80%之间，得4分。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预算完成率＜70%的，得0分。</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财政预算批复、决算批复</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631.46</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491.417</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大学生村官人数减少对高校毕业生到村任职补助支出减少；财政拨款预算资金下达较晚，部分资金年底前下达，支出无法当年安排</w:t>
            </w: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及时预算资金，确保时效性</w:t>
            </w:r>
          </w:p>
        </w:tc>
      </w:tr>
      <w:tr>
        <w:tblPrEx>
          <w:shd w:val="clear"/>
          <w:tblLayout w:type="fixed"/>
          <w:tblCellMar>
            <w:top w:w="0" w:type="dxa"/>
            <w:left w:w="0" w:type="dxa"/>
            <w:bottom w:w="0" w:type="dxa"/>
            <w:right w:w="0" w:type="dxa"/>
          </w:tblCellMar>
        </w:tblPrEx>
        <w:trPr>
          <w:trHeight w:val="247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预算调整率</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（5分）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预算调整率=（预算调整数/预算数）×100%，用以反映和考核部门（单位）预算的调整程度。</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预算调整数：部门（单位）在本年度内涉及预算的追加、追减或结构调整的资金总和（因落实国家政策、发生不可抗力、上级部门或本级党委政府临时交办而产生的调整除外）。</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预算包括一般公共预算与政府性基金预算。</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预算调整率绝对值≤5%，得5分。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预算调整率绝对值＞5%的，每增加0.1个百分点扣0.1分，扣完为止。</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财政决算批复</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10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本部门年度内无财政预算调整</w:t>
            </w:r>
          </w:p>
        </w:tc>
      </w:tr>
      <w:tr>
        <w:tblPrEx>
          <w:shd w:val="clear"/>
          <w:tblLayout w:type="fixed"/>
          <w:tblCellMar>
            <w:top w:w="0" w:type="dxa"/>
            <w:left w:w="0" w:type="dxa"/>
            <w:bottom w:w="0" w:type="dxa"/>
            <w:right w:w="0" w:type="dxa"/>
          </w:tblCellMar>
        </w:tblPrEx>
        <w:trPr>
          <w:trHeight w:val="223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投入</w:t>
            </w:r>
          </w:p>
        </w:tc>
        <w:tc>
          <w:tcPr>
            <w:tcW w:w="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预算执行（25分）</w:t>
            </w: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支出进度率</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（5分）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支出进度率=（实际支出/支出预算）×100%，用以反映和考核部门（单位）预算执行的及时性和均衡性程度。</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半年支出进度＝部门上半年实际支出/（上年结余结转+本年部门预算安排+上半年执行中追加追减）*100%。</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前三季度支出进度＝部门前三季度实际支出/（上年结余结转+本年部门预算安排+前三季度执行中追加追减）*100%。</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半年进度：进度率≥45%，得2分；进度率在40%（含）和45%之间，得1分；进度率＜40%，得0分。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前三季度进度：进度率≥75%，得3分；进度率在60%（含）和75%之间，得2分；进度率＜60%，得0分。</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3</w:t>
            </w:r>
          </w:p>
        </w:tc>
        <w:tc>
          <w:tcPr>
            <w:tcW w:w="10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部门预算资金支出多集中在下半年，从第3季度开始对离任村干部补贴、村干部工资、优秀村干部享受副科待遇补贴等支出大幅增加。</w:t>
            </w: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r>
      <w:tr>
        <w:tblPrEx>
          <w:shd w:val="clear"/>
          <w:tblLayout w:type="fixed"/>
          <w:tblCellMar>
            <w:top w:w="0" w:type="dxa"/>
            <w:left w:w="0" w:type="dxa"/>
            <w:bottom w:w="0" w:type="dxa"/>
            <w:right w:w="0" w:type="dxa"/>
          </w:tblCellMar>
        </w:tblPrEx>
        <w:trPr>
          <w:trHeight w:val="1534"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预算编制准确率（5分）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部门预算中除财政拨款外的其他收入预算与决算差异率。</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预算编制准确率＝其他收入决算数/其他收入预算数×100%-100%。</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预算编制准确率≤20%，得5分。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预算编制准确率在20%和40%（含）之间，得3分。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预算编制准确率＞40%，得0分。</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10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本部门无财政拨款外的其他收入</w:t>
            </w:r>
          </w:p>
        </w:tc>
      </w:tr>
      <w:tr>
        <w:tblPrEx>
          <w:shd w:val="clear"/>
          <w:tblLayout w:type="fixed"/>
          <w:tblCellMar>
            <w:top w:w="0" w:type="dxa"/>
            <w:left w:w="0" w:type="dxa"/>
            <w:bottom w:w="0" w:type="dxa"/>
            <w:right w:w="0" w:type="dxa"/>
          </w:tblCellMar>
        </w:tblPrEx>
        <w:trPr>
          <w:trHeight w:val="178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过程</w:t>
            </w:r>
          </w:p>
        </w:tc>
        <w:tc>
          <w:tcPr>
            <w:tcW w:w="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预算管理（15分）</w:t>
            </w: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“三公经费”控制率</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（5分）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“三公经费”控制率=（“三公经费”实际支出数/“三公经费”预算安排数）×100%，用以反映和考核部门（单位）对“三公经费”的实际控制程度。</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三公经费控制率 ≤100%，得5分，每增加0.1个百分点扣0.5分，扣完为止。</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财政预算批复、决算批复</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5.45</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0.59</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10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本部门年度三公经费支出主要为公务接待</w:t>
            </w:r>
          </w:p>
        </w:tc>
      </w:tr>
      <w:tr>
        <w:tblPrEx>
          <w:shd w:val="clear"/>
          <w:tblLayout w:type="fixed"/>
          <w:tblCellMar>
            <w:top w:w="0" w:type="dxa"/>
            <w:left w:w="0" w:type="dxa"/>
            <w:bottom w:w="0" w:type="dxa"/>
            <w:right w:w="0" w:type="dxa"/>
          </w:tblCellMar>
        </w:tblPrEx>
        <w:trPr>
          <w:trHeight w:val="178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资产管理规范性</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（5分）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部门（单位）资产管理是否规范，用以反映和考核部门（单位）资产管理情况。</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1.新增资产配置按预算执行。</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2.资产有偿使用、处置按规定程序审批。</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3.资产收益及时、足额上缴财政。</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全部符合5分，有1项不符扣2分,扣完为止。</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10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本部门资产管理规范，在年初资产购置预算内执行，对资产的处置严格按照程序报批。</w:t>
            </w:r>
          </w:p>
        </w:tc>
      </w:tr>
      <w:tr>
        <w:tblPrEx>
          <w:shd w:val="clear"/>
          <w:tblLayout w:type="fixed"/>
          <w:tblCellMar>
            <w:top w:w="0" w:type="dxa"/>
            <w:left w:w="0" w:type="dxa"/>
            <w:bottom w:w="0" w:type="dxa"/>
            <w:right w:w="0"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过程</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预算管理（15分）</w:t>
            </w: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资金使用合规性</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（5分）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部门（单位）使用预算资金是否符合相关的预算财务管理制度的规定，用以反映和考核部门（单位）预算资金的规范运行情况。</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1.符合国家财经法规和财务管理制度规定以及有关专项资金管理办法的规定；</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2.资金的拨付有完整的审批程序和手续；</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3.重大项目开支经过评估论证；</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4.符合部门预算批复的用途；</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5.不存在截留、挤占、挪用、虚列支出等情况。</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全部符合5分,有1项不符扣2分。</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5</w:t>
            </w:r>
          </w:p>
        </w:tc>
        <w:tc>
          <w:tcPr>
            <w:tcW w:w="10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本部门预算资金严格按照相关资金管理办法支出，不存在截留、挤占、挪用、虚列支出等情况</w:t>
            </w:r>
          </w:p>
        </w:tc>
      </w:tr>
      <w:tr>
        <w:tblPrEx>
          <w:shd w:val="clear"/>
          <w:tblLayout w:type="fixed"/>
          <w:tblCellMar>
            <w:top w:w="0" w:type="dxa"/>
            <w:left w:w="0" w:type="dxa"/>
            <w:bottom w:w="0" w:type="dxa"/>
            <w:right w:w="0" w:type="dxa"/>
          </w:tblCellMar>
        </w:tblPrEx>
        <w:trPr>
          <w:trHeight w:val="1639"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效果</w:t>
            </w:r>
          </w:p>
        </w:tc>
        <w:tc>
          <w:tcPr>
            <w:tcW w:w="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履职尽责（60分）</w:t>
            </w: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项目产出</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（40分）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40</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27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1.若为定性指标，根据“三档”原则分别按照指标分值的100-80%（含）、80-50%（含）、50-10%来记分；</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36</w:t>
            </w:r>
          </w:p>
        </w:tc>
        <w:tc>
          <w:tcPr>
            <w:tcW w:w="10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部分项目时效指标未完成</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tblLayout w:type="fixed"/>
          <w:tblCellMar>
            <w:top w:w="0" w:type="dxa"/>
            <w:left w:w="0" w:type="dxa"/>
            <w:bottom w:w="0" w:type="dxa"/>
            <w:right w:w="0" w:type="dxa"/>
          </w:tblCellMar>
        </w:tblPrEx>
        <w:trPr>
          <w:trHeight w:val="14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textDirection w:val="tbRlV"/>
            <w:vAlign w:val="center"/>
          </w:tcPr>
          <w:p>
            <w:pPr>
              <w:jc w:val="center"/>
              <w:rPr>
                <w:rFonts w:hint="default" w:ascii="楷体_GB2312" w:hAnsi="宋体" w:eastAsia="楷体_GB2312" w:cs="楷体_GB2312"/>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项目效益</w:t>
            </w:r>
            <w:r>
              <w:rPr>
                <w:rFonts w:hint="default" w:ascii="楷体_GB2312" w:hAnsi="宋体" w:eastAsia="楷体_GB2312" w:cs="楷体_GB2312"/>
                <w:i w:val="0"/>
                <w:color w:val="000000"/>
                <w:kern w:val="0"/>
                <w:sz w:val="20"/>
                <w:szCs w:val="20"/>
                <w:u w:val="none"/>
                <w:bdr w:val="none" w:color="auto" w:sz="0" w:space="0"/>
                <w:lang w:val="en-US" w:eastAsia="zh-CN" w:bidi="ar"/>
              </w:rPr>
              <w:br w:type="textWrapping"/>
            </w:r>
            <w:r>
              <w:rPr>
                <w:rFonts w:hint="default" w:ascii="楷体_GB2312" w:hAnsi="宋体" w:eastAsia="楷体_GB2312" w:cs="楷体_GB2312"/>
                <w:i w:val="0"/>
                <w:color w:val="000000"/>
                <w:kern w:val="0"/>
                <w:sz w:val="20"/>
                <w:szCs w:val="20"/>
                <w:u w:val="none"/>
                <w:bdr w:val="none" w:color="auto" w:sz="0" w:space="0"/>
                <w:lang w:val="en-US" w:eastAsia="zh-CN" w:bidi="ar"/>
              </w:rPr>
              <w:t>（20分）</w:t>
            </w:r>
          </w:p>
        </w:tc>
        <w:tc>
          <w:tcPr>
            <w:tcW w:w="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20</w:t>
            </w:r>
          </w:p>
        </w:tc>
        <w:tc>
          <w:tcPr>
            <w:tcW w:w="25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楷体_GB2312" w:hAnsi="宋体" w:eastAsia="楷体_GB2312" w:cs="楷体_GB2312"/>
                <w:i w:val="0"/>
                <w:color w:val="000000"/>
                <w:sz w:val="20"/>
                <w:szCs w:val="20"/>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楷体_GB2312" w:hAnsi="宋体" w:eastAsia="楷体_GB2312" w:cs="楷体_GB2312"/>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bdr w:val="none" w:color="auto" w:sz="0" w:space="0"/>
                <w:lang w:val="en-US" w:eastAsia="zh-CN" w:bidi="ar"/>
              </w:rPr>
              <w:t>20</w:t>
            </w:r>
          </w:p>
        </w:tc>
        <w:tc>
          <w:tcPr>
            <w:tcW w:w="104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部门资金农村基层组织建设和基层党建工作，达到不断增强基层党组织战斗力凝聚力的目标。</w:t>
            </w:r>
          </w:p>
        </w:tc>
      </w:tr>
      <w:tr>
        <w:tblPrEx>
          <w:shd w:val="clear"/>
          <w:tblLayout w:type="fixed"/>
          <w:tblCellMar>
            <w:top w:w="0" w:type="dxa"/>
            <w:left w:w="0" w:type="dxa"/>
            <w:bottom w:w="0" w:type="dxa"/>
            <w:right w:w="0" w:type="dxa"/>
          </w:tblCellMar>
        </w:tblPrEx>
        <w:trPr>
          <w:trHeight w:val="1395" w:hRule="atLeast"/>
        </w:trPr>
        <w:tc>
          <w:tcPr>
            <w:tcW w:w="15267"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备注：</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1.“项目产出”和“项目效果”直接细化成部门年初绩效目标中的指标，并根据重要程度赋权。</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A2CD2"/>
    <w:rsid w:val="209D1285"/>
    <w:rsid w:val="521A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41"/>
    <w:basedOn w:val="3"/>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2019-11-05T08:49:00Z</dcterms:created>
  <dc:creator>紫迪</dc:creator>
  <cp:lastModifiedBy>紫迪</cp:lastModifiedBy>
  <cp:lastPrinted>2019-11-06T00:56:35Z</cp:lastPrinted>
  <dcterms:modified xsi:type="dcterms:W3CDTF">2019-11-06T06:19:06Z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