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4E363">
      <w:pPr>
        <w:keepNext w:val="0"/>
        <w:keepLines w:val="0"/>
        <w:pageBreakBefore w:val="0"/>
        <w:widowControl w:val="0"/>
        <w:kinsoku/>
        <w:wordWrap/>
        <w:overflowPunct/>
        <w:topLinePunct w:val="0"/>
        <w:autoSpaceDE/>
        <w:autoSpaceDN/>
        <w:bidi w:val="0"/>
        <w:adjustRightInd/>
        <w:snapToGrid/>
        <w:spacing w:line="240" w:lineRule="auto"/>
        <w:ind w:right="23" w:rightChars="11"/>
        <w:jc w:val="center"/>
        <w:textAlignment w:val="auto"/>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2024年农业产业</w:t>
      </w:r>
      <w:r>
        <w:rPr>
          <w:rFonts w:hint="eastAsia" w:ascii="方正小标宋简体" w:hAnsi="方正小标宋简体" w:eastAsia="方正小标宋简体" w:cs="方正小标宋简体"/>
          <w:sz w:val="44"/>
          <w:szCs w:val="44"/>
          <w:lang w:val="en-US" w:eastAsia="zh-CN"/>
        </w:rPr>
        <w:t>发展</w:t>
      </w:r>
      <w:r>
        <w:rPr>
          <w:rFonts w:hint="eastAsia" w:ascii="方正小标宋简体" w:hAnsi="方正小标宋简体" w:eastAsia="方正小标宋简体" w:cs="方正小标宋简体"/>
          <w:sz w:val="44"/>
          <w:szCs w:val="44"/>
        </w:rPr>
        <w:t>资金实施方案</w:t>
      </w:r>
    </w:p>
    <w:bookmarkEnd w:id="0"/>
    <w:p w14:paraId="4AD4888C">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2024年中央财政转移支付农业产业发展资金重点支持农机购置与应用补贴、畜牧产业发展等支出方向。</w:t>
      </w:r>
    </w:p>
    <w:p w14:paraId="1E9A61D6">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一、农机购置与应用补贴</w:t>
      </w:r>
    </w:p>
    <w:p w14:paraId="6B1C3BAD">
      <w:pPr>
        <w:keepNext w:val="0"/>
        <w:keepLines w:val="0"/>
        <w:pageBreakBefore w:val="0"/>
        <w:widowControl w:val="0"/>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(一)建设内容</w:t>
      </w:r>
    </w:p>
    <w:p w14:paraId="59DF5B91">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保障粮食和重要农产品稳定安全供给，重点支持有助于粮油等主要作物大面积单产提升、农业生产急需、农机装备补短板等领域的机具推广应用，加大力度实施农机报废更新政策，加快高能耗、污染重、作业损失大、安全性能低的老旧农机淘汰进度，提升农机高端化、智能化、绿色化水平。</w:t>
      </w:r>
    </w:p>
    <w:p w14:paraId="5EC4F00F">
      <w:pPr>
        <w:keepNext w:val="0"/>
        <w:keepLines w:val="0"/>
        <w:pageBreakBefore w:val="0"/>
        <w:widowControl w:val="0"/>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(二)补助对象及标准</w:t>
      </w:r>
    </w:p>
    <w:p w14:paraId="18F1AB37">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农机购置补贴实施指导意见》,对从事农业生产的个人和农业生产经营组织(以下简称“购机者”)购买农机及农机报废更新进行补贴，其中农业生产经营组织包括农村集体经济组织、农民专业合作经济组织、农业企业和其他从事农业生产经营的组织。</w:t>
      </w:r>
    </w:p>
    <w:p w14:paraId="7D10DF24">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与应用补贴实行定额补贴。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具体品目及补贴额详见公开发布的《补贴机具补贴额一览表》。</w:t>
      </w:r>
    </w:p>
    <w:p w14:paraId="4A4F66C3">
      <w:pPr>
        <w:keepNext w:val="0"/>
        <w:keepLines w:val="0"/>
        <w:pageBreakBefore w:val="0"/>
        <w:widowControl w:val="0"/>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(三)资金补贴流程</w:t>
      </w:r>
    </w:p>
    <w:p w14:paraId="655C2643">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自主购机、定额补贴、先购后补、县级结算、直补到卡(户)”方式实施。购机行为完成后，购机者自主向当地农业农村部门提出补贴资金申领事项，签署告知承诺书，承诺购买行为、发票购机价格等信息真实有效，按相关规定申办补贴，获得资金兑付。</w:t>
      </w:r>
    </w:p>
    <w:p w14:paraId="0403A06C">
      <w:pPr>
        <w:keepNext w:val="0"/>
        <w:keepLines w:val="0"/>
        <w:pageBreakBefore w:val="0"/>
        <w:widowControl w:val="0"/>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(四)有关要求</w:t>
      </w:r>
    </w:p>
    <w:p w14:paraId="77FB163A">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着力推进优机补机。围绕我省重点和急需机具品类，重点支持小麦宽幅沟播、玉米增密度、大豆玉米带状复合等高性能播种机主推技术适用机型，丘陵山区高性能小型智能化机械以及水稻直播机、插秧机、工厂化育秧设备、烘干等应急设备，陆续淘汰老旧落后机型，增加高性能装备保有量。</w:t>
      </w:r>
    </w:p>
    <w:p w14:paraId="14CBF687">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常态化开展业务办理。全面实行办理服务系统常年连续开放，补贴机具资质、补贴标准和办理程序等均按购机者提交补贴申请并录入办理服务系统时的相关规定执行，在新一轮补贴方案正式启用之前，沿用上一轮政策要求。</w:t>
      </w:r>
    </w:p>
    <w:p w14:paraId="68216232">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3.加强补贴资金管理。落实专款专用，不得挤占、截留、挪用或用于其他支出，强化服务意识，优化简化资金兑付流程，增加结算批次，推进补贴全流程线上办理，提高补贴办理便利性，确保及时兑付。</w:t>
      </w:r>
    </w:p>
    <w:p w14:paraId="24E3782A">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格落实风险防控。推进补贴机具唯一身份识别和北斗终端机辅助驾驶系统应用，提升违规行为信息排查能力。强化属地管理责任和多部门联动，全流程加强监管。完善风险防控措施，异常情形主动报告，加强常态化监督检查，切实防止出现骗补等违规情形，严厉打击违法违规行为，有效维护政策实施良好秩序，提高资金使用效益。</w:t>
      </w:r>
    </w:p>
    <w:p w14:paraId="5F7166DD">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责任单位：农机站</w:t>
      </w:r>
      <w:r>
        <w:rPr>
          <w:rFonts w:hint="eastAsia" w:ascii="仿宋_GB2312" w:hAnsi="仿宋_GB2312" w:eastAsia="仿宋_GB2312" w:cs="仿宋_GB2312"/>
          <w:sz w:val="32"/>
          <w:szCs w:val="32"/>
          <w:lang w:eastAsia="zh-CN"/>
        </w:rPr>
        <w:t>）</w:t>
      </w:r>
    </w:p>
    <w:p w14:paraId="502DF3BE">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、畜牧产业发展</w:t>
      </w:r>
    </w:p>
    <w:p w14:paraId="6F867F71">
      <w:pPr>
        <w:keepNext w:val="0"/>
        <w:keepLines w:val="0"/>
        <w:pageBreakBefore w:val="0"/>
        <w:widowControl w:val="0"/>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(一)建设内容</w:t>
      </w:r>
    </w:p>
    <w:p w14:paraId="48E9E087">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改饲。扩大优质饲草种植，调整农业结构，支持规模化草食家畜养殖场(户)、企业、农民合作社以及专业化饲草收储服务组织等主体使用青贮玉米、苜蓿、饲用燕麦、饲用构树、黑麦草、菌草等优质饲草制作青贮。</w:t>
      </w:r>
    </w:p>
    <w:p w14:paraId="7412E89B">
      <w:pPr>
        <w:keepNext w:val="0"/>
        <w:keepLines w:val="0"/>
        <w:pageBreakBefore w:val="0"/>
        <w:widowControl w:val="0"/>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(二)补助对象及标准</w:t>
      </w:r>
    </w:p>
    <w:p w14:paraId="08909536">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粮改饲。补助</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区135万元。补助对象为具备饲草收贮100吨以上的草食家畜养殖场(户)、企业、农民专业合作社以及专业化饲草收储服务组织等主体，青贮饲草每吨补助不超过45元，具体补助标准由区</w:t>
      </w:r>
      <w:r>
        <w:rPr>
          <w:rFonts w:hint="eastAsia" w:ascii="仿宋_GB2312" w:hAnsi="仿宋_GB2312" w:eastAsia="仿宋_GB2312" w:cs="仿宋_GB2312"/>
          <w:sz w:val="32"/>
          <w:szCs w:val="32"/>
          <w:lang w:val="en-US" w:eastAsia="zh-CN"/>
        </w:rPr>
        <w:t>畜牧站</w:t>
      </w:r>
      <w:r>
        <w:rPr>
          <w:rFonts w:hint="eastAsia" w:ascii="仿宋_GB2312" w:hAnsi="仿宋_GB2312" w:eastAsia="仿宋_GB2312" w:cs="仿宋_GB2312"/>
          <w:sz w:val="32"/>
          <w:szCs w:val="32"/>
        </w:rPr>
        <w:t>结合实际自行确定。</w:t>
      </w:r>
      <w:r>
        <w:rPr>
          <w:rFonts w:hint="eastAsia" w:ascii="仿宋_GB2312" w:hAnsi="仿宋_GB2312" w:eastAsia="仿宋_GB2312" w:cs="仿宋_GB2312"/>
          <w:sz w:val="32"/>
          <w:szCs w:val="32"/>
          <w:lang w:val="en-US" w:eastAsia="zh-CN"/>
        </w:rPr>
        <w:t>畜牧站</w:t>
      </w:r>
      <w:r>
        <w:rPr>
          <w:rFonts w:hint="eastAsia" w:ascii="仿宋_GB2312" w:hAnsi="仿宋_GB2312" w:eastAsia="仿宋_GB2312" w:cs="仿宋_GB2312"/>
          <w:sz w:val="32"/>
          <w:szCs w:val="32"/>
        </w:rPr>
        <w:t>在确保粮改饲面积、收贮量任务全面完成的基础上，支持改扩建青贮窖，每立方米补助不超过50元，其中青贮窖建设补助资金控制在财政总投资10%以内。资金兑付采取“先建后补”的方式，待项目验收合格且公示无异议后按测算标准一次性补助。</w:t>
      </w:r>
    </w:p>
    <w:p w14:paraId="14411A8C">
      <w:pPr>
        <w:keepNext w:val="0"/>
        <w:keepLines w:val="0"/>
        <w:pageBreakBefore w:val="0"/>
        <w:widowControl w:val="0"/>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(三)资金支持环节</w:t>
      </w:r>
    </w:p>
    <w:p w14:paraId="7E6F414D">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改饲项目资金主要用于收储青贮，可适当用于改扩建标准化青贮窖。要做好与农机购置与应用补贴等现行政策衔接，不与现代农业产业园、新型经营主体培育、畜牧全产业链发展等其他支持内容相近的财政资金项目叠加补助。不得用于新建楼堂馆所、发放人员工资、科研版面、人员差旅等与畜牧生产能力提升不直接相关的支出。</w:t>
      </w:r>
    </w:p>
    <w:p w14:paraId="734F26B5">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责任单位：畜牧站</w:t>
      </w:r>
      <w:r>
        <w:rPr>
          <w:rFonts w:hint="eastAsia" w:ascii="仿宋_GB2312" w:hAnsi="仿宋_GB2312" w:eastAsia="仿宋_GB2312" w:cs="仿宋_GB2312"/>
          <w:sz w:val="32"/>
          <w:szCs w:val="32"/>
          <w:lang w:eastAsia="zh-CN"/>
        </w:rPr>
        <w:t>）</w:t>
      </w:r>
    </w:p>
    <w:p w14:paraId="0BD84BCE">
      <w:pPr>
        <w:keepNext w:val="0"/>
        <w:keepLines w:val="0"/>
        <w:pageBreakBefore w:val="0"/>
        <w:widowControl w:val="0"/>
        <w:kinsoku/>
        <w:wordWrap/>
        <w:overflowPunct/>
        <w:topLinePunct w:val="0"/>
        <w:autoSpaceDE/>
        <w:autoSpaceDN/>
        <w:bidi w:val="0"/>
        <w:adjustRightInd/>
        <w:snapToGrid/>
        <w:spacing w:line="560" w:lineRule="exact"/>
        <w:ind w:right="23" w:rightChars="11" w:firstLine="4800" w:firstLineChars="1500"/>
        <w:jc w:val="both"/>
        <w:textAlignment w:val="auto"/>
        <w:rPr>
          <w:rFonts w:hint="eastAsia" w:ascii="仿宋_GB2312" w:hAnsi="仿宋_GB2312" w:eastAsia="仿宋_GB2312" w:cs="仿宋_GB2312"/>
          <w:sz w:val="32"/>
          <w:szCs w:val="32"/>
        </w:rPr>
      </w:pPr>
    </w:p>
    <w:p w14:paraId="217EBABE">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：1.农机购置与应用补贴资金分配表</w:t>
      </w:r>
    </w:p>
    <w:p w14:paraId="1002BB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畜牧产业发展资金及任务分配表</w:t>
      </w:r>
    </w:p>
    <w:p w14:paraId="6C9A54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71F877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1CB5F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1A80C9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2DE664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77BAE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1394A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2109E4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19BAD9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28E8D7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0D58D0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rPr>
      </w:pPr>
    </w:p>
    <w:p w14:paraId="17395E2A">
      <w:pPr>
        <w:keepNext w:val="0"/>
        <w:keepLines w:val="0"/>
        <w:pageBreakBefore w:val="0"/>
        <w:widowControl w:val="0"/>
        <w:kinsoku/>
        <w:wordWrap/>
        <w:overflowPunct/>
        <w:topLinePunct w:val="0"/>
        <w:autoSpaceDE/>
        <w:autoSpaceDN/>
        <w:bidi w:val="0"/>
        <w:adjustRightInd/>
        <w:snapToGrid/>
        <w:spacing w:line="560" w:lineRule="exact"/>
        <w:ind w:right="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D5FDCE6">
      <w:pPr>
        <w:keepNext w:val="0"/>
        <w:keepLines w:val="0"/>
        <w:pageBreakBefore w:val="0"/>
        <w:widowControl w:val="0"/>
        <w:kinsoku/>
        <w:wordWrap/>
        <w:overflowPunct/>
        <w:topLinePunct w:val="0"/>
        <w:autoSpaceDE/>
        <w:autoSpaceDN/>
        <w:bidi w:val="0"/>
        <w:adjustRightInd/>
        <w:snapToGrid/>
        <w:spacing w:line="560" w:lineRule="exact"/>
        <w:ind w:right="640"/>
        <w:jc w:val="both"/>
        <w:textAlignment w:val="auto"/>
        <w:rPr>
          <w:rFonts w:hint="eastAsia" w:ascii="黑体" w:hAnsi="黑体" w:eastAsia="黑体" w:cs="黑体"/>
          <w:sz w:val="32"/>
          <w:szCs w:val="32"/>
          <w:lang w:val="en-US" w:eastAsia="zh-CN"/>
        </w:rPr>
      </w:pPr>
    </w:p>
    <w:p w14:paraId="1800A1F1">
      <w:pPr>
        <w:keepNext w:val="0"/>
        <w:keepLines w:val="0"/>
        <w:pageBreakBefore w:val="0"/>
        <w:widowControl w:val="0"/>
        <w:kinsoku/>
        <w:wordWrap/>
        <w:overflowPunct/>
        <w:topLinePunct w:val="0"/>
        <w:autoSpaceDE/>
        <w:autoSpaceDN/>
        <w:bidi w:val="0"/>
        <w:adjustRightInd/>
        <w:snapToGrid/>
        <w:spacing w:line="560" w:lineRule="exact"/>
        <w:ind w:right="640"/>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农机购置与应用补贴资金分配表</w:t>
      </w:r>
    </w:p>
    <w:p w14:paraId="073CCE53">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righ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单位：万元</w:t>
      </w:r>
    </w:p>
    <w:tbl>
      <w:tblPr>
        <w:tblStyle w:val="7"/>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985"/>
        <w:gridCol w:w="1018"/>
        <w:gridCol w:w="997"/>
        <w:gridCol w:w="964"/>
        <w:gridCol w:w="1211"/>
        <w:gridCol w:w="1285"/>
        <w:gridCol w:w="1021"/>
      </w:tblGrid>
      <w:tr w14:paraId="09B7A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jc w:val="center"/>
        </w:trPr>
        <w:tc>
          <w:tcPr>
            <w:tcW w:w="1283" w:type="dxa"/>
            <w:noWrap w:val="0"/>
            <w:vAlign w:val="center"/>
          </w:tcPr>
          <w:p w14:paraId="3EF97C8B">
            <w:pPr>
              <w:pStyle w:val="6"/>
              <w:spacing w:before="91" w:line="222"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29"/>
                <w:sz w:val="24"/>
                <w:szCs w:val="24"/>
              </w:rPr>
              <w:t>县</w:t>
            </w:r>
            <w:r>
              <w:rPr>
                <w:rFonts w:hint="eastAsia" w:ascii="黑体" w:hAnsi="黑体" w:eastAsia="黑体" w:cs="黑体"/>
                <w:b w:val="0"/>
                <w:bCs w:val="0"/>
                <w:spacing w:val="-29"/>
                <w:sz w:val="24"/>
                <w:szCs w:val="24"/>
                <w:lang w:val="en-US" w:eastAsia="zh-CN"/>
              </w:rPr>
              <w:t xml:space="preserve">    区</w:t>
            </w:r>
          </w:p>
        </w:tc>
        <w:tc>
          <w:tcPr>
            <w:tcW w:w="985" w:type="dxa"/>
            <w:noWrap w:val="0"/>
            <w:vAlign w:val="center"/>
          </w:tcPr>
          <w:p w14:paraId="6D37CB21">
            <w:pPr>
              <w:pStyle w:val="6"/>
              <w:spacing w:before="91" w:line="278" w:lineRule="auto"/>
              <w:ind w:right="221"/>
              <w:jc w:val="center"/>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中央资</w:t>
            </w:r>
            <w:r>
              <w:rPr>
                <w:rFonts w:hint="eastAsia" w:ascii="黑体" w:hAnsi="黑体" w:eastAsia="黑体" w:cs="黑体"/>
                <w:b w:val="0"/>
                <w:bCs w:val="0"/>
                <w:spacing w:val="-6"/>
                <w:sz w:val="24"/>
                <w:szCs w:val="24"/>
              </w:rPr>
              <w:t>金合计</w:t>
            </w:r>
          </w:p>
        </w:tc>
        <w:tc>
          <w:tcPr>
            <w:tcW w:w="1018" w:type="dxa"/>
            <w:noWrap w:val="0"/>
            <w:vAlign w:val="center"/>
          </w:tcPr>
          <w:p w14:paraId="3AC5C618">
            <w:pPr>
              <w:pStyle w:val="6"/>
              <w:spacing w:before="91" w:line="279" w:lineRule="auto"/>
              <w:ind w:right="186"/>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省级配套资金合计</w:t>
            </w:r>
          </w:p>
        </w:tc>
        <w:tc>
          <w:tcPr>
            <w:tcW w:w="997" w:type="dxa"/>
            <w:noWrap w:val="0"/>
            <w:vAlign w:val="center"/>
          </w:tcPr>
          <w:p w14:paraId="1ADC10FF">
            <w:pPr>
              <w:pStyle w:val="6"/>
              <w:spacing w:before="91" w:line="292" w:lineRule="auto"/>
              <w:ind w:right="197"/>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中央预拨</w:t>
            </w:r>
            <w:r>
              <w:rPr>
                <w:rFonts w:hint="eastAsia" w:ascii="黑体" w:hAnsi="黑体" w:eastAsia="黑体" w:cs="黑体"/>
                <w:b w:val="0"/>
                <w:bCs w:val="0"/>
                <w:spacing w:val="-1"/>
                <w:sz w:val="24"/>
                <w:szCs w:val="24"/>
              </w:rPr>
              <w:t>资金</w:t>
            </w:r>
          </w:p>
        </w:tc>
        <w:tc>
          <w:tcPr>
            <w:tcW w:w="964" w:type="dxa"/>
            <w:noWrap w:val="0"/>
            <w:vAlign w:val="center"/>
          </w:tcPr>
          <w:p w14:paraId="39E5A8B8">
            <w:pPr>
              <w:pStyle w:val="6"/>
              <w:spacing w:before="91" w:line="279" w:lineRule="auto"/>
              <w:ind w:right="206"/>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rPr>
              <w:t>省级预拨</w:t>
            </w:r>
            <w:r>
              <w:rPr>
                <w:rFonts w:hint="eastAsia" w:ascii="黑体" w:hAnsi="黑体" w:eastAsia="黑体" w:cs="黑体"/>
                <w:b w:val="0"/>
                <w:bCs w:val="0"/>
                <w:spacing w:val="-1"/>
                <w:sz w:val="24"/>
                <w:szCs w:val="24"/>
              </w:rPr>
              <w:t>资金</w:t>
            </w:r>
          </w:p>
        </w:tc>
        <w:tc>
          <w:tcPr>
            <w:tcW w:w="1211" w:type="dxa"/>
            <w:noWrap w:val="0"/>
            <w:vAlign w:val="center"/>
          </w:tcPr>
          <w:p w14:paraId="249C4D8B">
            <w:pPr>
              <w:pStyle w:val="6"/>
              <w:spacing w:before="91" w:line="285" w:lineRule="auto"/>
              <w:ind w:right="218"/>
              <w:jc w:val="center"/>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清算后拟下</w:t>
            </w:r>
            <w:r>
              <w:rPr>
                <w:rFonts w:hint="eastAsia" w:ascii="黑体" w:hAnsi="黑体" w:eastAsia="黑体" w:cs="黑体"/>
                <w:b w:val="0"/>
                <w:bCs w:val="0"/>
                <w:spacing w:val="-5"/>
                <w:sz w:val="24"/>
                <w:szCs w:val="24"/>
              </w:rPr>
              <w:t>达中央资金</w:t>
            </w:r>
          </w:p>
        </w:tc>
        <w:tc>
          <w:tcPr>
            <w:tcW w:w="1285" w:type="dxa"/>
            <w:noWrap w:val="0"/>
            <w:vAlign w:val="center"/>
          </w:tcPr>
          <w:p w14:paraId="22C94F13">
            <w:pPr>
              <w:pStyle w:val="6"/>
              <w:spacing w:before="91" w:line="277" w:lineRule="auto"/>
              <w:ind w:right="206"/>
              <w:jc w:val="center"/>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清算后拟下</w:t>
            </w:r>
            <w:r>
              <w:rPr>
                <w:rFonts w:hint="eastAsia" w:ascii="黑体" w:hAnsi="黑体" w:eastAsia="黑体" w:cs="黑体"/>
                <w:b w:val="0"/>
                <w:bCs w:val="0"/>
                <w:spacing w:val="-5"/>
                <w:sz w:val="24"/>
                <w:szCs w:val="24"/>
              </w:rPr>
              <w:t>达省级资金</w:t>
            </w:r>
          </w:p>
        </w:tc>
        <w:tc>
          <w:tcPr>
            <w:tcW w:w="1021" w:type="dxa"/>
            <w:noWrap w:val="0"/>
            <w:vAlign w:val="center"/>
          </w:tcPr>
          <w:p w14:paraId="2AB9A071">
            <w:pPr>
              <w:pStyle w:val="6"/>
              <w:spacing w:before="91"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合计</w:t>
            </w:r>
          </w:p>
        </w:tc>
      </w:tr>
      <w:tr w14:paraId="27C8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1283" w:type="dxa"/>
            <w:noWrap w:val="0"/>
            <w:vAlign w:val="center"/>
          </w:tcPr>
          <w:p w14:paraId="405439BD">
            <w:pPr>
              <w:pStyle w:val="6"/>
              <w:spacing w:before="91" w:line="219"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杨陵区</w:t>
            </w:r>
          </w:p>
        </w:tc>
        <w:tc>
          <w:tcPr>
            <w:tcW w:w="985" w:type="dxa"/>
            <w:noWrap w:val="0"/>
            <w:vAlign w:val="center"/>
          </w:tcPr>
          <w:p w14:paraId="1086F693">
            <w:pPr>
              <w:pStyle w:val="6"/>
              <w:spacing w:before="91" w:line="184"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0"/>
                <w:sz w:val="24"/>
                <w:szCs w:val="24"/>
              </w:rPr>
              <w:t>111</w:t>
            </w:r>
          </w:p>
        </w:tc>
        <w:tc>
          <w:tcPr>
            <w:tcW w:w="1018" w:type="dxa"/>
            <w:noWrap w:val="0"/>
            <w:vAlign w:val="center"/>
          </w:tcPr>
          <w:p w14:paraId="07BBAA83">
            <w:pPr>
              <w:pStyle w:val="6"/>
              <w:spacing w:before="91" w:line="183"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7"/>
                <w:sz w:val="24"/>
                <w:szCs w:val="24"/>
              </w:rPr>
              <w:t>20</w:t>
            </w:r>
          </w:p>
        </w:tc>
        <w:tc>
          <w:tcPr>
            <w:tcW w:w="997" w:type="dxa"/>
            <w:noWrap w:val="0"/>
            <w:vAlign w:val="center"/>
          </w:tcPr>
          <w:p w14:paraId="5E0198A5">
            <w:pPr>
              <w:pStyle w:val="6"/>
              <w:spacing w:before="91" w:line="184"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0"/>
                <w:sz w:val="24"/>
                <w:szCs w:val="24"/>
              </w:rPr>
              <w:t>105</w:t>
            </w:r>
          </w:p>
        </w:tc>
        <w:tc>
          <w:tcPr>
            <w:tcW w:w="964" w:type="dxa"/>
            <w:noWrap w:val="0"/>
            <w:vAlign w:val="center"/>
          </w:tcPr>
          <w:p w14:paraId="22AF0452">
            <w:pPr>
              <w:pStyle w:val="6"/>
              <w:spacing w:before="91" w:line="183"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3"/>
                <w:sz w:val="24"/>
                <w:szCs w:val="24"/>
              </w:rPr>
              <w:t>9</w:t>
            </w:r>
          </w:p>
        </w:tc>
        <w:tc>
          <w:tcPr>
            <w:tcW w:w="1211" w:type="dxa"/>
            <w:noWrap w:val="0"/>
            <w:vAlign w:val="center"/>
          </w:tcPr>
          <w:p w14:paraId="1BF906FA">
            <w:pPr>
              <w:pStyle w:val="6"/>
              <w:spacing w:before="91" w:line="183"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3"/>
                <w:sz w:val="24"/>
                <w:szCs w:val="24"/>
              </w:rPr>
              <w:t>6</w:t>
            </w:r>
          </w:p>
        </w:tc>
        <w:tc>
          <w:tcPr>
            <w:tcW w:w="1285" w:type="dxa"/>
            <w:noWrap w:val="0"/>
            <w:vAlign w:val="center"/>
          </w:tcPr>
          <w:p w14:paraId="0F01570B">
            <w:pPr>
              <w:pStyle w:val="6"/>
              <w:spacing w:before="91" w:line="184"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1"/>
                <w:sz w:val="24"/>
                <w:szCs w:val="24"/>
              </w:rPr>
              <w:t>11</w:t>
            </w:r>
          </w:p>
        </w:tc>
        <w:tc>
          <w:tcPr>
            <w:tcW w:w="1021" w:type="dxa"/>
            <w:noWrap w:val="0"/>
            <w:vAlign w:val="center"/>
          </w:tcPr>
          <w:p w14:paraId="4250E420">
            <w:pPr>
              <w:pStyle w:val="6"/>
              <w:spacing w:before="91" w:line="184"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0"/>
                <w:sz w:val="24"/>
                <w:szCs w:val="24"/>
              </w:rPr>
              <w:t>131</w:t>
            </w:r>
          </w:p>
        </w:tc>
      </w:tr>
    </w:tbl>
    <w:p w14:paraId="68319445">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58768E60">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2F6322B4">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5D5E2B6C">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204527CE">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75B78FCA">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6A2999DF">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626E8022">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7EF3C5A3">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7697CBB5">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1B79C3E6">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2E3E4FD9">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1E35F1CA">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both"/>
        <w:textAlignment w:val="auto"/>
        <w:rPr>
          <w:rFonts w:hint="default" w:ascii="仿宋_GB2312" w:hAnsi="仿宋_GB2312" w:eastAsia="仿宋_GB2312" w:cs="仿宋_GB2312"/>
          <w:sz w:val="32"/>
          <w:szCs w:val="32"/>
          <w:lang w:val="en-US" w:eastAsia="zh-CN"/>
        </w:rPr>
      </w:pPr>
    </w:p>
    <w:p w14:paraId="7922A453">
      <w:pPr>
        <w:keepNext w:val="0"/>
        <w:keepLines w:val="0"/>
        <w:pageBreakBefore w:val="0"/>
        <w:widowControl w:val="0"/>
        <w:kinsoku/>
        <w:wordWrap/>
        <w:overflowPunct/>
        <w:topLinePunct w:val="0"/>
        <w:autoSpaceDE/>
        <w:autoSpaceDN/>
        <w:bidi w:val="0"/>
        <w:adjustRightInd/>
        <w:snapToGrid/>
        <w:spacing w:line="560" w:lineRule="exact"/>
        <w:ind w:right="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3078734">
      <w:pPr>
        <w:keepNext w:val="0"/>
        <w:keepLines w:val="0"/>
        <w:pageBreakBefore w:val="0"/>
        <w:widowControl w:val="0"/>
        <w:kinsoku/>
        <w:wordWrap/>
        <w:overflowPunct/>
        <w:topLinePunct w:val="0"/>
        <w:autoSpaceDE/>
        <w:autoSpaceDN/>
        <w:bidi w:val="0"/>
        <w:adjustRightInd/>
        <w:snapToGrid/>
        <w:spacing w:line="560" w:lineRule="exact"/>
        <w:ind w:right="640"/>
        <w:jc w:val="both"/>
        <w:textAlignment w:val="auto"/>
        <w:rPr>
          <w:rFonts w:hint="default" w:ascii="黑体" w:hAnsi="黑体" w:eastAsia="黑体" w:cs="黑体"/>
          <w:sz w:val="32"/>
          <w:szCs w:val="32"/>
          <w:lang w:val="en-US" w:eastAsia="zh-CN"/>
        </w:rPr>
      </w:pPr>
    </w:p>
    <w:p w14:paraId="3A43E7D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畜牧产业发展资金及任务分配表</w:t>
      </w:r>
    </w:p>
    <w:tbl>
      <w:tblPr>
        <w:tblStyle w:val="7"/>
        <w:tblW w:w="8649"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2277"/>
        <w:gridCol w:w="2387"/>
        <w:gridCol w:w="1833"/>
      </w:tblGrid>
      <w:tr w14:paraId="0E91A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52" w:type="dxa"/>
            <w:vMerge w:val="restart"/>
            <w:tcBorders>
              <w:bottom w:val="nil"/>
            </w:tcBorders>
            <w:noWrap w:val="0"/>
            <w:vAlign w:val="top"/>
          </w:tcPr>
          <w:p w14:paraId="68C02E72">
            <w:pPr>
              <w:spacing w:line="254" w:lineRule="auto"/>
              <w:rPr>
                <w:rFonts w:hint="eastAsia" w:ascii="黑体" w:hAnsi="黑体" w:eastAsia="黑体" w:cs="黑体"/>
                <w:b w:val="0"/>
                <w:bCs w:val="0"/>
                <w:sz w:val="24"/>
                <w:szCs w:val="24"/>
              </w:rPr>
            </w:pPr>
          </w:p>
          <w:p w14:paraId="41BDD84E">
            <w:pPr>
              <w:spacing w:line="254" w:lineRule="auto"/>
              <w:rPr>
                <w:rFonts w:hint="eastAsia" w:ascii="黑体" w:hAnsi="黑体" w:eastAsia="黑体" w:cs="黑体"/>
                <w:b w:val="0"/>
                <w:bCs w:val="0"/>
                <w:sz w:val="24"/>
                <w:szCs w:val="24"/>
              </w:rPr>
            </w:pPr>
          </w:p>
          <w:p w14:paraId="06B9C051">
            <w:pPr>
              <w:pStyle w:val="6"/>
              <w:spacing w:before="98" w:line="224" w:lineRule="auto"/>
              <w:ind w:left="769"/>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县</w:t>
            </w:r>
            <w:r>
              <w:rPr>
                <w:rFonts w:hint="eastAsia" w:ascii="黑体" w:hAnsi="黑体" w:eastAsia="黑体" w:cs="黑体"/>
                <w:b w:val="0"/>
                <w:bCs w:val="0"/>
                <w:spacing w:val="5"/>
                <w:sz w:val="24"/>
                <w:szCs w:val="24"/>
                <w:lang w:val="en-US" w:eastAsia="zh-CN"/>
              </w:rPr>
              <w:t xml:space="preserve">  </w:t>
            </w:r>
            <w:r>
              <w:rPr>
                <w:rFonts w:hint="eastAsia" w:ascii="黑体" w:hAnsi="黑体" w:eastAsia="黑体" w:cs="黑体"/>
                <w:b w:val="0"/>
                <w:bCs w:val="0"/>
                <w:spacing w:val="5"/>
                <w:sz w:val="24"/>
                <w:szCs w:val="24"/>
              </w:rPr>
              <w:t>区</w:t>
            </w:r>
          </w:p>
        </w:tc>
        <w:tc>
          <w:tcPr>
            <w:tcW w:w="6497" w:type="dxa"/>
            <w:gridSpan w:val="3"/>
            <w:noWrap w:val="0"/>
            <w:vAlign w:val="top"/>
          </w:tcPr>
          <w:p w14:paraId="1D118E68">
            <w:pPr>
              <w:pStyle w:val="6"/>
              <w:spacing w:before="241"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粮改饲</w:t>
            </w:r>
          </w:p>
        </w:tc>
      </w:tr>
      <w:tr w14:paraId="78A0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152" w:type="dxa"/>
            <w:vMerge w:val="continue"/>
            <w:tcBorders>
              <w:top w:val="nil"/>
            </w:tcBorders>
            <w:noWrap w:val="0"/>
            <w:vAlign w:val="top"/>
          </w:tcPr>
          <w:p w14:paraId="12880BF4">
            <w:pPr>
              <w:rPr>
                <w:rFonts w:hint="eastAsia" w:ascii="黑体" w:hAnsi="黑体" w:eastAsia="黑体" w:cs="黑体"/>
                <w:b w:val="0"/>
                <w:bCs w:val="0"/>
                <w:sz w:val="24"/>
                <w:szCs w:val="24"/>
              </w:rPr>
            </w:pPr>
          </w:p>
        </w:tc>
        <w:tc>
          <w:tcPr>
            <w:tcW w:w="2277" w:type="dxa"/>
            <w:noWrap w:val="0"/>
            <w:vAlign w:val="top"/>
          </w:tcPr>
          <w:p w14:paraId="604E21F6">
            <w:pPr>
              <w:pStyle w:val="6"/>
              <w:spacing w:before="2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调整土地(万亩)</w:t>
            </w:r>
          </w:p>
        </w:tc>
        <w:tc>
          <w:tcPr>
            <w:tcW w:w="2387" w:type="dxa"/>
            <w:noWrap w:val="0"/>
            <w:vAlign w:val="top"/>
          </w:tcPr>
          <w:p w14:paraId="4CA62A73">
            <w:pPr>
              <w:pStyle w:val="6"/>
              <w:spacing w:before="204" w:line="219"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2"/>
                <w:sz w:val="24"/>
                <w:szCs w:val="24"/>
              </w:rPr>
              <w:t>收储青贮(万吨</w:t>
            </w:r>
            <w:r>
              <w:rPr>
                <w:rFonts w:hint="eastAsia" w:ascii="黑体" w:hAnsi="黑体" w:eastAsia="黑体" w:cs="黑体"/>
                <w:b w:val="0"/>
                <w:bCs w:val="0"/>
                <w:spacing w:val="-2"/>
                <w:sz w:val="24"/>
                <w:szCs w:val="24"/>
                <w:lang w:eastAsia="zh-CN"/>
              </w:rPr>
              <w:t>）</w:t>
            </w:r>
          </w:p>
        </w:tc>
        <w:tc>
          <w:tcPr>
            <w:tcW w:w="1833" w:type="dxa"/>
            <w:noWrap w:val="0"/>
            <w:vAlign w:val="top"/>
          </w:tcPr>
          <w:p w14:paraId="67AAC4F0">
            <w:pPr>
              <w:pStyle w:val="6"/>
              <w:spacing w:before="2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资金(</w:t>
            </w:r>
            <w:r>
              <w:rPr>
                <w:rFonts w:hint="eastAsia" w:ascii="黑体" w:hAnsi="黑体" w:eastAsia="黑体" w:cs="黑体"/>
                <w:b w:val="0"/>
                <w:bCs w:val="0"/>
                <w:spacing w:val="6"/>
                <w:sz w:val="24"/>
                <w:szCs w:val="24"/>
                <w:lang w:val="en-US" w:eastAsia="zh-CN"/>
              </w:rPr>
              <w:t>万</w:t>
            </w:r>
            <w:r>
              <w:rPr>
                <w:rFonts w:hint="eastAsia" w:ascii="黑体" w:hAnsi="黑体" w:eastAsia="黑体" w:cs="黑体"/>
                <w:b w:val="0"/>
                <w:bCs w:val="0"/>
                <w:spacing w:val="6"/>
                <w:sz w:val="24"/>
                <w:szCs w:val="24"/>
              </w:rPr>
              <w:t>元)</w:t>
            </w:r>
          </w:p>
        </w:tc>
      </w:tr>
      <w:tr w14:paraId="3132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2152" w:type="dxa"/>
            <w:noWrap w:val="0"/>
            <w:vAlign w:val="top"/>
          </w:tcPr>
          <w:p w14:paraId="63BB7426">
            <w:pPr>
              <w:pStyle w:val="6"/>
              <w:spacing w:before="235" w:line="219" w:lineRule="auto"/>
              <w:ind w:left="61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杨陵区</w:t>
            </w:r>
          </w:p>
        </w:tc>
        <w:tc>
          <w:tcPr>
            <w:tcW w:w="2277" w:type="dxa"/>
            <w:noWrap w:val="0"/>
            <w:vAlign w:val="top"/>
          </w:tcPr>
          <w:p w14:paraId="0AAB834E">
            <w:pPr>
              <w:pStyle w:val="6"/>
              <w:spacing w:before="315" w:line="184" w:lineRule="auto"/>
              <w:ind w:left="105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2387" w:type="dxa"/>
            <w:noWrap w:val="0"/>
            <w:vAlign w:val="top"/>
          </w:tcPr>
          <w:p w14:paraId="548B271E">
            <w:pPr>
              <w:pStyle w:val="6"/>
              <w:spacing w:before="316" w:line="183" w:lineRule="auto"/>
              <w:ind w:left="111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1833" w:type="dxa"/>
            <w:noWrap w:val="0"/>
            <w:vAlign w:val="top"/>
          </w:tcPr>
          <w:p w14:paraId="047382A6">
            <w:pPr>
              <w:pStyle w:val="6"/>
              <w:spacing w:before="315" w:line="184" w:lineRule="auto"/>
              <w:ind w:left="68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8"/>
                <w:sz w:val="24"/>
                <w:szCs w:val="24"/>
              </w:rPr>
              <w:t>135</w:t>
            </w:r>
          </w:p>
        </w:tc>
      </w:tr>
    </w:tbl>
    <w:p w14:paraId="1BF6B9D0">
      <w:pPr>
        <w:keepNext w:val="0"/>
        <w:keepLines w:val="0"/>
        <w:pageBreakBefore w:val="0"/>
        <w:widowControl w:val="0"/>
        <w:kinsoku/>
        <w:wordWrap/>
        <w:overflowPunct/>
        <w:topLinePunct w:val="0"/>
        <w:autoSpaceDE/>
        <w:autoSpaceDN/>
        <w:bidi w:val="0"/>
        <w:adjustRightInd/>
        <w:snapToGrid/>
        <w:spacing w:line="560" w:lineRule="exact"/>
        <w:ind w:right="640" w:firstLine="4800" w:firstLineChars="1500"/>
        <w:jc w:val="center"/>
        <w:textAlignment w:val="auto"/>
        <w:rPr>
          <w:rFonts w:hint="default" w:ascii="仿宋_GB2312" w:hAnsi="仿宋_GB2312" w:eastAsia="仿宋_GB2312" w:cs="仿宋_GB2312"/>
          <w:sz w:val="32"/>
          <w:szCs w:val="32"/>
          <w:lang w:val="en-US" w:eastAsia="zh-CN"/>
        </w:rPr>
      </w:pPr>
    </w:p>
    <w:p w14:paraId="179E014F"/>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CD6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F1381">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72F1381">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986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2DF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66C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E852">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347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96F87"/>
    <w:rsid w:val="4089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Table Text"/>
    <w:basedOn w:val="1"/>
    <w:semiHidden/>
    <w:qFormat/>
    <w:uiPriority w:val="0"/>
    <w:rPr>
      <w:rFonts w:ascii="宋体" w:hAnsi="宋体" w:eastAsia="宋体" w:cs="宋体"/>
      <w:sz w:val="28"/>
      <w:szCs w:val="28"/>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2025-04-02T08:10:00Z</dcterms:created>
  <dc:creator>Bruce Cheung</dc:creator>
  <cp:lastModifiedBy>Bruce Cheung</cp:lastModifiedBy>
  <dcterms:modified xsi:type="dcterms:W3CDTF">2025-04-02T08:10:25Z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12A9802AA69942A5B9518057A3B3DB36_11</vt:lpwstr>
  </property>
  <property fmtid="{D5CDD505-2E9C-101B-9397-08002B2CF9AE}" pid="4" name="KSOTemplateDocerSaveRecord">
    <vt:lpwstr>eyJoZGlkIjoiNzA0Y2U3N2QxOTI5MDQzOGNiNmFmYTFhZTBiNDBhMWUiLCJ1c2VySWQiOiIzMzM2ODgzODQifQ==</vt:lpwstr>
  </property>
</Properties>
</file>