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0C8C7">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19" w:rightChars="0"/>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2024年耕地建设与利用资金实施方案</w:t>
      </w:r>
    </w:p>
    <w:bookmarkEnd w:id="0"/>
    <w:p w14:paraId="2D6876FA">
      <w:pPr>
        <w:keepNext w:val="0"/>
        <w:keepLines w:val="0"/>
        <w:pageBreakBefore w:val="0"/>
        <w:widowControl w:val="0"/>
        <w:kinsoku/>
        <w:wordWrap/>
        <w:overflowPunct/>
        <w:topLinePunct w:val="0"/>
        <w:autoSpaceDE/>
        <w:autoSpaceDN/>
        <w:bidi w:val="0"/>
        <w:adjustRightInd/>
        <w:snapToGrid/>
        <w:spacing w:line="560" w:lineRule="exact"/>
        <w:ind w:right="640"/>
        <w:jc w:val="both"/>
        <w:textAlignment w:val="auto"/>
        <w:rPr>
          <w:rFonts w:hint="eastAsia" w:ascii="仿宋_GB2312" w:hAnsi="仿宋_GB2312" w:eastAsia="仿宋_GB2312" w:cs="仿宋_GB2312"/>
          <w:sz w:val="32"/>
          <w:szCs w:val="32"/>
          <w:highlight w:val="none"/>
        </w:rPr>
      </w:pPr>
    </w:p>
    <w:p w14:paraId="0CCA6C64">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本批次耕地建设与利用资金项目重点支持耕地地力保护补贴、化肥减量增效、第三次全国土壤普查等有关内容。</w:t>
      </w:r>
    </w:p>
    <w:p w14:paraId="5CCB335B">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一、耕地地力保护补贴</w:t>
      </w:r>
    </w:p>
    <w:p w14:paraId="64E68571">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667F998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财政部农业部关于全面推开农业“三项补贴”改革工作的通知》(财农〔2016〕26号)、《财政部办公厅农业农村部办公厅关于进一步做好耕地地力保护补贴工作的通知》(财办农〔2021〕11号)和《陕西省财政厅陕西省农业厅关于印发陕西省全面推开农业“三项补贴”改革工作实施方案的通知》(陕财办农〔2016〕75号)等中省文件要求，结合实际，稳定实施耕地地力保护补贴政策，优先粮食种植，优先耕地保护，防止耕地撂荒、抛荒、“非粮化”等现象发生，确保耕地质量有提升。</w:t>
      </w:r>
    </w:p>
    <w:p w14:paraId="6AAD0AAC">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5220478F">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耕地地力保护补贴资金补贴对象原则上为拥有耕地承包权的种地农民。严禁将不符合享受补贴条件的对象、面积纳入补贴范围。补贴资金必须全部直补到户，确保广大农民直接受益。关中地区补贴系数为1.4,亩补贴标准按70元执行。</w:t>
      </w:r>
    </w:p>
    <w:p w14:paraId="2F5571A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大对耕地使用情况的核实力度，享受耕地地力保护补贴的原则上为完成确权登记并实际耕种的耕地，对已改变性质但未在确权系统退出的不予发放。对已作为畜牧养殖场使用的耕地、林地、草地、成片粮田转为设施农业用地、非农业征(占)用耕地等已改变用途的耕地不得再给予补贴。占补平衡中“补”的面积和质量达不到耕种条件的耕地不予补贴。对实施退耕还林政策的不予补贴；对种植苗木、草皮等用于绿化装饰以及其他破坏耕作层植物的耕地不得补贴；对新发展林果业和挖塘养鱼的耕地不予补贴；对抛荒地、撂荒地不得发放补贴；鼓励将开展撂荒地整治后复垦的耕地纳入补贴范围，对抛荒一年以上的，取消次年补贴资格。</w:t>
      </w:r>
    </w:p>
    <w:p w14:paraId="461E7BEC">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(三)补贴发放管理</w:t>
      </w:r>
    </w:p>
    <w:p w14:paraId="08A2A6EB">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加大补贴发放的核实力度。农业综合执法大队要认真开展耕地补贴面积的核实工作，由专职人员实地逐户调查统计耕地面积，核实耕地种植、质量等状况。及时对接有关部门加快推进土地确权登记及信息数据更新，依照耕地面积，精准核实测算补贴数据。要严格按照政策要求发放补贴，切实做到应补尽补，确保符合享受补贴条件的农民利益得到维护。要严格落实村镇县核查和发放责任人签字制度，杜绝各类违规违纪等行为发生，确保耕地地力保护补贴资金及时、准确发放。</w:t>
      </w:r>
    </w:p>
    <w:p w14:paraId="2AFDFD0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强化现代化信息手段运用。要严格把关做好数据核查工作，不得直接简单抓取确权数据使用。要推进农户基础身份信息、土地确权数据、补贴项目部门数据、代发银行查询数据等信息共享互证，精准统计土地确权基数和符合补贴标准耕地面积，研判数据准确性，确保补贴发放的规范性、精准性和时效性。</w:t>
      </w:r>
    </w:p>
    <w:p w14:paraId="181AE1EA">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严格落实“一卡通”发放。要按照省财政厅等16部门联合印发的《关于进一步加强财政惠民补贴资金“一卡通”管理的通知》(陕农财办〔2019〕150号)和《关于进一步加强和完善财政惠民补贴和部分岗位补贴资金“一卡通”管理的通知》(陕财办〔2022〕12号)有关要求发放补贴资金，确保将补贴资金不折不扣发放到农民手中，确保广大农民直接受益，让农民群众吃上“定心丸”。</w:t>
      </w:r>
    </w:p>
    <w:p w14:paraId="482E8E95">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建立调度报送机制。要将补贴发放明细情况(包括补贴地区、补贴对象、补贴面积、补贴地块信息、补贴金额、发放银行以及兑付时间等)建立台账和资料册，留档备查。于每月底前将辖区内已发放补贴金额、面积、户数报送示范区农业局，并按照</w:t>
      </w:r>
      <w:r>
        <w:rPr>
          <w:rFonts w:hint="eastAsia" w:ascii="仿宋_GB2312" w:hAnsi="仿宋_GB2312" w:eastAsia="仿宋_GB2312" w:cs="仿宋_GB2312"/>
          <w:sz w:val="32"/>
          <w:szCs w:val="32"/>
          <w:highlight w:val="none"/>
          <w:lang w:val="en-US" w:eastAsia="zh-CN"/>
        </w:rPr>
        <w:t>有关要求</w:t>
      </w:r>
      <w:r>
        <w:rPr>
          <w:rFonts w:hint="eastAsia" w:ascii="仿宋_GB2312" w:hAnsi="仿宋_GB2312" w:eastAsia="仿宋_GB2312" w:cs="仿宋_GB2312"/>
          <w:sz w:val="32"/>
          <w:szCs w:val="32"/>
          <w:highlight w:val="none"/>
        </w:rPr>
        <w:t>在农业农村部转移支付管理平台对补贴资金发放情况及发放明细进行填报更新。要及时完成年度工作总结与资金绩效自评，于11月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日前报</w:t>
      </w:r>
      <w:r>
        <w:rPr>
          <w:rFonts w:hint="eastAsia" w:ascii="仿宋_GB2312" w:hAnsi="仿宋_GB2312" w:eastAsia="仿宋_GB2312" w:cs="仿宋_GB2312"/>
          <w:sz w:val="32"/>
          <w:szCs w:val="32"/>
          <w:highlight w:val="none"/>
          <w:lang w:val="en-US" w:eastAsia="zh-CN"/>
        </w:rPr>
        <w:t>局项目办</w:t>
      </w:r>
      <w:r>
        <w:rPr>
          <w:rFonts w:hint="eastAsia" w:ascii="仿宋_GB2312" w:hAnsi="仿宋_GB2312" w:eastAsia="仿宋_GB2312" w:cs="仿宋_GB2312"/>
          <w:sz w:val="32"/>
          <w:szCs w:val="32"/>
          <w:highlight w:val="none"/>
        </w:rPr>
        <w:t>。</w:t>
      </w:r>
    </w:p>
    <w:p w14:paraId="226FF82C">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(四)有关要求</w:t>
      </w:r>
    </w:p>
    <w:p w14:paraId="6C9EC041">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强化补贴监督管理。要按照直达资金管理要求，加强部门协作，完善政策制度，优化工作流程，规范管理方式，确保政策稳定实施。要用好直达资金监控系统，加强资金监管，逐步构建形成补贴大数据管理系统，围绕补贴发放各个环节提升监管水平，坚持日常监管和重点监管相结合，加强补贴发放数据核验和现场抽验，提升补贴发放的规范性、精准性和时效性。严防补贴资金“跑冒滴漏”,对骗取、贪污、挤占、挪用或违规发放等行为，依法依规严肃处理。</w:t>
      </w:r>
    </w:p>
    <w:p w14:paraId="3420C692">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加强宣传教育引导。要强化耕地地力保护补贴的政策宣传解读，引导基层干部特别是镇村干部，准确把握此项补贴的政策目标和管理要求，通过张榜公示、高素质农民培训、印发惠农补贴明白纸、广播电视流媒体等方式加强补贴政策的宣传力度，进一步提高政策在农户间的知晓率，确保发放渠道通畅、群众知晓通用、资金足额到位。</w:t>
      </w:r>
    </w:p>
    <w:p w14:paraId="0A48D4E5">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严格落实耕地保护。按照严格耕地种植用途管控、落实耕地利用优先序要求，进一步强化耕地地力保护补贴政策导向，突出补贴政策与耕地地力保护责任的关联性，充分调动农民种粮积极性。建立健全耕地地力保护补贴发放与耕地执法监督检查联动机制，严格落实补贴发放范围，对于不得补贴情形坚决不予补贴，遏制耕地“非农化”、永久基本农田“非粮化”。</w:t>
      </w:r>
    </w:p>
    <w:p w14:paraId="7DA46B02">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责任单位：农业综合执法大队</w:t>
      </w:r>
      <w:r>
        <w:rPr>
          <w:rFonts w:hint="eastAsia" w:ascii="仿宋_GB2312" w:hAnsi="仿宋_GB2312" w:eastAsia="仿宋_GB2312" w:cs="仿宋_GB2312"/>
          <w:sz w:val="32"/>
          <w:szCs w:val="32"/>
          <w:highlight w:val="none"/>
          <w:lang w:eastAsia="zh-CN"/>
        </w:rPr>
        <w:t>）</w:t>
      </w:r>
    </w:p>
    <w:p w14:paraId="731EC46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二、化肥减量增效</w:t>
      </w:r>
    </w:p>
    <w:p w14:paraId="6EDF6F70">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0C5B5C9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到2025年化肥减量行动方案》部署，按照农业农村部种植业管理司《关于做好2024年科学施肥增效工作的通知》(农农(肥水)〔2024〕10号)有关要求，遵循“精、调、改、替、管”技术路径，通过测土配方施肥基础提升、化肥减量增效“三新”集成模式推广，推进肥料新技术、新产品、新机具集成配套应用，优化施肥结构，促进精准施肥，发挥“三新”示范带动作用，加快化肥减量增效技术推广应用，为粮油作物大面积单产提升和农业绿色高质量发展提供有力支撑。</w:t>
      </w:r>
    </w:p>
    <w:p w14:paraId="4BA3698F">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巩固拓展测土配方施肥基础工作。持续开展化肥利用率、肥料效应、配方校正等田间试验，完成农户施肥调查，推广应用智能化施肥专家系统，制定并发布县域主要农作物肥料配方和推荐施肥方案，引导农企对接，促进测土配方施肥成果落地，测土配方施肥技术覆盖率保持在90%以上。</w:t>
      </w:r>
    </w:p>
    <w:p w14:paraId="0095F126">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2.“三新”集成配套推广。推广“三新”集成模式，</w:t>
      </w:r>
      <w:r>
        <w:rPr>
          <w:rFonts w:hint="eastAsia" w:ascii="仿宋_GB2312" w:hAnsi="仿宋_GB2312" w:eastAsia="仿宋_GB2312" w:cs="仿宋_GB2312"/>
          <w:sz w:val="32"/>
          <w:szCs w:val="32"/>
          <w:highlight w:val="none"/>
          <w:lang w:val="en-US" w:eastAsia="zh-CN"/>
        </w:rPr>
        <w:t>农技中心</w:t>
      </w:r>
      <w:r>
        <w:rPr>
          <w:rFonts w:hint="eastAsia" w:ascii="仿宋_GB2312" w:hAnsi="仿宋_GB2312" w:eastAsia="仿宋_GB2312" w:cs="仿宋_GB2312"/>
          <w:sz w:val="32"/>
          <w:szCs w:val="32"/>
          <w:highlight w:val="none"/>
        </w:rPr>
        <w:t>结合区内粮油等生产要点，重点打造不少于1个千亩方和5个百亩方，辐射带动0.5万亩以上。</w:t>
      </w:r>
    </w:p>
    <w:p w14:paraId="6EC6A850">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28E8E36F">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取自愿申报与竞争性选拔相结合的方式，遴选种植大户、家庭农场和专业合作社等新型经营主体和社会化服务组织承担项目任务，签订合作协议，明确责任义务。通过示范带动周边农户应用先进技术，提高减肥增效技术到位率，不断提升绿色生产水平。</w:t>
      </w:r>
    </w:p>
    <w:p w14:paraId="2ED960BB">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测土配方施肥基础工作1.5万元，“三新”集成配套推广8.25万元。资金对每个田间试验补助5000元，对“三新”示范片区的补助根据实施综合成本、作业环节等因素确定，其中“三新”示范片粮食作物亩均补助不超过55元，具体由区</w:t>
      </w:r>
      <w:r>
        <w:rPr>
          <w:rFonts w:hint="eastAsia" w:ascii="仿宋_GB2312" w:hAnsi="仿宋_GB2312" w:eastAsia="仿宋_GB2312" w:cs="仿宋_GB2312"/>
          <w:sz w:val="32"/>
          <w:szCs w:val="32"/>
          <w:highlight w:val="none"/>
          <w:lang w:val="en-US" w:eastAsia="zh-CN"/>
        </w:rPr>
        <w:t>农技中心</w:t>
      </w:r>
      <w:r>
        <w:rPr>
          <w:rFonts w:hint="eastAsia" w:ascii="仿宋_GB2312" w:hAnsi="仿宋_GB2312" w:eastAsia="仿宋_GB2312" w:cs="仿宋_GB2312"/>
          <w:sz w:val="32"/>
          <w:szCs w:val="32"/>
          <w:highlight w:val="none"/>
        </w:rPr>
        <w:t>结合实际，综合成本具体组织实施。</w:t>
      </w:r>
    </w:p>
    <w:p w14:paraId="0A0077B3">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53DF83A7">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主要用于测土配方施肥基础工作、“三新”千亩方百亩方、试验示范、管养诊断等，对“三新”技术集成模式推广所必须的新型肥料、服务作业等予以适当补助，具体支持情况由杨陵区结合实际确定。资金补助的有关新型肥料须取得肥料登记或备</w:t>
      </w:r>
    </w:p>
    <w:p w14:paraId="6E0DACAE">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案号。</w:t>
      </w:r>
    </w:p>
    <w:p w14:paraId="37C07B65">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责任单位：农技中心</w:t>
      </w:r>
      <w:r>
        <w:rPr>
          <w:rFonts w:hint="eastAsia" w:ascii="仿宋_GB2312" w:hAnsi="仿宋_GB2312" w:eastAsia="仿宋_GB2312" w:cs="仿宋_GB2312"/>
          <w:sz w:val="32"/>
          <w:szCs w:val="32"/>
          <w:highlight w:val="none"/>
          <w:lang w:eastAsia="zh-CN"/>
        </w:rPr>
        <w:t>）</w:t>
      </w:r>
    </w:p>
    <w:p w14:paraId="1A1248AE">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三、第三次土壤普查</w:t>
      </w:r>
    </w:p>
    <w:p w14:paraId="66ACD043">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(一)建设内容</w:t>
      </w:r>
    </w:p>
    <w:p w14:paraId="648E116C">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落实《国务院第三次全国土壤普查领导小组办公室关于加快推进2024年第三次全国土壤普查工作的通知》(国土壤普查办发〔2024〕10号),我省第三次全国土壤普查继续围绕全面查明查清土壤类型及分布规律、土壤资源现状，真实准确掌握土壤质量、性状和利用状况等基础数据，提升土壤资源保护和利用水平。支持杨陵区按照《第三次全国土壤普查土壤样品制备与检测技术规范》,结合已完成工作进度，继续做好土壤剖面采样、化验、分析等外业、内业有关工作。</w:t>
      </w:r>
    </w:p>
    <w:p w14:paraId="1671EEFE">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(二)补助对象及标准</w:t>
      </w:r>
    </w:p>
    <w:p w14:paraId="7FB72452">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highlight w:val="none"/>
        </w:rPr>
        <w:t>区13.65万元，对组织实施第三次土壤普查各项任务予以补助。对于任务范围内不足资金，根据实际予以</w:t>
      </w: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rPr>
        <w:t>配套，提高财政资金使用效益。</w:t>
      </w:r>
    </w:p>
    <w:p w14:paraId="27467929">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(三)资金支持环节</w:t>
      </w:r>
    </w:p>
    <w:p w14:paraId="51C37F10">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资金支持土壤普查工作各环节中所需物资，采样、检测等必要费用。</w:t>
      </w:r>
    </w:p>
    <w:p w14:paraId="2507F384">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责任单位：农技中心</w:t>
      </w:r>
      <w:r>
        <w:rPr>
          <w:rFonts w:hint="eastAsia" w:ascii="仿宋_GB2312" w:hAnsi="仿宋_GB2312" w:eastAsia="仿宋_GB2312" w:cs="仿宋_GB2312"/>
          <w:sz w:val="32"/>
          <w:szCs w:val="32"/>
          <w:highlight w:val="none"/>
          <w:lang w:eastAsia="zh-CN"/>
        </w:rPr>
        <w:t>）</w:t>
      </w:r>
    </w:p>
    <w:p w14:paraId="6C2BE6DD">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jc w:val="both"/>
        <w:textAlignment w:val="auto"/>
        <w:rPr>
          <w:rFonts w:hint="eastAsia" w:ascii="仿宋_GB2312" w:hAnsi="仿宋_GB2312" w:eastAsia="仿宋_GB2312" w:cs="仿宋_GB2312"/>
          <w:sz w:val="32"/>
          <w:szCs w:val="32"/>
          <w:highlight w:val="none"/>
        </w:rPr>
      </w:pPr>
    </w:p>
    <w:p w14:paraId="2A940D1E">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：1.耕地地力保护补贴支出方向资金分配表</w:t>
      </w:r>
    </w:p>
    <w:p w14:paraId="054EDEAA">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2.化肥减量增效支出方向资金分配表</w:t>
      </w:r>
    </w:p>
    <w:p w14:paraId="6FDBC0C5">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3.第三次土壤普查支出方向资金分配表</w:t>
      </w:r>
    </w:p>
    <w:p w14:paraId="204E7BA0">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6D9FBC97">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44B3D23E">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27244BFB">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3D4AEA6D">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4B8DE0C3">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61059EE9">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7174F398">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50DDF84C">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14352903">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42DA2A15">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0B41FD8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2D83ABE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678FEAC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3EE322F6">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30BF2152">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793D8A08">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0D50B2A6">
      <w:pPr>
        <w:spacing w:line="287" w:lineRule="auto"/>
        <w:rPr>
          <w:rFonts w:ascii="Arial"/>
          <w:sz w:val="21"/>
        </w:rPr>
      </w:pPr>
    </w:p>
    <w:p w14:paraId="13799877">
      <w:pPr>
        <w:spacing w:before="146" w:line="219" w:lineRule="auto"/>
        <w:jc w:val="both"/>
        <w:rPr>
          <w:rFonts w:hint="eastAsia" w:ascii="黑体" w:hAnsi="黑体" w:eastAsia="黑体" w:cs="黑体"/>
          <w:b w:val="0"/>
          <w:bCs w:val="0"/>
          <w:spacing w:val="-16"/>
          <w:sz w:val="32"/>
          <w:szCs w:val="32"/>
          <w:lang w:val="en-US" w:eastAsia="zh-CN"/>
        </w:rPr>
      </w:pPr>
    </w:p>
    <w:p w14:paraId="200D29B7">
      <w:pPr>
        <w:spacing w:before="146" w:line="219" w:lineRule="auto"/>
        <w:jc w:val="both"/>
        <w:rPr>
          <w:rFonts w:hint="eastAsia" w:ascii="黑体" w:hAnsi="黑体" w:eastAsia="黑体" w:cs="黑体"/>
          <w:b w:val="0"/>
          <w:bCs w:val="0"/>
          <w:spacing w:val="-16"/>
          <w:sz w:val="32"/>
          <w:szCs w:val="32"/>
          <w:lang w:val="en-US" w:eastAsia="zh-CN"/>
        </w:rPr>
      </w:pPr>
    </w:p>
    <w:p w14:paraId="0BB7C9E2">
      <w:pPr>
        <w:spacing w:before="146" w:line="219" w:lineRule="auto"/>
        <w:jc w:val="both"/>
        <w:rPr>
          <w:rFonts w:hint="eastAsia" w:ascii="黑体" w:hAnsi="黑体" w:eastAsia="黑体" w:cs="黑体"/>
          <w:b w:val="0"/>
          <w:bCs w:val="0"/>
          <w:spacing w:val="-16"/>
          <w:sz w:val="32"/>
          <w:szCs w:val="32"/>
          <w:lang w:val="en-US" w:eastAsia="zh-CN"/>
        </w:rPr>
      </w:pPr>
    </w:p>
    <w:p w14:paraId="099440DB">
      <w:pPr>
        <w:spacing w:before="146" w:line="219" w:lineRule="auto"/>
        <w:jc w:val="both"/>
        <w:rPr>
          <w:rFonts w:hint="eastAsia" w:ascii="黑体" w:hAnsi="黑体" w:eastAsia="黑体" w:cs="黑体"/>
          <w:b w:val="0"/>
          <w:bCs w:val="0"/>
          <w:spacing w:val="-16"/>
          <w:sz w:val="32"/>
          <w:szCs w:val="32"/>
          <w:lang w:val="en-US" w:eastAsia="zh-CN"/>
        </w:rPr>
      </w:pPr>
    </w:p>
    <w:p w14:paraId="3FD36ADB">
      <w:pPr>
        <w:spacing w:before="146" w:line="219" w:lineRule="auto"/>
        <w:jc w:val="both"/>
        <w:rPr>
          <w:rFonts w:hint="eastAsia" w:ascii="黑体" w:hAnsi="黑体" w:eastAsia="黑体" w:cs="黑体"/>
          <w:b w:val="0"/>
          <w:bCs w:val="0"/>
          <w:spacing w:val="-16"/>
          <w:sz w:val="32"/>
          <w:szCs w:val="32"/>
          <w:lang w:val="en-US" w:eastAsia="zh-CN"/>
        </w:rPr>
      </w:pPr>
    </w:p>
    <w:p w14:paraId="359454F6">
      <w:pPr>
        <w:spacing w:before="146" w:line="219" w:lineRule="auto"/>
        <w:jc w:val="both"/>
        <w:rPr>
          <w:rFonts w:hint="eastAsia" w:ascii="黑体" w:hAnsi="黑体" w:eastAsia="黑体" w:cs="黑体"/>
          <w:b w:val="0"/>
          <w:bCs w:val="0"/>
          <w:spacing w:val="-16"/>
          <w:sz w:val="32"/>
          <w:szCs w:val="32"/>
          <w:lang w:val="en-US" w:eastAsia="zh-CN"/>
        </w:rPr>
      </w:pPr>
      <w:r>
        <w:rPr>
          <w:rFonts w:hint="eastAsia" w:ascii="黑体" w:hAnsi="黑体" w:eastAsia="黑体" w:cs="黑体"/>
          <w:b w:val="0"/>
          <w:bCs w:val="0"/>
          <w:spacing w:val="-16"/>
          <w:sz w:val="32"/>
          <w:szCs w:val="32"/>
          <w:lang w:val="en-US" w:eastAsia="zh-CN"/>
        </w:rPr>
        <w:t>附件1</w:t>
      </w:r>
    </w:p>
    <w:p w14:paraId="39712B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6"/>
          <w:sz w:val="44"/>
          <w:szCs w:val="44"/>
        </w:rPr>
      </w:pPr>
    </w:p>
    <w:p w14:paraId="688D2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5"/>
          <w:szCs w:val="45"/>
        </w:rPr>
      </w:pPr>
      <w:r>
        <w:rPr>
          <w:rFonts w:hint="eastAsia" w:ascii="方正小标宋简体" w:hAnsi="方正小标宋简体" w:eastAsia="方正小标宋简体" w:cs="方正小标宋简体"/>
          <w:b w:val="0"/>
          <w:bCs w:val="0"/>
          <w:spacing w:val="-16"/>
          <w:sz w:val="44"/>
          <w:szCs w:val="44"/>
        </w:rPr>
        <w:t>耕地地力保护补贴支出方向资金分配表</w:t>
      </w:r>
    </w:p>
    <w:p w14:paraId="6AF07E6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14:paraId="2FF6226B">
      <w:pPr>
        <w:pStyle w:val="2"/>
        <w:keepNext w:val="0"/>
        <w:keepLines w:val="0"/>
        <w:pageBreakBefore w:val="0"/>
        <w:widowControl w:val="0"/>
        <w:kinsoku/>
        <w:wordWrap/>
        <w:overflowPunct/>
        <w:topLinePunct w:val="0"/>
        <w:autoSpaceDE/>
        <w:autoSpaceDN/>
        <w:bidi w:val="0"/>
        <w:adjustRightInd/>
        <w:snapToGrid/>
        <w:spacing w:line="240" w:lineRule="auto"/>
        <w:ind w:left="0"/>
        <w:jc w:val="righ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39"/>
          <w:sz w:val="32"/>
          <w:szCs w:val="32"/>
          <w:lang w:val="en-US" w:eastAsia="zh-CN"/>
        </w:rPr>
        <w:t>单位 ：万亩、万元</w:t>
      </w:r>
    </w:p>
    <w:p w14:paraId="7B63931C">
      <w:pPr>
        <w:spacing w:line="124" w:lineRule="exact"/>
      </w:pPr>
    </w:p>
    <w:tbl>
      <w:tblPr>
        <w:tblStyle w:val="6"/>
        <w:tblW w:w="9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448"/>
        <w:gridCol w:w="1478"/>
        <w:gridCol w:w="2168"/>
        <w:gridCol w:w="1473"/>
      </w:tblGrid>
      <w:tr w14:paraId="2686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73" w:type="dxa"/>
            <w:noWrap w:val="0"/>
            <w:vAlign w:val="top"/>
          </w:tcPr>
          <w:p w14:paraId="0C878B32">
            <w:pPr>
              <w:spacing w:before="257" w:line="224" w:lineRule="auto"/>
              <w:ind w:left="458"/>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县区</w:t>
            </w:r>
          </w:p>
        </w:tc>
        <w:tc>
          <w:tcPr>
            <w:tcW w:w="2448" w:type="dxa"/>
            <w:noWrap w:val="0"/>
            <w:vAlign w:val="top"/>
          </w:tcPr>
          <w:p w14:paraId="304D3CB2">
            <w:pPr>
              <w:spacing w:before="252" w:line="219" w:lineRule="auto"/>
              <w:rPr>
                <w:rFonts w:hint="eastAsia" w:ascii="黑体" w:hAnsi="黑体" w:eastAsia="黑体" w:cs="黑体"/>
                <w:b w:val="0"/>
                <w:bCs w:val="0"/>
                <w:sz w:val="28"/>
                <w:szCs w:val="28"/>
              </w:rPr>
            </w:pPr>
            <w:r>
              <w:rPr>
                <w:rFonts w:hint="eastAsia" w:ascii="黑体" w:hAnsi="黑体" w:eastAsia="黑体" w:cs="黑体"/>
                <w:b w:val="0"/>
                <w:bCs w:val="0"/>
                <w:spacing w:val="15"/>
                <w:sz w:val="28"/>
                <w:szCs w:val="28"/>
              </w:rPr>
              <w:t>“三调”参考面积</w:t>
            </w:r>
          </w:p>
        </w:tc>
        <w:tc>
          <w:tcPr>
            <w:tcW w:w="1478" w:type="dxa"/>
            <w:noWrap w:val="0"/>
            <w:vAlign w:val="top"/>
          </w:tcPr>
          <w:p w14:paraId="379EE62C">
            <w:pPr>
              <w:spacing w:before="253" w:line="221" w:lineRule="auto"/>
              <w:ind w:left="197"/>
              <w:rPr>
                <w:rFonts w:hint="eastAsia" w:ascii="黑体" w:hAnsi="黑体" w:eastAsia="黑体" w:cs="黑体"/>
                <w:b w:val="0"/>
                <w:bCs w:val="0"/>
                <w:sz w:val="28"/>
                <w:szCs w:val="28"/>
              </w:rPr>
            </w:pPr>
            <w:r>
              <w:rPr>
                <w:rFonts w:hint="eastAsia" w:ascii="黑体" w:hAnsi="黑体" w:eastAsia="黑体" w:cs="黑体"/>
                <w:b w:val="0"/>
                <w:bCs w:val="0"/>
                <w:spacing w:val="-2"/>
                <w:sz w:val="28"/>
                <w:szCs w:val="28"/>
              </w:rPr>
              <w:t>资金合计</w:t>
            </w:r>
          </w:p>
        </w:tc>
        <w:tc>
          <w:tcPr>
            <w:tcW w:w="2168" w:type="dxa"/>
            <w:noWrap w:val="0"/>
            <w:vAlign w:val="top"/>
          </w:tcPr>
          <w:p w14:paraId="395F7C42">
            <w:pPr>
              <w:spacing w:before="253" w:line="220" w:lineRule="auto"/>
              <w:ind w:left="139"/>
              <w:rPr>
                <w:rFonts w:hint="eastAsia" w:ascii="黑体" w:hAnsi="黑体" w:eastAsia="黑体" w:cs="黑体"/>
                <w:b w:val="0"/>
                <w:bCs w:val="0"/>
                <w:sz w:val="28"/>
                <w:szCs w:val="28"/>
              </w:rPr>
            </w:pPr>
            <w:r>
              <w:rPr>
                <w:rFonts w:hint="eastAsia" w:ascii="黑体" w:hAnsi="黑体" w:eastAsia="黑体" w:cs="黑体"/>
                <w:b w:val="0"/>
                <w:bCs w:val="0"/>
                <w:spacing w:val="-3"/>
                <w:sz w:val="28"/>
                <w:szCs w:val="28"/>
              </w:rPr>
              <w:t>已下达中央资金</w:t>
            </w:r>
          </w:p>
        </w:tc>
        <w:tc>
          <w:tcPr>
            <w:tcW w:w="1473" w:type="dxa"/>
            <w:noWrap w:val="0"/>
            <w:vAlign w:val="top"/>
          </w:tcPr>
          <w:p w14:paraId="39733DBC">
            <w:pPr>
              <w:spacing w:before="252" w:line="219" w:lineRule="auto"/>
              <w:ind w:left="191"/>
              <w:rPr>
                <w:rFonts w:hint="eastAsia" w:ascii="黑体" w:hAnsi="黑体" w:eastAsia="黑体" w:cs="黑体"/>
                <w:b w:val="0"/>
                <w:bCs w:val="0"/>
                <w:sz w:val="28"/>
                <w:szCs w:val="28"/>
              </w:rPr>
            </w:pPr>
            <w:r>
              <w:rPr>
                <w:rFonts w:hint="eastAsia" w:ascii="黑体" w:hAnsi="黑体" w:eastAsia="黑体" w:cs="黑体"/>
                <w:b w:val="0"/>
                <w:bCs w:val="0"/>
                <w:spacing w:val="-6"/>
                <w:sz w:val="28"/>
                <w:szCs w:val="28"/>
              </w:rPr>
              <w:t>省级资金</w:t>
            </w:r>
          </w:p>
        </w:tc>
      </w:tr>
      <w:tr w14:paraId="4C925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73" w:type="dxa"/>
            <w:noWrap w:val="0"/>
            <w:vAlign w:val="center"/>
          </w:tcPr>
          <w:p w14:paraId="05067C9A">
            <w:pPr>
              <w:spacing w:before="88" w:line="219" w:lineRule="auto"/>
              <w:ind w:left="328"/>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杨陵区</w:t>
            </w:r>
          </w:p>
        </w:tc>
        <w:tc>
          <w:tcPr>
            <w:tcW w:w="2448" w:type="dxa"/>
            <w:noWrap w:val="0"/>
            <w:vAlign w:val="center"/>
          </w:tcPr>
          <w:p w14:paraId="0089C726">
            <w:pPr>
              <w:spacing w:before="88" w:line="184" w:lineRule="auto"/>
              <w:ind w:left="985"/>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5"/>
                <w:sz w:val="28"/>
                <w:szCs w:val="28"/>
              </w:rPr>
              <w:t>4.13</w:t>
            </w:r>
          </w:p>
        </w:tc>
        <w:tc>
          <w:tcPr>
            <w:tcW w:w="1478" w:type="dxa"/>
            <w:noWrap w:val="0"/>
            <w:vAlign w:val="center"/>
          </w:tcPr>
          <w:p w14:paraId="255641A3">
            <w:pPr>
              <w:spacing w:before="88" w:line="183" w:lineRule="auto"/>
              <w:ind w:left="667"/>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0</w:t>
            </w:r>
          </w:p>
        </w:tc>
        <w:tc>
          <w:tcPr>
            <w:tcW w:w="2168" w:type="dxa"/>
            <w:noWrap w:val="0"/>
            <w:vAlign w:val="center"/>
          </w:tcPr>
          <w:p w14:paraId="0D4935A4">
            <w:pPr>
              <w:spacing w:before="88" w:line="183" w:lineRule="auto"/>
              <w:ind w:left="1009"/>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0</w:t>
            </w:r>
          </w:p>
        </w:tc>
        <w:tc>
          <w:tcPr>
            <w:tcW w:w="1473" w:type="dxa"/>
            <w:noWrap w:val="0"/>
            <w:vAlign w:val="center"/>
          </w:tcPr>
          <w:p w14:paraId="1A792B69">
            <w:pPr>
              <w:spacing w:before="88" w:line="183" w:lineRule="auto"/>
              <w:ind w:left="661"/>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0</w:t>
            </w:r>
          </w:p>
        </w:tc>
      </w:tr>
    </w:tbl>
    <w:p w14:paraId="129174B4">
      <w:pPr>
        <w:rPr>
          <w:rFonts w:ascii="Arial" w:hAnsi="Arial" w:eastAsia="Arial" w:cs="Arial"/>
          <w:sz w:val="21"/>
          <w:szCs w:val="21"/>
        </w:rPr>
        <w:sectPr>
          <w:footerReference r:id="rId3" w:type="default"/>
          <w:pgSz w:w="11900" w:h="16820"/>
          <w:pgMar w:top="2098" w:right="1474" w:bottom="1984" w:left="1587" w:header="0" w:footer="1087" w:gutter="0"/>
          <w:pgNumType w:fmt="decimal"/>
          <w:cols w:space="720" w:num="1"/>
        </w:sectPr>
      </w:pPr>
    </w:p>
    <w:p w14:paraId="4E0A353B">
      <w:pPr>
        <w:spacing w:before="146" w:line="219" w:lineRule="auto"/>
        <w:jc w:val="both"/>
        <w:rPr>
          <w:rFonts w:hint="eastAsia" w:ascii="黑体" w:hAnsi="黑体" w:eastAsia="黑体" w:cs="黑体"/>
          <w:b w:val="0"/>
          <w:bCs w:val="0"/>
          <w:spacing w:val="-16"/>
          <w:sz w:val="32"/>
          <w:szCs w:val="32"/>
          <w:lang w:val="en-US" w:eastAsia="zh-CN"/>
        </w:rPr>
      </w:pPr>
      <w:r>
        <w:rPr>
          <w:rFonts w:hint="eastAsia" w:ascii="黑体" w:hAnsi="黑体" w:eastAsia="黑体" w:cs="黑体"/>
          <w:b w:val="0"/>
          <w:bCs w:val="0"/>
          <w:spacing w:val="-16"/>
          <w:sz w:val="32"/>
          <w:szCs w:val="32"/>
          <w:lang w:val="en-US" w:eastAsia="zh-CN"/>
        </w:rPr>
        <w:t>附件2</w:t>
      </w:r>
    </w:p>
    <w:p w14:paraId="0610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6"/>
          <w:sz w:val="44"/>
          <w:szCs w:val="44"/>
        </w:rPr>
      </w:pPr>
    </w:p>
    <w:p w14:paraId="10DBE0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6"/>
          <w:sz w:val="44"/>
          <w:szCs w:val="44"/>
        </w:rPr>
      </w:pPr>
      <w:r>
        <w:rPr>
          <w:rFonts w:hint="eastAsia" w:ascii="方正小标宋简体" w:hAnsi="方正小标宋简体" w:eastAsia="方正小标宋简体" w:cs="方正小标宋简体"/>
          <w:b w:val="0"/>
          <w:bCs w:val="0"/>
          <w:spacing w:val="-16"/>
          <w:sz w:val="44"/>
          <w:szCs w:val="44"/>
        </w:rPr>
        <w:t>化肥减量增效支出方向资金分配表</w:t>
      </w:r>
    </w:p>
    <w:p w14:paraId="5A1DC9F7">
      <w:pPr>
        <w:spacing w:before="35"/>
      </w:pPr>
    </w:p>
    <w:tbl>
      <w:tblPr>
        <w:tblStyle w:val="6"/>
        <w:tblpPr w:leftFromText="180" w:rightFromText="180" w:vertAnchor="text" w:tblpXSpec="center" w:tblpY="1"/>
        <w:tblOverlap w:val="never"/>
        <w:tblW w:w="88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0"/>
        <w:gridCol w:w="1052"/>
        <w:gridCol w:w="1110"/>
        <w:gridCol w:w="1340"/>
        <w:gridCol w:w="1840"/>
        <w:gridCol w:w="1430"/>
        <w:gridCol w:w="1203"/>
      </w:tblGrid>
      <w:tr w14:paraId="2EF4C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0" w:type="auto"/>
            <w:noWrap w:val="0"/>
            <w:vAlign w:val="top"/>
          </w:tcPr>
          <w:p w14:paraId="4678A7DE">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任务</w:t>
            </w:r>
          </w:p>
        </w:tc>
        <w:tc>
          <w:tcPr>
            <w:tcW w:w="3502" w:type="dxa"/>
            <w:gridSpan w:val="3"/>
            <w:noWrap w:val="0"/>
            <w:vAlign w:val="top"/>
          </w:tcPr>
          <w:p w14:paraId="338C4D31">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测土配方施肥基础工作</w:t>
            </w:r>
          </w:p>
        </w:tc>
        <w:tc>
          <w:tcPr>
            <w:tcW w:w="3270" w:type="dxa"/>
            <w:gridSpan w:val="2"/>
            <w:noWrap w:val="0"/>
            <w:vAlign w:val="top"/>
          </w:tcPr>
          <w:p w14:paraId="17E512E9">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“三新”集成配套</w:t>
            </w:r>
          </w:p>
        </w:tc>
        <w:tc>
          <w:tcPr>
            <w:tcW w:w="1203" w:type="dxa"/>
            <w:vMerge w:val="restart"/>
            <w:tcBorders>
              <w:bottom w:val="nil"/>
            </w:tcBorders>
            <w:noWrap w:val="0"/>
            <w:vAlign w:val="top"/>
          </w:tcPr>
          <w:p w14:paraId="3B95B091">
            <w:pPr>
              <w:spacing w:before="257" w:line="240"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资金合计(万元)</w:t>
            </w:r>
          </w:p>
        </w:tc>
      </w:tr>
      <w:tr w14:paraId="0231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0" w:type="auto"/>
            <w:noWrap w:val="0"/>
            <w:vAlign w:val="top"/>
          </w:tcPr>
          <w:p w14:paraId="18C6583A">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县区/单位</w:t>
            </w:r>
          </w:p>
        </w:tc>
        <w:tc>
          <w:tcPr>
            <w:tcW w:w="1052" w:type="dxa"/>
            <w:noWrap w:val="0"/>
            <w:vAlign w:val="top"/>
          </w:tcPr>
          <w:p w14:paraId="2B252627">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农户调查(户)</w:t>
            </w:r>
          </w:p>
        </w:tc>
        <w:tc>
          <w:tcPr>
            <w:tcW w:w="1110" w:type="dxa"/>
            <w:noWrap w:val="0"/>
            <w:vAlign w:val="top"/>
          </w:tcPr>
          <w:p w14:paraId="6CD7C532">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田间试验(个)</w:t>
            </w:r>
          </w:p>
        </w:tc>
        <w:tc>
          <w:tcPr>
            <w:tcW w:w="1340" w:type="dxa"/>
            <w:noWrap w:val="0"/>
            <w:vAlign w:val="top"/>
          </w:tcPr>
          <w:p w14:paraId="66DB8985">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资金小计(万元)</w:t>
            </w:r>
          </w:p>
        </w:tc>
        <w:tc>
          <w:tcPr>
            <w:tcW w:w="1840" w:type="dxa"/>
            <w:noWrap w:val="0"/>
            <w:vAlign w:val="top"/>
          </w:tcPr>
          <w:p w14:paraId="4B3DE795">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“三新”示范面积(万亩)</w:t>
            </w:r>
          </w:p>
        </w:tc>
        <w:tc>
          <w:tcPr>
            <w:tcW w:w="1430" w:type="dxa"/>
            <w:noWrap w:val="0"/>
            <w:vAlign w:val="top"/>
          </w:tcPr>
          <w:p w14:paraId="68C7C4DA">
            <w:pPr>
              <w:spacing w:before="257" w:line="224" w:lineRule="auto"/>
              <w:jc w:val="center"/>
              <w:rPr>
                <w:rFonts w:hint="eastAsia" w:ascii="黑体" w:hAnsi="黑体" w:eastAsia="黑体" w:cs="黑体"/>
                <w:b w:val="0"/>
                <w:bCs w:val="0"/>
                <w:spacing w:val="4"/>
                <w:sz w:val="28"/>
                <w:szCs w:val="28"/>
              </w:rPr>
            </w:pPr>
            <w:r>
              <w:rPr>
                <w:rFonts w:hint="eastAsia" w:ascii="黑体" w:hAnsi="黑体" w:eastAsia="黑体" w:cs="黑体"/>
                <w:b w:val="0"/>
                <w:bCs w:val="0"/>
                <w:spacing w:val="4"/>
                <w:sz w:val="28"/>
                <w:szCs w:val="28"/>
              </w:rPr>
              <w:t>资金小计(万元)</w:t>
            </w:r>
          </w:p>
        </w:tc>
        <w:tc>
          <w:tcPr>
            <w:tcW w:w="1203" w:type="dxa"/>
            <w:vMerge w:val="continue"/>
            <w:tcBorders>
              <w:top w:val="nil"/>
            </w:tcBorders>
            <w:noWrap w:val="0"/>
            <w:vAlign w:val="top"/>
          </w:tcPr>
          <w:p w14:paraId="478D054A">
            <w:pPr>
              <w:spacing w:before="257" w:line="224" w:lineRule="auto"/>
              <w:ind w:left="458"/>
              <w:rPr>
                <w:rFonts w:hint="eastAsia" w:ascii="黑体" w:hAnsi="黑体" w:eastAsia="黑体" w:cs="黑体"/>
                <w:b w:val="0"/>
                <w:bCs w:val="0"/>
                <w:spacing w:val="4"/>
                <w:sz w:val="28"/>
                <w:szCs w:val="28"/>
              </w:rPr>
            </w:pPr>
          </w:p>
        </w:tc>
      </w:tr>
      <w:tr w14:paraId="5D79E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0" w:type="auto"/>
            <w:noWrap w:val="0"/>
            <w:vAlign w:val="center"/>
          </w:tcPr>
          <w:p w14:paraId="39604A06">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杨陵区</w:t>
            </w:r>
          </w:p>
        </w:tc>
        <w:tc>
          <w:tcPr>
            <w:tcW w:w="1052" w:type="dxa"/>
            <w:noWrap w:val="0"/>
            <w:vAlign w:val="center"/>
          </w:tcPr>
          <w:p w14:paraId="2AC08E1B">
            <w:pPr>
              <w:spacing w:before="88" w:line="219" w:lineRule="auto"/>
              <w:ind w:left="328"/>
              <w:jc w:val="both"/>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110</w:t>
            </w:r>
          </w:p>
        </w:tc>
        <w:tc>
          <w:tcPr>
            <w:tcW w:w="1110" w:type="dxa"/>
            <w:noWrap w:val="0"/>
            <w:vAlign w:val="center"/>
          </w:tcPr>
          <w:p w14:paraId="01F408A3">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3</w:t>
            </w:r>
          </w:p>
        </w:tc>
        <w:tc>
          <w:tcPr>
            <w:tcW w:w="1340" w:type="dxa"/>
            <w:noWrap w:val="0"/>
            <w:vAlign w:val="center"/>
          </w:tcPr>
          <w:p w14:paraId="6044D9A9">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1.5</w:t>
            </w:r>
          </w:p>
        </w:tc>
        <w:tc>
          <w:tcPr>
            <w:tcW w:w="1840" w:type="dxa"/>
            <w:noWrap w:val="0"/>
            <w:vAlign w:val="center"/>
          </w:tcPr>
          <w:p w14:paraId="1E2FCA40">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0.15</w:t>
            </w:r>
          </w:p>
        </w:tc>
        <w:tc>
          <w:tcPr>
            <w:tcW w:w="1430" w:type="dxa"/>
            <w:noWrap w:val="0"/>
            <w:vAlign w:val="center"/>
          </w:tcPr>
          <w:p w14:paraId="323263F2">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8.25</w:t>
            </w:r>
          </w:p>
        </w:tc>
        <w:tc>
          <w:tcPr>
            <w:tcW w:w="1203" w:type="dxa"/>
            <w:noWrap w:val="0"/>
            <w:vAlign w:val="center"/>
          </w:tcPr>
          <w:p w14:paraId="3398F162">
            <w:pPr>
              <w:spacing w:before="88"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9.75</w:t>
            </w:r>
          </w:p>
        </w:tc>
      </w:tr>
    </w:tbl>
    <w:p w14:paraId="35E33620">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sz w:val="32"/>
          <w:szCs w:val="32"/>
          <w:highlight w:val="none"/>
        </w:rPr>
      </w:pPr>
    </w:p>
    <w:p w14:paraId="353240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AD17">
    <w:pPr>
      <w:spacing w:before="1" w:line="177" w:lineRule="auto"/>
      <w:ind w:left="8054"/>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4A859F">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24A859F">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D3AA0"/>
    <w:rsid w:val="232D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2025-04-02T07:44:00Z</dcterms:created>
  <dc:creator>Bruce Cheung</dc:creator>
  <cp:lastModifiedBy>Bruce Cheung</cp:lastModifiedBy>
  <dcterms:modified xsi:type="dcterms:W3CDTF">2025-04-02T07:47:54Z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91B9ECF2D3434083BA282D9FB68BEACF_11</vt:lpwstr>
  </property>
  <property fmtid="{D5CDD505-2E9C-101B-9397-08002B2CF9AE}" pid="4" name="KSOTemplateDocerSaveRecord">
    <vt:lpwstr>eyJoZGlkIjoiNzA0Y2U3N2QxOTI5MDQzOGNiNmFmYTFhZTBiNDBhMWUiLCJ1c2VySWQiOiIzMzM2ODgzODQifQ==</vt:lpwstr>
  </property>
</Properties>
</file>