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0EA04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pacing w:val="3"/>
          <w:sz w:val="44"/>
          <w:szCs w:val="44"/>
        </w:rPr>
      </w:pPr>
      <w:bookmarkStart w:id="0" w:name="_GoBack"/>
      <w:r>
        <w:rPr>
          <w:rFonts w:hint="eastAsia" w:ascii="方正小标宋简体" w:hAnsi="方正小标宋简体" w:eastAsia="方正小标宋简体" w:cs="方正小标宋简体"/>
          <w:b w:val="0"/>
          <w:bCs w:val="0"/>
          <w:spacing w:val="-12"/>
          <w:sz w:val="44"/>
          <w:szCs w:val="44"/>
        </w:rPr>
        <w:t>2024年农业防灾减灾和水利救灾资金</w:t>
      </w:r>
      <w:r>
        <w:rPr>
          <w:rFonts w:hint="eastAsia" w:ascii="方正小标宋简体" w:hAnsi="方正小标宋简体" w:eastAsia="方正小标宋简体" w:cs="方正小标宋简体"/>
          <w:b w:val="0"/>
          <w:bCs w:val="0"/>
          <w:spacing w:val="3"/>
          <w:sz w:val="44"/>
          <w:szCs w:val="44"/>
        </w:rPr>
        <w:t>(动物防疫补助)实施方案</w:t>
      </w:r>
    </w:p>
    <w:bookmarkEnd w:id="0"/>
    <w:p w14:paraId="53F6B611">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_GB2312" w:hAnsi="仿宋_GB2312" w:eastAsia="仿宋_GB2312" w:cs="仿宋_GB2312"/>
          <w:b w:val="0"/>
          <w:bCs w:val="0"/>
          <w:spacing w:val="3"/>
          <w:sz w:val="32"/>
          <w:szCs w:val="32"/>
          <w:lang w:val="en-US" w:eastAsia="zh-CN"/>
        </w:rPr>
      </w:pPr>
    </w:p>
    <w:p w14:paraId="32D19636">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_GB2312" w:hAnsi="仿宋_GB2312" w:eastAsia="仿宋_GB2312" w:cs="仿宋_GB2312"/>
          <w:b w:val="0"/>
          <w:bCs w:val="0"/>
          <w:spacing w:val="3"/>
          <w:sz w:val="32"/>
          <w:szCs w:val="32"/>
          <w:lang w:val="en-US" w:eastAsia="zh-CN"/>
        </w:rPr>
      </w:pPr>
      <w:r>
        <w:rPr>
          <w:rFonts w:hint="eastAsia" w:ascii="仿宋_GB2312" w:hAnsi="仿宋_GB2312" w:eastAsia="仿宋_GB2312" w:cs="仿宋_GB2312"/>
          <w:b w:val="0"/>
          <w:bCs w:val="0"/>
          <w:spacing w:val="3"/>
          <w:sz w:val="32"/>
          <w:szCs w:val="32"/>
          <w:lang w:val="en-US" w:eastAsia="zh-CN"/>
        </w:rPr>
        <w:t>2024年，中央财政转移支付农业防灾减灾和水利救灾资金(动物防疫补助)重点支持强制免疫、养殖环节病死猪无害化处理等支出方向，按照《农业农村部畜牧兽医局关于做好2024年支持畜牧业发展政策任务实施工作的通知》(农牧便函〔2024〕502号)要求，编制实施方案。</w:t>
      </w:r>
    </w:p>
    <w:p w14:paraId="6ECC9B68">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黑体" w:hAnsi="黑体" w:eastAsia="黑体" w:cs="黑体"/>
          <w:b w:val="0"/>
          <w:bCs w:val="0"/>
          <w:spacing w:val="3"/>
          <w:sz w:val="32"/>
          <w:szCs w:val="32"/>
          <w:lang w:val="en-US" w:eastAsia="zh-CN"/>
        </w:rPr>
      </w:pPr>
      <w:r>
        <w:rPr>
          <w:rFonts w:hint="eastAsia" w:ascii="黑体" w:hAnsi="黑体" w:eastAsia="黑体" w:cs="黑体"/>
          <w:b w:val="0"/>
          <w:bCs w:val="0"/>
          <w:spacing w:val="3"/>
          <w:sz w:val="32"/>
          <w:szCs w:val="32"/>
          <w:lang w:val="en-US" w:eastAsia="zh-CN"/>
        </w:rPr>
        <w:t>一、强制免疫</w:t>
      </w:r>
    </w:p>
    <w:p w14:paraId="7710A82C">
      <w:pPr>
        <w:keepNext w:val="0"/>
        <w:keepLines w:val="0"/>
        <w:pageBreakBefore w:val="0"/>
        <w:widowControl w:val="0"/>
        <w:kinsoku/>
        <w:wordWrap/>
        <w:overflowPunct/>
        <w:topLinePunct w:val="0"/>
        <w:autoSpaceDE/>
        <w:autoSpaceDN/>
        <w:bidi w:val="0"/>
        <w:adjustRightInd/>
        <w:snapToGrid/>
        <w:spacing w:line="560" w:lineRule="exact"/>
        <w:ind w:firstLine="655" w:firstLineChars="200"/>
        <w:textAlignment w:val="auto"/>
        <w:rPr>
          <w:rFonts w:hint="eastAsia" w:ascii="楷体_GB2312" w:hAnsi="楷体_GB2312" w:eastAsia="楷体_GB2312" w:cs="楷体_GB2312"/>
          <w:b/>
          <w:bCs/>
          <w:spacing w:val="3"/>
          <w:sz w:val="32"/>
          <w:szCs w:val="32"/>
          <w:lang w:val="en-US" w:eastAsia="zh-CN"/>
        </w:rPr>
      </w:pPr>
      <w:r>
        <w:rPr>
          <w:rFonts w:hint="eastAsia" w:ascii="楷体_GB2312" w:hAnsi="楷体_GB2312" w:eastAsia="楷体_GB2312" w:cs="楷体_GB2312"/>
          <w:b/>
          <w:bCs/>
          <w:spacing w:val="3"/>
          <w:sz w:val="32"/>
          <w:szCs w:val="32"/>
          <w:lang w:val="en-US" w:eastAsia="zh-CN"/>
        </w:rPr>
        <w:t>(一)建设内容</w:t>
      </w:r>
    </w:p>
    <w:p w14:paraId="70C752BC">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_GB2312" w:hAnsi="仿宋_GB2312" w:eastAsia="仿宋_GB2312" w:cs="仿宋_GB2312"/>
          <w:b w:val="0"/>
          <w:bCs w:val="0"/>
          <w:spacing w:val="3"/>
          <w:sz w:val="32"/>
          <w:szCs w:val="32"/>
          <w:lang w:val="en-US" w:eastAsia="zh-CN"/>
        </w:rPr>
      </w:pPr>
      <w:r>
        <w:rPr>
          <w:rFonts w:hint="eastAsia" w:ascii="仿宋_GB2312" w:hAnsi="仿宋_GB2312" w:eastAsia="仿宋_GB2312" w:cs="仿宋_GB2312"/>
          <w:b w:val="0"/>
          <w:bCs w:val="0"/>
          <w:spacing w:val="3"/>
          <w:sz w:val="32"/>
          <w:szCs w:val="32"/>
          <w:lang w:val="en-US" w:eastAsia="zh-CN"/>
        </w:rPr>
        <w:t>对口蹄疫、高致病性禽流感、小反刍兽疫、布病等动物疫病实施强制免疫，组织开展强制免疫疫苗采购、疫苗接种和储运、疫病监测和净化、免疫效果监测评价和人员防护，以及实施强制免疫和购买动物防疫服务等相关工作，全面推进规模养殖场强制免疫疫苗先打后补工作，确保春秋季防疫检查畜禽免疫抗体合格率(除布病和包虫病外)达到70%以上，养殖场户免疫密度达到90%以上，严格控制重大动物疫病传播感染，保障畜禽养殖健康稳定。</w:t>
      </w:r>
    </w:p>
    <w:p w14:paraId="3332C1DB">
      <w:pPr>
        <w:keepNext w:val="0"/>
        <w:keepLines w:val="0"/>
        <w:pageBreakBefore w:val="0"/>
        <w:widowControl w:val="0"/>
        <w:kinsoku/>
        <w:wordWrap/>
        <w:overflowPunct/>
        <w:topLinePunct w:val="0"/>
        <w:autoSpaceDE/>
        <w:autoSpaceDN/>
        <w:bidi w:val="0"/>
        <w:adjustRightInd/>
        <w:snapToGrid/>
        <w:spacing w:line="560" w:lineRule="exact"/>
        <w:ind w:firstLine="655" w:firstLineChars="200"/>
        <w:textAlignment w:val="auto"/>
        <w:rPr>
          <w:rFonts w:hint="eastAsia" w:ascii="楷体_GB2312" w:hAnsi="楷体_GB2312" w:eastAsia="楷体_GB2312" w:cs="楷体_GB2312"/>
          <w:b/>
          <w:bCs/>
          <w:spacing w:val="3"/>
          <w:sz w:val="32"/>
          <w:szCs w:val="32"/>
          <w:lang w:val="en-US" w:eastAsia="zh-CN"/>
        </w:rPr>
      </w:pPr>
      <w:r>
        <w:rPr>
          <w:rFonts w:hint="eastAsia" w:ascii="楷体_GB2312" w:hAnsi="楷体_GB2312" w:eastAsia="楷体_GB2312" w:cs="楷体_GB2312"/>
          <w:b/>
          <w:bCs/>
          <w:spacing w:val="3"/>
          <w:sz w:val="32"/>
          <w:szCs w:val="32"/>
          <w:lang w:val="en-US" w:eastAsia="zh-CN"/>
        </w:rPr>
        <w:t>(二)补助对象及标准</w:t>
      </w:r>
    </w:p>
    <w:p w14:paraId="49EC7095">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_GB2312" w:hAnsi="仿宋_GB2312" w:eastAsia="仿宋_GB2312" w:cs="仿宋_GB2312"/>
          <w:b w:val="0"/>
          <w:bCs w:val="0"/>
          <w:spacing w:val="3"/>
          <w:sz w:val="32"/>
          <w:szCs w:val="32"/>
          <w:lang w:val="en-US" w:eastAsia="zh-CN"/>
        </w:rPr>
      </w:pPr>
      <w:r>
        <w:rPr>
          <w:rFonts w:hint="eastAsia" w:ascii="仿宋_GB2312" w:hAnsi="仿宋_GB2312" w:eastAsia="仿宋_GB2312" w:cs="仿宋_GB2312"/>
          <w:b w:val="0"/>
          <w:bCs w:val="0"/>
          <w:spacing w:val="3"/>
          <w:sz w:val="32"/>
          <w:szCs w:val="32"/>
          <w:lang w:val="en-US" w:eastAsia="zh-CN"/>
        </w:rPr>
        <w:t>1.强制免疫疫苗补助。补助我区11万元。对杨陵区和开展“先打后补”的规模养殖场购买、储存高致病性禽流感、口蹄疫、小反刍兽疫、布病等动物疫病疫苗予以补助，由省动卫屠宰站按照政府采购有关规定，集中招标采购疫苗生产企业供货资格和价格，杨陵区疫苗管理单位实施疫苗采购结算，资金先进先出、据实结算、滚动使用。其中，鼓励规模养殖场(户)实施强制免疫疫苗“先打后补”,根据实际使用疫苗数量、集中招标采购价格，对自行采购强制免疫疫苗或购买强制免疫服务予以补助，杨陵区用于规模养殖场“先打后补”补助资金不得少于50%。</w:t>
      </w:r>
    </w:p>
    <w:p w14:paraId="6B6AE1F5">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_GB2312" w:hAnsi="仿宋_GB2312" w:eastAsia="仿宋_GB2312" w:cs="仿宋_GB2312"/>
          <w:b w:val="0"/>
          <w:bCs w:val="0"/>
          <w:spacing w:val="3"/>
          <w:sz w:val="32"/>
          <w:szCs w:val="32"/>
          <w:lang w:val="en-US" w:eastAsia="zh-CN"/>
        </w:rPr>
      </w:pPr>
      <w:r>
        <w:rPr>
          <w:rFonts w:hint="eastAsia" w:ascii="仿宋_GB2312" w:hAnsi="仿宋_GB2312" w:eastAsia="仿宋_GB2312" w:cs="仿宋_GB2312"/>
          <w:b w:val="0"/>
          <w:bCs w:val="0"/>
          <w:spacing w:val="3"/>
          <w:sz w:val="32"/>
          <w:szCs w:val="32"/>
          <w:lang w:val="en-US" w:eastAsia="zh-CN"/>
        </w:rPr>
        <w:t>2.强制免疫注射补助。补助我区10万元。对承担强制免疫注射的主体(包括动物防疫员、兽医社会化服务机构等)完成散养户和中小规模养殖场的强制免疫注射、动物免疫档案建立等任务予以补助，具体由杨陵区结合实际确定。要优先保证完成散养环节强制免疫工作任务，强化疫病防控薄弱环节，消除动物疫情隐患。</w:t>
      </w:r>
    </w:p>
    <w:p w14:paraId="7720DD78">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_GB2312" w:hAnsi="仿宋_GB2312" w:eastAsia="仿宋_GB2312" w:cs="仿宋_GB2312"/>
          <w:b w:val="0"/>
          <w:bCs w:val="0"/>
          <w:spacing w:val="3"/>
          <w:sz w:val="32"/>
          <w:szCs w:val="32"/>
          <w:lang w:val="en-US" w:eastAsia="zh-CN"/>
        </w:rPr>
      </w:pPr>
      <w:r>
        <w:rPr>
          <w:rFonts w:hint="eastAsia" w:ascii="仿宋_GB2312" w:hAnsi="仿宋_GB2312" w:eastAsia="仿宋_GB2312" w:cs="仿宋_GB2312"/>
          <w:b w:val="0"/>
          <w:bCs w:val="0"/>
          <w:spacing w:val="3"/>
          <w:sz w:val="32"/>
          <w:szCs w:val="32"/>
          <w:lang w:val="en-US" w:eastAsia="zh-CN"/>
        </w:rPr>
        <w:t>3.重点动物疫病监测净化补助。补助我区10万元。对所有种畜禽场、500头以上规模奶畜场、净化场、无疫小区等开展主要动物疫病监测净化，采取全群采样监测、消毒灭源、生物安全管理等综合防控措施予以补助，具体由杨陵区结合实际确定，按照各个畜种和病种采样检测方法、消灭净化综合成本等因素分解确定，包干使用，确保辖区内重点养殖场户重点动物疫病的及时监测预警和净化控制。</w:t>
      </w:r>
    </w:p>
    <w:p w14:paraId="6F25FAAA">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_GB2312" w:hAnsi="仿宋_GB2312" w:eastAsia="仿宋_GB2312" w:cs="仿宋_GB2312"/>
          <w:b w:val="0"/>
          <w:bCs w:val="0"/>
          <w:spacing w:val="3"/>
          <w:sz w:val="32"/>
          <w:szCs w:val="32"/>
          <w:lang w:val="en-US" w:eastAsia="zh-CN"/>
        </w:rPr>
      </w:pPr>
      <w:r>
        <w:rPr>
          <w:rFonts w:hint="eastAsia" w:ascii="仿宋_GB2312" w:hAnsi="仿宋_GB2312" w:eastAsia="仿宋_GB2312" w:cs="仿宋_GB2312"/>
          <w:b w:val="0"/>
          <w:bCs w:val="0"/>
          <w:spacing w:val="3"/>
          <w:sz w:val="32"/>
          <w:szCs w:val="32"/>
          <w:lang w:val="en-US" w:eastAsia="zh-CN"/>
        </w:rPr>
        <w:t>4.强制免疫效果评价与人员防护补助。补助我区3万元，包干使用。对承担强制免疫效果监测评价，开展免疫抗体合格率、免疫密度检测的主体及动物防疫人员感染人兽共患病风险防护予以补助。</w:t>
      </w:r>
    </w:p>
    <w:p w14:paraId="471C2755">
      <w:pPr>
        <w:keepNext w:val="0"/>
        <w:keepLines w:val="0"/>
        <w:pageBreakBefore w:val="0"/>
        <w:widowControl w:val="0"/>
        <w:kinsoku/>
        <w:wordWrap/>
        <w:overflowPunct/>
        <w:topLinePunct w:val="0"/>
        <w:autoSpaceDE/>
        <w:autoSpaceDN/>
        <w:bidi w:val="0"/>
        <w:adjustRightInd/>
        <w:snapToGrid/>
        <w:spacing w:line="560" w:lineRule="exact"/>
        <w:ind w:firstLine="655" w:firstLineChars="200"/>
        <w:textAlignment w:val="auto"/>
        <w:rPr>
          <w:rFonts w:hint="eastAsia" w:ascii="楷体_GB2312" w:hAnsi="楷体_GB2312" w:eastAsia="楷体_GB2312" w:cs="楷体_GB2312"/>
          <w:b/>
          <w:bCs/>
          <w:spacing w:val="3"/>
          <w:sz w:val="32"/>
          <w:szCs w:val="32"/>
          <w:lang w:val="en-US" w:eastAsia="zh-CN"/>
        </w:rPr>
      </w:pPr>
      <w:r>
        <w:rPr>
          <w:rFonts w:hint="eastAsia" w:ascii="楷体_GB2312" w:hAnsi="楷体_GB2312" w:eastAsia="楷体_GB2312" w:cs="楷体_GB2312"/>
          <w:b/>
          <w:bCs/>
          <w:spacing w:val="3"/>
          <w:sz w:val="32"/>
          <w:szCs w:val="32"/>
          <w:lang w:val="en-US" w:eastAsia="zh-CN"/>
        </w:rPr>
        <w:t>(三)资金支持环节</w:t>
      </w:r>
    </w:p>
    <w:p w14:paraId="6C27F81A">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_GB2312" w:hAnsi="仿宋_GB2312" w:eastAsia="仿宋_GB2312" w:cs="仿宋_GB2312"/>
          <w:b w:val="0"/>
          <w:bCs w:val="0"/>
          <w:spacing w:val="3"/>
          <w:sz w:val="32"/>
          <w:szCs w:val="32"/>
          <w:lang w:val="en-US" w:eastAsia="zh-CN"/>
        </w:rPr>
      </w:pPr>
      <w:r>
        <w:rPr>
          <w:rFonts w:hint="eastAsia" w:ascii="仿宋_GB2312" w:hAnsi="仿宋_GB2312" w:eastAsia="仿宋_GB2312" w:cs="仿宋_GB2312"/>
          <w:b w:val="0"/>
          <w:bCs w:val="0"/>
          <w:spacing w:val="3"/>
          <w:sz w:val="32"/>
          <w:szCs w:val="32"/>
          <w:lang w:val="en-US" w:eastAsia="zh-CN"/>
        </w:rPr>
        <w:t>资金可用于口蹄疫、H5+H7高致病性禽流感、小反刍兽疫、布病等动物疫病强制免疫疫苗采购、规模养殖场强制免疫“先打后补”疫苗补助，强制免疫疫苗注射和购买动物防疫社会化服务补助，重大动物疫病和重点人兽共患病监测和净化现场采样、实验室检测补助，先打后补等强制免疫效果监测评价和人员防护所需检验检测试剂、防护用具等环节。</w:t>
      </w:r>
    </w:p>
    <w:p w14:paraId="146CB958">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黑体" w:hAnsi="黑体" w:eastAsia="黑体" w:cs="黑体"/>
          <w:b w:val="0"/>
          <w:bCs w:val="0"/>
          <w:spacing w:val="3"/>
          <w:sz w:val="32"/>
          <w:szCs w:val="32"/>
          <w:lang w:val="en-US" w:eastAsia="zh-CN"/>
        </w:rPr>
      </w:pPr>
      <w:r>
        <w:rPr>
          <w:rFonts w:hint="eastAsia" w:ascii="黑体" w:hAnsi="黑体" w:eastAsia="黑体" w:cs="黑体"/>
          <w:b w:val="0"/>
          <w:bCs w:val="0"/>
          <w:spacing w:val="3"/>
          <w:sz w:val="32"/>
          <w:szCs w:val="32"/>
          <w:lang w:val="en-US" w:eastAsia="zh-CN"/>
        </w:rPr>
        <w:t>二、养殖环节无害化处理</w:t>
      </w:r>
    </w:p>
    <w:p w14:paraId="797EEF3D">
      <w:pPr>
        <w:keepNext w:val="0"/>
        <w:keepLines w:val="0"/>
        <w:pageBreakBefore w:val="0"/>
        <w:widowControl w:val="0"/>
        <w:kinsoku/>
        <w:wordWrap/>
        <w:overflowPunct/>
        <w:topLinePunct w:val="0"/>
        <w:autoSpaceDE/>
        <w:autoSpaceDN/>
        <w:bidi w:val="0"/>
        <w:adjustRightInd/>
        <w:snapToGrid/>
        <w:spacing w:line="560" w:lineRule="exact"/>
        <w:ind w:firstLine="655" w:firstLineChars="200"/>
        <w:textAlignment w:val="auto"/>
        <w:rPr>
          <w:rFonts w:hint="eastAsia" w:ascii="楷体_GB2312" w:hAnsi="楷体_GB2312" w:eastAsia="楷体_GB2312" w:cs="楷体_GB2312"/>
          <w:b/>
          <w:bCs/>
          <w:spacing w:val="3"/>
          <w:sz w:val="32"/>
          <w:szCs w:val="32"/>
          <w:lang w:val="en-US" w:eastAsia="zh-CN"/>
        </w:rPr>
      </w:pPr>
      <w:r>
        <w:rPr>
          <w:rFonts w:hint="eastAsia" w:ascii="楷体_GB2312" w:hAnsi="楷体_GB2312" w:eastAsia="楷体_GB2312" w:cs="楷体_GB2312"/>
          <w:b/>
          <w:bCs/>
          <w:spacing w:val="3"/>
          <w:sz w:val="32"/>
          <w:szCs w:val="32"/>
          <w:lang w:val="en-US" w:eastAsia="zh-CN"/>
        </w:rPr>
        <w:t>(一)建设内容</w:t>
      </w:r>
    </w:p>
    <w:p w14:paraId="089612B5">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_GB2312" w:hAnsi="仿宋_GB2312" w:eastAsia="仿宋_GB2312" w:cs="仿宋_GB2312"/>
          <w:b w:val="0"/>
          <w:bCs w:val="0"/>
          <w:spacing w:val="3"/>
          <w:sz w:val="32"/>
          <w:szCs w:val="32"/>
          <w:lang w:val="en-US" w:eastAsia="zh-CN"/>
        </w:rPr>
      </w:pPr>
      <w:r>
        <w:rPr>
          <w:rFonts w:hint="eastAsia" w:ascii="仿宋_GB2312" w:hAnsi="仿宋_GB2312" w:eastAsia="仿宋_GB2312" w:cs="仿宋_GB2312"/>
          <w:b w:val="0"/>
          <w:bCs w:val="0"/>
          <w:spacing w:val="3"/>
          <w:sz w:val="32"/>
          <w:szCs w:val="32"/>
          <w:lang w:val="en-US" w:eastAsia="zh-CN"/>
        </w:rPr>
        <w:t>按照“谁处理、补给谁”的原则，对承担养殖环节病死猪无害化处理任务的养殖场户、专业无害化处理中心等实施者给予补助，要求严格按照《病死及病害动物无害化处理规范》进行处理，引导科学安全处理病死猪，确保不发生大规模随意抛弃病死猪事件。从事畜禽经营、运输的单位和个人应当委托就近的病死畜禽无害化处理场对经营、运输过程中的病死畜禽进行处理，所需费用由货主承担，不得申请使用补助资金。</w:t>
      </w:r>
    </w:p>
    <w:p w14:paraId="607A973C">
      <w:pPr>
        <w:keepNext w:val="0"/>
        <w:keepLines w:val="0"/>
        <w:pageBreakBefore w:val="0"/>
        <w:widowControl w:val="0"/>
        <w:kinsoku/>
        <w:wordWrap/>
        <w:overflowPunct/>
        <w:topLinePunct w:val="0"/>
        <w:autoSpaceDE/>
        <w:autoSpaceDN/>
        <w:bidi w:val="0"/>
        <w:adjustRightInd/>
        <w:snapToGrid/>
        <w:spacing w:line="560" w:lineRule="exact"/>
        <w:ind w:firstLine="655" w:firstLineChars="200"/>
        <w:textAlignment w:val="auto"/>
        <w:rPr>
          <w:rFonts w:hint="eastAsia" w:ascii="楷体_GB2312" w:hAnsi="楷体_GB2312" w:eastAsia="楷体_GB2312" w:cs="楷体_GB2312"/>
          <w:b/>
          <w:bCs/>
          <w:spacing w:val="3"/>
          <w:sz w:val="32"/>
          <w:szCs w:val="32"/>
          <w:lang w:val="en-US" w:eastAsia="zh-CN"/>
        </w:rPr>
      </w:pPr>
      <w:r>
        <w:rPr>
          <w:rFonts w:hint="eastAsia" w:ascii="楷体_GB2312" w:hAnsi="楷体_GB2312" w:eastAsia="楷体_GB2312" w:cs="楷体_GB2312"/>
          <w:b/>
          <w:bCs/>
          <w:spacing w:val="3"/>
          <w:sz w:val="32"/>
          <w:szCs w:val="32"/>
          <w:lang w:val="en-US" w:eastAsia="zh-CN"/>
        </w:rPr>
        <w:t>(二)补助对象及标准</w:t>
      </w:r>
    </w:p>
    <w:p w14:paraId="7359E989">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_GB2312" w:hAnsi="仿宋_GB2312" w:eastAsia="仿宋_GB2312" w:cs="仿宋_GB2312"/>
          <w:b w:val="0"/>
          <w:bCs w:val="0"/>
          <w:spacing w:val="3"/>
          <w:sz w:val="32"/>
          <w:szCs w:val="32"/>
          <w:lang w:val="en-US" w:eastAsia="zh-CN"/>
        </w:rPr>
      </w:pPr>
      <w:r>
        <w:rPr>
          <w:rFonts w:hint="eastAsia" w:ascii="仿宋_GB2312" w:hAnsi="仿宋_GB2312" w:eastAsia="仿宋_GB2312" w:cs="仿宋_GB2312"/>
          <w:b w:val="0"/>
          <w:bCs w:val="0"/>
          <w:spacing w:val="3"/>
          <w:sz w:val="32"/>
          <w:szCs w:val="32"/>
          <w:lang w:val="en-US" w:eastAsia="zh-CN"/>
        </w:rPr>
        <w:t>补助我区10万元。补助对象为承担养殖环节病死猪无害化处理任务的养殖场户、专业无害化处理中心等实施者，优先补助承担社会化服务的专业病死畜禽无害化处理中心。补助资金不得用于因重大动物疫病扑杀畜禽、屠宰环节病死畜禽和病害畜禽产品无害化处理补助。</w:t>
      </w:r>
    </w:p>
    <w:p w14:paraId="1206A74D">
      <w:pPr>
        <w:keepNext w:val="0"/>
        <w:keepLines w:val="0"/>
        <w:pageBreakBefore w:val="0"/>
        <w:widowControl w:val="0"/>
        <w:kinsoku/>
        <w:wordWrap/>
        <w:overflowPunct/>
        <w:topLinePunct w:val="0"/>
        <w:autoSpaceDE/>
        <w:autoSpaceDN/>
        <w:bidi w:val="0"/>
        <w:adjustRightInd/>
        <w:snapToGrid/>
        <w:spacing w:line="560" w:lineRule="exact"/>
        <w:ind w:firstLine="655" w:firstLineChars="200"/>
        <w:textAlignment w:val="auto"/>
        <w:rPr>
          <w:rFonts w:hint="eastAsia" w:ascii="楷体_GB2312" w:hAnsi="楷体_GB2312" w:eastAsia="楷体_GB2312" w:cs="楷体_GB2312"/>
          <w:b/>
          <w:bCs/>
          <w:spacing w:val="3"/>
          <w:sz w:val="32"/>
          <w:szCs w:val="32"/>
          <w:lang w:val="en-US" w:eastAsia="zh-CN"/>
        </w:rPr>
      </w:pPr>
      <w:r>
        <w:rPr>
          <w:rFonts w:hint="eastAsia" w:ascii="楷体_GB2312" w:hAnsi="楷体_GB2312" w:eastAsia="楷体_GB2312" w:cs="楷体_GB2312"/>
          <w:b/>
          <w:bCs/>
          <w:spacing w:val="3"/>
          <w:sz w:val="32"/>
          <w:szCs w:val="32"/>
          <w:lang w:val="en-US" w:eastAsia="zh-CN"/>
        </w:rPr>
        <w:t>(三)资金实施要求</w:t>
      </w:r>
    </w:p>
    <w:p w14:paraId="58D1B232">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_GB2312" w:hAnsi="仿宋_GB2312" w:eastAsia="仿宋_GB2312" w:cs="仿宋_GB2312"/>
          <w:b w:val="0"/>
          <w:bCs w:val="0"/>
          <w:spacing w:val="3"/>
          <w:sz w:val="32"/>
          <w:szCs w:val="32"/>
          <w:lang w:val="en-US" w:eastAsia="zh-CN"/>
        </w:rPr>
      </w:pPr>
      <w:r>
        <w:rPr>
          <w:rFonts w:hint="eastAsia" w:ascii="仿宋_GB2312" w:hAnsi="仿宋_GB2312" w:eastAsia="仿宋_GB2312" w:cs="仿宋_GB2312"/>
          <w:b w:val="0"/>
          <w:bCs w:val="0"/>
          <w:spacing w:val="3"/>
          <w:sz w:val="32"/>
          <w:szCs w:val="32"/>
          <w:lang w:val="en-US" w:eastAsia="zh-CN"/>
        </w:rPr>
        <w:t>补助资金采取先处理后补助的方式进行实施，区防疫站要依据2023年养殖环节病死猪处理量，结合全区生猪养殖情况、专业无害化处理场处理量等因素，及时对承担无害化处理的主体予以兑付。要落实属地管理责任，科学统筹，包干使用中央和省级补助资金，原则上应在资金下达3个月内给付到位，并采取定期结算等方式及时发放补助，不得无故拖欠无害化处理企业补助资金，确保无害化处理体系有效运行。</w:t>
      </w:r>
    </w:p>
    <w:p w14:paraId="660689D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pacing w:val="3"/>
          <w:sz w:val="32"/>
          <w:szCs w:val="32"/>
          <w:lang w:val="en-US" w:eastAsia="zh-CN"/>
        </w:rPr>
      </w:pPr>
    </w:p>
    <w:p w14:paraId="12DB5E0C">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_GB2312" w:hAnsi="仿宋_GB2312" w:eastAsia="仿宋_GB2312" w:cs="仿宋_GB2312"/>
          <w:b w:val="0"/>
          <w:bCs w:val="0"/>
          <w:spacing w:val="3"/>
          <w:sz w:val="32"/>
          <w:szCs w:val="32"/>
          <w:lang w:val="en-US" w:eastAsia="zh-CN"/>
        </w:rPr>
      </w:pPr>
      <w:r>
        <w:rPr>
          <w:rFonts w:hint="eastAsia" w:ascii="仿宋_GB2312" w:hAnsi="仿宋_GB2312" w:eastAsia="仿宋_GB2312" w:cs="仿宋_GB2312"/>
          <w:b w:val="0"/>
          <w:bCs w:val="0"/>
          <w:spacing w:val="3"/>
          <w:sz w:val="32"/>
          <w:szCs w:val="32"/>
          <w:lang w:val="en-US" w:eastAsia="zh-CN"/>
        </w:rPr>
        <w:t>附件：2024年中央农业防灾减灾和水利救灾资金(动物防疫补助)分配表</w:t>
      </w:r>
    </w:p>
    <w:p w14:paraId="7C36674C">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_GB2312" w:hAnsi="仿宋_GB2312" w:eastAsia="仿宋_GB2312" w:cs="仿宋_GB2312"/>
          <w:b w:val="0"/>
          <w:bCs w:val="0"/>
          <w:spacing w:val="3"/>
          <w:sz w:val="32"/>
          <w:szCs w:val="32"/>
          <w:lang w:val="en-US" w:eastAsia="zh-CN"/>
        </w:rPr>
      </w:pPr>
    </w:p>
    <w:p w14:paraId="624ED28E">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_GB2312" w:hAnsi="仿宋_GB2312" w:eastAsia="仿宋_GB2312" w:cs="仿宋_GB2312"/>
          <w:b w:val="0"/>
          <w:bCs w:val="0"/>
          <w:spacing w:val="3"/>
          <w:sz w:val="32"/>
          <w:szCs w:val="32"/>
          <w:lang w:val="en-US" w:eastAsia="zh-CN"/>
        </w:rPr>
      </w:pPr>
    </w:p>
    <w:p w14:paraId="28D33849">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_GB2312" w:hAnsi="仿宋_GB2312" w:eastAsia="仿宋_GB2312" w:cs="仿宋_GB2312"/>
          <w:b w:val="0"/>
          <w:bCs w:val="0"/>
          <w:spacing w:val="3"/>
          <w:sz w:val="32"/>
          <w:szCs w:val="32"/>
          <w:lang w:val="en-US" w:eastAsia="zh-CN"/>
        </w:rPr>
      </w:pPr>
    </w:p>
    <w:p w14:paraId="452BADB7">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_GB2312" w:hAnsi="仿宋_GB2312" w:eastAsia="仿宋_GB2312" w:cs="仿宋_GB2312"/>
          <w:b w:val="0"/>
          <w:bCs w:val="0"/>
          <w:spacing w:val="3"/>
          <w:sz w:val="32"/>
          <w:szCs w:val="32"/>
          <w:lang w:val="en-US" w:eastAsia="zh-CN"/>
        </w:rPr>
      </w:pPr>
    </w:p>
    <w:p w14:paraId="1FA69CCB">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_GB2312" w:hAnsi="仿宋_GB2312" w:eastAsia="仿宋_GB2312" w:cs="仿宋_GB2312"/>
          <w:b w:val="0"/>
          <w:bCs w:val="0"/>
          <w:spacing w:val="3"/>
          <w:sz w:val="32"/>
          <w:szCs w:val="32"/>
          <w:lang w:val="en-US" w:eastAsia="zh-CN"/>
        </w:rPr>
      </w:pPr>
    </w:p>
    <w:p w14:paraId="61124277">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_GB2312" w:hAnsi="仿宋_GB2312" w:eastAsia="仿宋_GB2312" w:cs="仿宋_GB2312"/>
          <w:b w:val="0"/>
          <w:bCs w:val="0"/>
          <w:spacing w:val="3"/>
          <w:sz w:val="32"/>
          <w:szCs w:val="32"/>
          <w:lang w:val="en-US" w:eastAsia="zh-CN"/>
        </w:rPr>
      </w:pPr>
    </w:p>
    <w:p w14:paraId="1409D0E2">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_GB2312" w:hAnsi="仿宋_GB2312" w:eastAsia="仿宋_GB2312" w:cs="仿宋_GB2312"/>
          <w:b w:val="0"/>
          <w:bCs w:val="0"/>
          <w:spacing w:val="3"/>
          <w:sz w:val="32"/>
          <w:szCs w:val="32"/>
          <w:lang w:val="en-US" w:eastAsia="zh-CN"/>
        </w:rPr>
      </w:pPr>
    </w:p>
    <w:p w14:paraId="0438491E">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_GB2312" w:hAnsi="仿宋_GB2312" w:eastAsia="仿宋_GB2312" w:cs="仿宋_GB2312"/>
          <w:b w:val="0"/>
          <w:bCs w:val="0"/>
          <w:spacing w:val="3"/>
          <w:sz w:val="32"/>
          <w:szCs w:val="32"/>
          <w:lang w:val="en-US" w:eastAsia="zh-CN"/>
        </w:rPr>
      </w:pPr>
    </w:p>
    <w:p w14:paraId="13619A79">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_GB2312" w:hAnsi="仿宋_GB2312" w:eastAsia="仿宋_GB2312" w:cs="仿宋_GB2312"/>
          <w:b w:val="0"/>
          <w:bCs w:val="0"/>
          <w:spacing w:val="3"/>
          <w:sz w:val="32"/>
          <w:szCs w:val="32"/>
          <w:lang w:val="en-US" w:eastAsia="zh-CN"/>
        </w:rPr>
      </w:pPr>
    </w:p>
    <w:p w14:paraId="5DF6710F">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_GB2312" w:hAnsi="仿宋_GB2312" w:eastAsia="仿宋_GB2312" w:cs="仿宋_GB2312"/>
          <w:b w:val="0"/>
          <w:bCs w:val="0"/>
          <w:spacing w:val="3"/>
          <w:sz w:val="32"/>
          <w:szCs w:val="32"/>
          <w:lang w:val="en-US" w:eastAsia="zh-CN"/>
        </w:rPr>
      </w:pPr>
    </w:p>
    <w:p w14:paraId="5BC624C6">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_GB2312" w:hAnsi="仿宋_GB2312" w:eastAsia="仿宋_GB2312" w:cs="仿宋_GB2312"/>
          <w:b w:val="0"/>
          <w:bCs w:val="0"/>
          <w:spacing w:val="3"/>
          <w:sz w:val="32"/>
          <w:szCs w:val="32"/>
          <w:lang w:val="en-US" w:eastAsia="zh-CN"/>
        </w:rPr>
      </w:pPr>
    </w:p>
    <w:p w14:paraId="05B200B4">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_GB2312" w:hAnsi="仿宋_GB2312" w:eastAsia="仿宋_GB2312" w:cs="仿宋_GB2312"/>
          <w:b w:val="0"/>
          <w:bCs w:val="0"/>
          <w:spacing w:val="3"/>
          <w:sz w:val="32"/>
          <w:szCs w:val="32"/>
          <w:lang w:val="en-US" w:eastAsia="zh-CN"/>
        </w:rPr>
      </w:pPr>
    </w:p>
    <w:p w14:paraId="7F42C34D">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_GB2312" w:hAnsi="仿宋_GB2312" w:eastAsia="仿宋_GB2312" w:cs="仿宋_GB2312"/>
          <w:b w:val="0"/>
          <w:bCs w:val="0"/>
          <w:spacing w:val="3"/>
          <w:sz w:val="32"/>
          <w:szCs w:val="32"/>
          <w:lang w:val="en-US" w:eastAsia="zh-CN"/>
        </w:rPr>
      </w:pPr>
    </w:p>
    <w:p w14:paraId="6F434AB1">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_GB2312" w:hAnsi="仿宋_GB2312" w:eastAsia="仿宋_GB2312" w:cs="仿宋_GB2312"/>
          <w:b w:val="0"/>
          <w:bCs w:val="0"/>
          <w:spacing w:val="3"/>
          <w:sz w:val="32"/>
          <w:szCs w:val="32"/>
          <w:lang w:val="en-US" w:eastAsia="zh-CN"/>
        </w:rPr>
      </w:pPr>
    </w:p>
    <w:p w14:paraId="5AF088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pacing w:val="3"/>
          <w:sz w:val="32"/>
          <w:szCs w:val="32"/>
          <w:lang w:val="en-US" w:eastAsia="zh-CN"/>
        </w:rPr>
      </w:pPr>
      <w:r>
        <w:rPr>
          <w:rFonts w:hint="eastAsia" w:ascii="黑体" w:hAnsi="黑体" w:eastAsia="黑体" w:cs="黑体"/>
          <w:b w:val="0"/>
          <w:bCs w:val="0"/>
          <w:spacing w:val="3"/>
          <w:sz w:val="32"/>
          <w:szCs w:val="32"/>
          <w:lang w:val="en-US" w:eastAsia="zh-CN"/>
        </w:rPr>
        <w:t>附件：</w:t>
      </w:r>
    </w:p>
    <w:p w14:paraId="5BE5EC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pacing w:val="3"/>
          <w:sz w:val="32"/>
          <w:szCs w:val="32"/>
          <w:lang w:val="en-US" w:eastAsia="zh-CN"/>
        </w:rPr>
      </w:pPr>
    </w:p>
    <w:p w14:paraId="600D79C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pacing w:val="3"/>
          <w:sz w:val="44"/>
          <w:szCs w:val="44"/>
          <w:lang w:val="en-US" w:eastAsia="zh-CN"/>
        </w:rPr>
      </w:pPr>
      <w:r>
        <w:rPr>
          <w:rFonts w:hint="eastAsia" w:ascii="方正小标宋简体" w:hAnsi="方正小标宋简体" w:eastAsia="方正小标宋简体" w:cs="方正小标宋简体"/>
          <w:b w:val="0"/>
          <w:bCs w:val="0"/>
          <w:spacing w:val="3"/>
          <w:sz w:val="44"/>
          <w:szCs w:val="44"/>
          <w:lang w:val="en-US" w:eastAsia="zh-CN"/>
        </w:rPr>
        <w:t>2024年中央农业防灾减灾和水利救灾资金(动物防疫补助)分配表</w:t>
      </w:r>
    </w:p>
    <w:p w14:paraId="01C1E0AD">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楷体_GB2312" w:hAnsi="楷体_GB2312" w:eastAsia="楷体_GB2312" w:cs="楷体_GB2312"/>
          <w:b w:val="0"/>
          <w:bCs w:val="0"/>
          <w:spacing w:val="3"/>
          <w:sz w:val="24"/>
          <w:szCs w:val="24"/>
          <w:lang w:val="en-US" w:eastAsia="zh-CN"/>
        </w:rPr>
      </w:pPr>
      <w:r>
        <w:rPr>
          <w:rFonts w:hint="eastAsia" w:ascii="楷体_GB2312" w:hAnsi="楷体_GB2312" w:eastAsia="楷体_GB2312" w:cs="楷体_GB2312"/>
          <w:b w:val="0"/>
          <w:bCs w:val="0"/>
          <w:spacing w:val="3"/>
          <w:sz w:val="24"/>
          <w:szCs w:val="24"/>
          <w:lang w:val="en-US" w:eastAsia="zh-CN"/>
        </w:rPr>
        <w:t>单位：万元</w:t>
      </w:r>
    </w:p>
    <w:tbl>
      <w:tblPr>
        <w:tblStyle w:val="4"/>
        <w:tblW w:w="98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719"/>
        <w:gridCol w:w="839"/>
        <w:gridCol w:w="749"/>
        <w:gridCol w:w="1149"/>
        <w:gridCol w:w="1279"/>
        <w:gridCol w:w="1618"/>
        <w:gridCol w:w="1418"/>
        <w:gridCol w:w="1164"/>
      </w:tblGrid>
      <w:tr w14:paraId="61825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34" w:type="dxa"/>
            <w:vMerge w:val="restart"/>
            <w:tcBorders>
              <w:bottom w:val="nil"/>
            </w:tcBorders>
            <w:vAlign w:val="top"/>
          </w:tcPr>
          <w:p w14:paraId="4A5438C0">
            <w:pPr>
              <w:spacing w:line="245" w:lineRule="auto"/>
              <w:rPr>
                <w:rFonts w:hint="eastAsia" w:ascii="黑体" w:hAnsi="黑体" w:eastAsia="黑体" w:cs="黑体"/>
                <w:b w:val="0"/>
                <w:bCs w:val="0"/>
                <w:sz w:val="24"/>
                <w:szCs w:val="24"/>
              </w:rPr>
            </w:pPr>
          </w:p>
          <w:p w14:paraId="1AB32A92">
            <w:pPr>
              <w:spacing w:line="245" w:lineRule="auto"/>
              <w:rPr>
                <w:rFonts w:hint="eastAsia" w:ascii="黑体" w:hAnsi="黑体" w:eastAsia="黑体" w:cs="黑体"/>
                <w:b w:val="0"/>
                <w:bCs w:val="0"/>
                <w:sz w:val="24"/>
                <w:szCs w:val="24"/>
              </w:rPr>
            </w:pPr>
          </w:p>
          <w:p w14:paraId="68D27E38">
            <w:pPr>
              <w:spacing w:line="246" w:lineRule="auto"/>
              <w:rPr>
                <w:rFonts w:hint="eastAsia" w:ascii="黑体" w:hAnsi="黑体" w:eastAsia="黑体" w:cs="黑体"/>
                <w:b w:val="0"/>
                <w:bCs w:val="0"/>
                <w:sz w:val="24"/>
                <w:szCs w:val="24"/>
              </w:rPr>
            </w:pPr>
          </w:p>
          <w:p w14:paraId="1244651B">
            <w:pPr>
              <w:spacing w:line="246" w:lineRule="auto"/>
              <w:rPr>
                <w:rFonts w:hint="eastAsia" w:ascii="黑体" w:hAnsi="黑体" w:eastAsia="黑体" w:cs="黑体"/>
                <w:b w:val="0"/>
                <w:bCs w:val="0"/>
                <w:sz w:val="24"/>
                <w:szCs w:val="24"/>
              </w:rPr>
            </w:pPr>
          </w:p>
          <w:p w14:paraId="10BDE11C">
            <w:pPr>
              <w:pStyle w:val="5"/>
              <w:spacing w:before="78" w:line="224" w:lineRule="auto"/>
              <w:ind w:left="218"/>
              <w:rPr>
                <w:rFonts w:hint="eastAsia" w:ascii="黑体" w:hAnsi="黑体" w:eastAsia="黑体" w:cs="黑体"/>
                <w:b w:val="0"/>
                <w:bCs w:val="0"/>
                <w:sz w:val="24"/>
                <w:szCs w:val="24"/>
              </w:rPr>
            </w:pPr>
            <w:r>
              <w:rPr>
                <w:rFonts w:hint="eastAsia" w:ascii="黑体" w:hAnsi="黑体" w:eastAsia="黑体" w:cs="黑体"/>
                <w:b w:val="0"/>
                <w:bCs w:val="0"/>
                <w:spacing w:val="4"/>
                <w:sz w:val="24"/>
                <w:szCs w:val="24"/>
              </w:rPr>
              <w:t>县区</w:t>
            </w:r>
          </w:p>
        </w:tc>
        <w:tc>
          <w:tcPr>
            <w:tcW w:w="719" w:type="dxa"/>
            <w:vMerge w:val="restart"/>
            <w:tcBorders>
              <w:bottom w:val="nil"/>
            </w:tcBorders>
            <w:vAlign w:val="top"/>
          </w:tcPr>
          <w:p w14:paraId="29D9B1AB">
            <w:pPr>
              <w:spacing w:line="244" w:lineRule="auto"/>
              <w:rPr>
                <w:rFonts w:hint="eastAsia" w:ascii="黑体" w:hAnsi="黑体" w:eastAsia="黑体" w:cs="黑体"/>
                <w:b w:val="0"/>
                <w:bCs w:val="0"/>
                <w:sz w:val="24"/>
                <w:szCs w:val="24"/>
              </w:rPr>
            </w:pPr>
          </w:p>
          <w:p w14:paraId="55CABB75">
            <w:pPr>
              <w:spacing w:line="244" w:lineRule="auto"/>
              <w:rPr>
                <w:rFonts w:hint="eastAsia" w:ascii="黑体" w:hAnsi="黑体" w:eastAsia="黑体" w:cs="黑体"/>
                <w:b w:val="0"/>
                <w:bCs w:val="0"/>
                <w:sz w:val="24"/>
                <w:szCs w:val="24"/>
              </w:rPr>
            </w:pPr>
          </w:p>
          <w:p w14:paraId="0898813D">
            <w:pPr>
              <w:spacing w:line="245" w:lineRule="auto"/>
              <w:rPr>
                <w:rFonts w:hint="eastAsia" w:ascii="黑体" w:hAnsi="黑体" w:eastAsia="黑体" w:cs="黑体"/>
                <w:b w:val="0"/>
                <w:bCs w:val="0"/>
                <w:sz w:val="24"/>
                <w:szCs w:val="24"/>
              </w:rPr>
            </w:pPr>
          </w:p>
          <w:p w14:paraId="00E58617">
            <w:pPr>
              <w:spacing w:line="245" w:lineRule="auto"/>
              <w:rPr>
                <w:rFonts w:hint="eastAsia" w:ascii="黑体" w:hAnsi="黑体" w:eastAsia="黑体" w:cs="黑体"/>
                <w:b w:val="0"/>
                <w:bCs w:val="0"/>
                <w:sz w:val="24"/>
                <w:szCs w:val="24"/>
              </w:rPr>
            </w:pPr>
          </w:p>
          <w:p w14:paraId="3684B5EF">
            <w:pPr>
              <w:pStyle w:val="5"/>
              <w:spacing w:before="78" w:line="221" w:lineRule="auto"/>
              <w:ind w:left="114"/>
              <w:rPr>
                <w:rFonts w:hint="eastAsia" w:ascii="黑体" w:hAnsi="黑体" w:eastAsia="黑体" w:cs="黑体"/>
                <w:b w:val="0"/>
                <w:bCs w:val="0"/>
                <w:sz w:val="24"/>
                <w:szCs w:val="24"/>
              </w:rPr>
            </w:pPr>
            <w:r>
              <w:rPr>
                <w:rFonts w:hint="eastAsia" w:ascii="黑体" w:hAnsi="黑体" w:eastAsia="黑体" w:cs="黑体"/>
                <w:b w:val="0"/>
                <w:bCs w:val="0"/>
                <w:spacing w:val="-6"/>
                <w:sz w:val="24"/>
                <w:szCs w:val="24"/>
              </w:rPr>
              <w:t>合计</w:t>
            </w:r>
          </w:p>
        </w:tc>
        <w:tc>
          <w:tcPr>
            <w:tcW w:w="839" w:type="dxa"/>
            <w:vMerge w:val="restart"/>
            <w:tcBorders>
              <w:bottom w:val="nil"/>
            </w:tcBorders>
            <w:vAlign w:val="top"/>
          </w:tcPr>
          <w:p w14:paraId="62467B35">
            <w:pPr>
              <w:spacing w:line="262" w:lineRule="auto"/>
              <w:rPr>
                <w:rFonts w:hint="eastAsia" w:ascii="黑体" w:hAnsi="黑体" w:eastAsia="黑体" w:cs="黑体"/>
                <w:b w:val="0"/>
                <w:bCs w:val="0"/>
                <w:sz w:val="24"/>
                <w:szCs w:val="24"/>
              </w:rPr>
            </w:pPr>
          </w:p>
          <w:p w14:paraId="5C11D61C">
            <w:pPr>
              <w:spacing w:line="263" w:lineRule="auto"/>
              <w:rPr>
                <w:rFonts w:hint="eastAsia" w:ascii="黑体" w:hAnsi="黑体" w:eastAsia="黑体" w:cs="黑体"/>
                <w:b w:val="0"/>
                <w:bCs w:val="0"/>
                <w:sz w:val="24"/>
                <w:szCs w:val="24"/>
              </w:rPr>
            </w:pPr>
          </w:p>
          <w:p w14:paraId="0FCBDE73">
            <w:pPr>
              <w:spacing w:line="263" w:lineRule="auto"/>
              <w:rPr>
                <w:rFonts w:hint="eastAsia" w:ascii="黑体" w:hAnsi="黑体" w:eastAsia="黑体" w:cs="黑体"/>
                <w:b w:val="0"/>
                <w:bCs w:val="0"/>
                <w:sz w:val="24"/>
                <w:szCs w:val="24"/>
              </w:rPr>
            </w:pPr>
          </w:p>
          <w:p w14:paraId="2B951B7A">
            <w:pPr>
              <w:pStyle w:val="5"/>
              <w:spacing w:before="78" w:line="250" w:lineRule="auto"/>
              <w:ind w:left="175" w:right="183"/>
              <w:rPr>
                <w:rFonts w:hint="eastAsia" w:ascii="黑体" w:hAnsi="黑体" w:eastAsia="黑体" w:cs="黑体"/>
                <w:b w:val="0"/>
                <w:bCs w:val="0"/>
                <w:sz w:val="24"/>
                <w:szCs w:val="24"/>
              </w:rPr>
            </w:pPr>
            <w:r>
              <w:rPr>
                <w:rFonts w:hint="eastAsia" w:ascii="黑体" w:hAnsi="黑体" w:eastAsia="黑体" w:cs="黑体"/>
                <w:b w:val="0"/>
                <w:bCs w:val="0"/>
                <w:spacing w:val="-8"/>
                <w:sz w:val="24"/>
                <w:szCs w:val="24"/>
              </w:rPr>
              <w:t>提前</w:t>
            </w:r>
            <w:r>
              <w:rPr>
                <w:rFonts w:hint="eastAsia" w:ascii="黑体" w:hAnsi="黑体" w:eastAsia="黑体" w:cs="黑体"/>
                <w:b w:val="0"/>
                <w:bCs w:val="0"/>
                <w:spacing w:val="-11"/>
                <w:sz w:val="24"/>
                <w:szCs w:val="24"/>
              </w:rPr>
              <w:t>下达</w:t>
            </w:r>
          </w:p>
        </w:tc>
        <w:tc>
          <w:tcPr>
            <w:tcW w:w="749" w:type="dxa"/>
            <w:vMerge w:val="restart"/>
            <w:tcBorders>
              <w:bottom w:val="nil"/>
            </w:tcBorders>
            <w:vAlign w:val="top"/>
          </w:tcPr>
          <w:p w14:paraId="3AC98BC3">
            <w:pPr>
              <w:spacing w:line="262" w:lineRule="auto"/>
              <w:rPr>
                <w:rFonts w:hint="eastAsia" w:ascii="黑体" w:hAnsi="黑体" w:eastAsia="黑体" w:cs="黑体"/>
                <w:b w:val="0"/>
                <w:bCs w:val="0"/>
                <w:sz w:val="24"/>
                <w:szCs w:val="24"/>
              </w:rPr>
            </w:pPr>
          </w:p>
          <w:p w14:paraId="20519A17">
            <w:pPr>
              <w:spacing w:line="262" w:lineRule="auto"/>
              <w:rPr>
                <w:rFonts w:hint="eastAsia" w:ascii="黑体" w:hAnsi="黑体" w:eastAsia="黑体" w:cs="黑体"/>
                <w:b w:val="0"/>
                <w:bCs w:val="0"/>
                <w:sz w:val="24"/>
                <w:szCs w:val="24"/>
              </w:rPr>
            </w:pPr>
          </w:p>
          <w:p w14:paraId="4286716F">
            <w:pPr>
              <w:spacing w:line="263" w:lineRule="auto"/>
              <w:rPr>
                <w:rFonts w:hint="eastAsia" w:ascii="黑体" w:hAnsi="黑体" w:eastAsia="黑体" w:cs="黑体"/>
                <w:b w:val="0"/>
                <w:bCs w:val="0"/>
                <w:sz w:val="24"/>
                <w:szCs w:val="24"/>
              </w:rPr>
            </w:pPr>
          </w:p>
          <w:p w14:paraId="48AA8B4F">
            <w:pPr>
              <w:pStyle w:val="5"/>
              <w:spacing w:before="78" w:line="251" w:lineRule="auto"/>
              <w:ind w:left="126" w:right="142"/>
              <w:rPr>
                <w:rFonts w:hint="eastAsia" w:ascii="黑体" w:hAnsi="黑体" w:eastAsia="黑体" w:cs="黑体"/>
                <w:b w:val="0"/>
                <w:bCs w:val="0"/>
                <w:sz w:val="24"/>
                <w:szCs w:val="24"/>
              </w:rPr>
            </w:pPr>
            <w:r>
              <w:rPr>
                <w:rFonts w:hint="eastAsia" w:ascii="黑体" w:hAnsi="黑体" w:eastAsia="黑体" w:cs="黑体"/>
                <w:b w:val="0"/>
                <w:bCs w:val="0"/>
                <w:spacing w:val="-8"/>
                <w:sz w:val="24"/>
                <w:szCs w:val="24"/>
              </w:rPr>
              <w:t>本次</w:t>
            </w:r>
            <w:r>
              <w:rPr>
                <w:rFonts w:hint="eastAsia" w:ascii="黑体" w:hAnsi="黑体" w:eastAsia="黑体" w:cs="黑体"/>
                <w:b w:val="0"/>
                <w:bCs w:val="0"/>
                <w:spacing w:val="-11"/>
                <w:sz w:val="24"/>
                <w:szCs w:val="24"/>
              </w:rPr>
              <w:t>下达</w:t>
            </w:r>
          </w:p>
        </w:tc>
        <w:tc>
          <w:tcPr>
            <w:tcW w:w="5464" w:type="dxa"/>
            <w:gridSpan w:val="4"/>
            <w:vAlign w:val="top"/>
          </w:tcPr>
          <w:p w14:paraId="369DAF76">
            <w:pPr>
              <w:pStyle w:val="5"/>
              <w:spacing w:before="112" w:line="220" w:lineRule="auto"/>
              <w:ind w:left="1787"/>
              <w:rPr>
                <w:rFonts w:hint="eastAsia" w:ascii="黑体" w:hAnsi="黑体" w:eastAsia="黑体" w:cs="黑体"/>
                <w:b w:val="0"/>
                <w:bCs w:val="0"/>
                <w:sz w:val="24"/>
                <w:szCs w:val="24"/>
              </w:rPr>
            </w:pPr>
            <w:r>
              <w:rPr>
                <w:rFonts w:hint="eastAsia" w:ascii="黑体" w:hAnsi="黑体" w:eastAsia="黑体" w:cs="黑体"/>
                <w:b w:val="0"/>
                <w:bCs w:val="0"/>
                <w:spacing w:val="-2"/>
                <w:sz w:val="24"/>
                <w:szCs w:val="24"/>
              </w:rPr>
              <w:t>强制免疫补助经费</w:t>
            </w:r>
          </w:p>
        </w:tc>
        <w:tc>
          <w:tcPr>
            <w:tcW w:w="1164" w:type="dxa"/>
            <w:vMerge w:val="restart"/>
            <w:tcBorders>
              <w:bottom w:val="nil"/>
            </w:tcBorders>
            <w:vAlign w:val="top"/>
          </w:tcPr>
          <w:p w14:paraId="0B71C0E3">
            <w:pPr>
              <w:spacing w:line="430" w:lineRule="auto"/>
              <w:rPr>
                <w:rFonts w:hint="eastAsia" w:ascii="黑体" w:hAnsi="黑体" w:eastAsia="黑体" w:cs="黑体"/>
                <w:b w:val="0"/>
                <w:bCs w:val="0"/>
                <w:sz w:val="24"/>
                <w:szCs w:val="24"/>
              </w:rPr>
            </w:pPr>
          </w:p>
          <w:p w14:paraId="0FA1EFEF">
            <w:pPr>
              <w:pStyle w:val="5"/>
              <w:spacing w:before="78" w:line="263" w:lineRule="auto"/>
              <w:ind w:left="103" w:right="98"/>
              <w:jc w:val="both"/>
              <w:rPr>
                <w:rFonts w:hint="eastAsia" w:ascii="黑体" w:hAnsi="黑体" w:eastAsia="黑体" w:cs="黑体"/>
                <w:sz w:val="24"/>
                <w:szCs w:val="24"/>
              </w:rPr>
            </w:pPr>
            <w:r>
              <w:rPr>
                <w:rFonts w:hint="eastAsia" w:ascii="黑体" w:hAnsi="黑体" w:eastAsia="黑体" w:cs="黑体"/>
                <w:b w:val="0"/>
                <w:bCs w:val="0"/>
                <w:spacing w:val="-6"/>
                <w:sz w:val="24"/>
                <w:szCs w:val="24"/>
              </w:rPr>
              <w:t>养殖环节</w:t>
            </w:r>
            <w:r>
              <w:rPr>
                <w:rFonts w:hint="eastAsia" w:ascii="黑体" w:hAnsi="黑体" w:eastAsia="黑体" w:cs="黑体"/>
                <w:b w:val="0"/>
                <w:bCs w:val="0"/>
                <w:spacing w:val="-5"/>
                <w:sz w:val="24"/>
                <w:szCs w:val="24"/>
              </w:rPr>
              <w:t>病死猪无</w:t>
            </w:r>
            <w:r>
              <w:rPr>
                <w:rFonts w:hint="eastAsia" w:ascii="黑体" w:hAnsi="黑体" w:eastAsia="黑体" w:cs="黑体"/>
                <w:b w:val="0"/>
                <w:bCs w:val="0"/>
                <w:spacing w:val="-7"/>
                <w:sz w:val="24"/>
                <w:szCs w:val="24"/>
              </w:rPr>
              <w:t>害化处理</w:t>
            </w:r>
            <w:r>
              <w:rPr>
                <w:rFonts w:hint="eastAsia" w:ascii="黑体" w:hAnsi="黑体" w:eastAsia="黑体" w:cs="黑体"/>
                <w:b w:val="0"/>
                <w:bCs w:val="0"/>
                <w:spacing w:val="-5"/>
                <w:sz w:val="24"/>
                <w:szCs w:val="24"/>
              </w:rPr>
              <w:t>补助经费</w:t>
            </w:r>
          </w:p>
        </w:tc>
      </w:tr>
      <w:tr w14:paraId="44931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5" w:hRule="atLeast"/>
          <w:jc w:val="center"/>
        </w:trPr>
        <w:tc>
          <w:tcPr>
            <w:tcW w:w="934" w:type="dxa"/>
            <w:vMerge w:val="continue"/>
            <w:tcBorders>
              <w:top w:val="nil"/>
            </w:tcBorders>
            <w:vAlign w:val="top"/>
          </w:tcPr>
          <w:p w14:paraId="37294F37">
            <w:pPr>
              <w:rPr>
                <w:rFonts w:hint="eastAsia" w:ascii="黑体" w:hAnsi="黑体" w:eastAsia="黑体" w:cs="黑体"/>
                <w:b w:val="0"/>
                <w:bCs w:val="0"/>
                <w:sz w:val="24"/>
                <w:szCs w:val="24"/>
              </w:rPr>
            </w:pPr>
          </w:p>
        </w:tc>
        <w:tc>
          <w:tcPr>
            <w:tcW w:w="719" w:type="dxa"/>
            <w:vMerge w:val="continue"/>
            <w:tcBorders>
              <w:top w:val="nil"/>
            </w:tcBorders>
            <w:vAlign w:val="top"/>
          </w:tcPr>
          <w:p w14:paraId="6F8CD661">
            <w:pPr>
              <w:rPr>
                <w:rFonts w:hint="eastAsia" w:ascii="黑体" w:hAnsi="黑体" w:eastAsia="黑体" w:cs="黑体"/>
                <w:b w:val="0"/>
                <w:bCs w:val="0"/>
                <w:sz w:val="24"/>
                <w:szCs w:val="24"/>
              </w:rPr>
            </w:pPr>
          </w:p>
        </w:tc>
        <w:tc>
          <w:tcPr>
            <w:tcW w:w="839" w:type="dxa"/>
            <w:vMerge w:val="continue"/>
            <w:tcBorders>
              <w:top w:val="nil"/>
            </w:tcBorders>
            <w:vAlign w:val="top"/>
          </w:tcPr>
          <w:p w14:paraId="44E2BEC3">
            <w:pPr>
              <w:rPr>
                <w:rFonts w:hint="eastAsia" w:ascii="黑体" w:hAnsi="黑体" w:eastAsia="黑体" w:cs="黑体"/>
                <w:b w:val="0"/>
                <w:bCs w:val="0"/>
                <w:sz w:val="24"/>
                <w:szCs w:val="24"/>
              </w:rPr>
            </w:pPr>
          </w:p>
        </w:tc>
        <w:tc>
          <w:tcPr>
            <w:tcW w:w="749" w:type="dxa"/>
            <w:vMerge w:val="continue"/>
            <w:tcBorders>
              <w:top w:val="nil"/>
            </w:tcBorders>
            <w:vAlign w:val="top"/>
          </w:tcPr>
          <w:p w14:paraId="223C6EE5">
            <w:pPr>
              <w:rPr>
                <w:rFonts w:hint="eastAsia" w:ascii="黑体" w:hAnsi="黑体" w:eastAsia="黑体" w:cs="黑体"/>
                <w:b w:val="0"/>
                <w:bCs w:val="0"/>
                <w:sz w:val="24"/>
                <w:szCs w:val="24"/>
              </w:rPr>
            </w:pPr>
          </w:p>
        </w:tc>
        <w:tc>
          <w:tcPr>
            <w:tcW w:w="1149" w:type="dxa"/>
            <w:vAlign w:val="top"/>
          </w:tcPr>
          <w:p w14:paraId="0FBA36C5">
            <w:pPr>
              <w:pStyle w:val="5"/>
              <w:spacing w:before="308" w:line="220" w:lineRule="auto"/>
              <w:ind w:left="207"/>
              <w:rPr>
                <w:rFonts w:hint="eastAsia" w:ascii="黑体" w:hAnsi="黑体" w:eastAsia="黑体" w:cs="黑体"/>
                <w:b w:val="0"/>
                <w:bCs w:val="0"/>
                <w:sz w:val="24"/>
                <w:szCs w:val="24"/>
              </w:rPr>
            </w:pPr>
            <w:r>
              <w:rPr>
                <w:rFonts w:hint="eastAsia" w:ascii="黑体" w:hAnsi="黑体" w:eastAsia="黑体" w:cs="黑体"/>
                <w:b w:val="0"/>
                <w:bCs w:val="0"/>
                <w:spacing w:val="-6"/>
                <w:sz w:val="24"/>
                <w:szCs w:val="24"/>
              </w:rPr>
              <w:t>强制免</w:t>
            </w:r>
          </w:p>
          <w:p w14:paraId="60F72324">
            <w:pPr>
              <w:pStyle w:val="5"/>
              <w:spacing w:before="33" w:line="220" w:lineRule="auto"/>
              <w:ind w:left="207"/>
              <w:rPr>
                <w:rFonts w:hint="eastAsia" w:ascii="黑体" w:hAnsi="黑体" w:eastAsia="黑体" w:cs="黑体"/>
                <w:b w:val="0"/>
                <w:bCs w:val="0"/>
                <w:sz w:val="24"/>
                <w:szCs w:val="24"/>
              </w:rPr>
            </w:pPr>
            <w:r>
              <w:rPr>
                <w:rFonts w:hint="eastAsia" w:ascii="黑体" w:hAnsi="黑体" w:eastAsia="黑体" w:cs="黑体"/>
                <w:b w:val="0"/>
                <w:bCs w:val="0"/>
                <w:spacing w:val="-5"/>
                <w:sz w:val="24"/>
                <w:szCs w:val="24"/>
              </w:rPr>
              <w:t>疫疫苗</w:t>
            </w:r>
          </w:p>
          <w:p w14:paraId="58E756A4">
            <w:pPr>
              <w:pStyle w:val="5"/>
              <w:spacing w:before="84" w:line="220" w:lineRule="auto"/>
              <w:ind w:left="207"/>
              <w:rPr>
                <w:rFonts w:hint="eastAsia" w:ascii="黑体" w:hAnsi="黑体" w:eastAsia="黑体" w:cs="黑体"/>
                <w:b w:val="0"/>
                <w:bCs w:val="0"/>
                <w:sz w:val="24"/>
                <w:szCs w:val="24"/>
              </w:rPr>
            </w:pPr>
            <w:r>
              <w:rPr>
                <w:rFonts w:hint="eastAsia" w:ascii="黑体" w:hAnsi="黑体" w:eastAsia="黑体" w:cs="黑体"/>
                <w:b w:val="0"/>
                <w:bCs w:val="0"/>
                <w:spacing w:val="-5"/>
                <w:sz w:val="24"/>
                <w:szCs w:val="24"/>
              </w:rPr>
              <w:t>补助经</w:t>
            </w:r>
          </w:p>
          <w:p w14:paraId="4E5B3F22">
            <w:pPr>
              <w:pStyle w:val="5"/>
              <w:spacing w:before="54" w:line="220" w:lineRule="auto"/>
              <w:ind w:left="447"/>
              <w:rPr>
                <w:rFonts w:hint="eastAsia" w:ascii="黑体" w:hAnsi="黑体" w:eastAsia="黑体" w:cs="黑体"/>
                <w:b w:val="0"/>
                <w:bCs w:val="0"/>
                <w:sz w:val="24"/>
                <w:szCs w:val="24"/>
              </w:rPr>
            </w:pPr>
            <w:r>
              <w:rPr>
                <w:rFonts w:hint="eastAsia" w:ascii="黑体" w:hAnsi="黑体" w:eastAsia="黑体" w:cs="黑体"/>
                <w:b w:val="0"/>
                <w:bCs w:val="0"/>
                <w:spacing w:val="-3"/>
                <w:sz w:val="24"/>
                <w:szCs w:val="24"/>
              </w:rPr>
              <w:t>费</w:t>
            </w:r>
          </w:p>
        </w:tc>
        <w:tc>
          <w:tcPr>
            <w:tcW w:w="1279" w:type="dxa"/>
            <w:vAlign w:val="top"/>
          </w:tcPr>
          <w:p w14:paraId="4474284B">
            <w:pPr>
              <w:spacing w:line="377" w:lineRule="auto"/>
              <w:rPr>
                <w:rFonts w:hint="eastAsia" w:ascii="黑体" w:hAnsi="黑体" w:eastAsia="黑体" w:cs="黑体"/>
                <w:b w:val="0"/>
                <w:bCs w:val="0"/>
                <w:sz w:val="24"/>
                <w:szCs w:val="24"/>
              </w:rPr>
            </w:pPr>
          </w:p>
          <w:p w14:paraId="3DEA30CE">
            <w:pPr>
              <w:pStyle w:val="5"/>
              <w:spacing w:before="78" w:line="220" w:lineRule="auto"/>
              <w:ind w:left="158"/>
              <w:rPr>
                <w:rFonts w:hint="eastAsia" w:ascii="黑体" w:hAnsi="黑体" w:eastAsia="黑体" w:cs="黑体"/>
                <w:b w:val="0"/>
                <w:bCs w:val="0"/>
                <w:sz w:val="24"/>
                <w:szCs w:val="24"/>
              </w:rPr>
            </w:pPr>
            <w:r>
              <w:rPr>
                <w:rFonts w:hint="eastAsia" w:ascii="黑体" w:hAnsi="黑体" w:eastAsia="黑体" w:cs="黑体"/>
                <w:b w:val="0"/>
                <w:bCs w:val="0"/>
                <w:spacing w:val="-2"/>
                <w:sz w:val="24"/>
                <w:szCs w:val="24"/>
              </w:rPr>
              <w:t>强制免疫</w:t>
            </w:r>
          </w:p>
          <w:p w14:paraId="6978F9CD">
            <w:pPr>
              <w:pStyle w:val="5"/>
              <w:spacing w:before="73" w:line="219" w:lineRule="auto"/>
              <w:ind w:left="158"/>
              <w:rPr>
                <w:rFonts w:hint="eastAsia" w:ascii="黑体" w:hAnsi="黑体" w:eastAsia="黑体" w:cs="黑体"/>
                <w:b w:val="0"/>
                <w:bCs w:val="0"/>
                <w:sz w:val="24"/>
                <w:szCs w:val="24"/>
              </w:rPr>
            </w:pPr>
            <w:r>
              <w:rPr>
                <w:rFonts w:hint="eastAsia" w:ascii="黑体" w:hAnsi="黑体" w:eastAsia="黑体" w:cs="黑体"/>
                <w:b w:val="0"/>
                <w:bCs w:val="0"/>
                <w:sz w:val="24"/>
                <w:szCs w:val="24"/>
              </w:rPr>
              <w:t>注射等补</w:t>
            </w:r>
          </w:p>
          <w:p w14:paraId="2C5D53DD">
            <w:pPr>
              <w:pStyle w:val="5"/>
              <w:spacing w:before="65" w:line="220" w:lineRule="auto"/>
              <w:ind w:left="278"/>
              <w:rPr>
                <w:rFonts w:hint="eastAsia" w:ascii="黑体" w:hAnsi="黑体" w:eastAsia="黑体" w:cs="黑体"/>
                <w:b w:val="0"/>
                <w:bCs w:val="0"/>
                <w:sz w:val="24"/>
                <w:szCs w:val="24"/>
              </w:rPr>
            </w:pPr>
            <w:r>
              <w:rPr>
                <w:rFonts w:hint="eastAsia" w:ascii="黑体" w:hAnsi="黑体" w:eastAsia="黑体" w:cs="黑体"/>
                <w:b w:val="0"/>
                <w:bCs w:val="0"/>
                <w:spacing w:val="-5"/>
                <w:sz w:val="24"/>
                <w:szCs w:val="24"/>
              </w:rPr>
              <w:t>助经费</w:t>
            </w:r>
          </w:p>
        </w:tc>
        <w:tc>
          <w:tcPr>
            <w:tcW w:w="1618" w:type="dxa"/>
            <w:vAlign w:val="top"/>
          </w:tcPr>
          <w:p w14:paraId="41F602A6">
            <w:pPr>
              <w:pStyle w:val="5"/>
              <w:spacing w:before="108" w:line="220" w:lineRule="auto"/>
              <w:ind w:left="209"/>
              <w:rPr>
                <w:rFonts w:hint="eastAsia" w:ascii="黑体" w:hAnsi="黑体" w:eastAsia="黑体" w:cs="黑体"/>
                <w:b w:val="0"/>
                <w:bCs w:val="0"/>
                <w:sz w:val="24"/>
                <w:szCs w:val="24"/>
              </w:rPr>
            </w:pPr>
            <w:r>
              <w:rPr>
                <w:rFonts w:hint="eastAsia" w:ascii="黑体" w:hAnsi="黑体" w:eastAsia="黑体" w:cs="黑体"/>
                <w:b w:val="0"/>
                <w:bCs w:val="0"/>
                <w:spacing w:val="-5"/>
                <w:sz w:val="24"/>
                <w:szCs w:val="24"/>
              </w:rPr>
              <w:t>重大动物疫</w:t>
            </w:r>
          </w:p>
          <w:p w14:paraId="491E6946">
            <w:pPr>
              <w:pStyle w:val="5"/>
              <w:spacing w:before="54" w:line="221" w:lineRule="auto"/>
              <w:ind w:left="209"/>
              <w:rPr>
                <w:rFonts w:hint="eastAsia" w:ascii="黑体" w:hAnsi="黑体" w:eastAsia="黑体" w:cs="黑体"/>
                <w:b w:val="0"/>
                <w:bCs w:val="0"/>
                <w:sz w:val="24"/>
                <w:szCs w:val="24"/>
              </w:rPr>
            </w:pPr>
            <w:r>
              <w:rPr>
                <w:rFonts w:hint="eastAsia" w:ascii="黑体" w:hAnsi="黑体" w:eastAsia="黑体" w:cs="黑体"/>
                <w:b w:val="0"/>
                <w:bCs w:val="0"/>
                <w:spacing w:val="-4"/>
                <w:sz w:val="24"/>
                <w:szCs w:val="24"/>
              </w:rPr>
              <w:t>病和重点人</w:t>
            </w:r>
          </w:p>
          <w:p w14:paraId="6BB472B9">
            <w:pPr>
              <w:pStyle w:val="5"/>
              <w:spacing w:before="81" w:line="219" w:lineRule="auto"/>
              <w:ind w:left="209"/>
              <w:rPr>
                <w:rFonts w:hint="eastAsia" w:ascii="黑体" w:hAnsi="黑体" w:eastAsia="黑体" w:cs="黑体"/>
                <w:b w:val="0"/>
                <w:bCs w:val="0"/>
                <w:sz w:val="24"/>
                <w:szCs w:val="24"/>
              </w:rPr>
            </w:pPr>
            <w:r>
              <w:rPr>
                <w:rFonts w:hint="eastAsia" w:ascii="黑体" w:hAnsi="黑体" w:eastAsia="黑体" w:cs="黑体"/>
                <w:b w:val="0"/>
                <w:bCs w:val="0"/>
                <w:spacing w:val="-5"/>
                <w:sz w:val="24"/>
                <w:szCs w:val="24"/>
              </w:rPr>
              <w:t>兽共患病监</w:t>
            </w:r>
          </w:p>
          <w:p w14:paraId="5A23C3FA">
            <w:pPr>
              <w:pStyle w:val="5"/>
              <w:spacing w:before="55" w:line="220" w:lineRule="auto"/>
              <w:ind w:left="209"/>
              <w:rPr>
                <w:rFonts w:hint="eastAsia" w:ascii="黑体" w:hAnsi="黑体" w:eastAsia="黑体" w:cs="黑体"/>
                <w:b w:val="0"/>
                <w:bCs w:val="0"/>
                <w:sz w:val="24"/>
                <w:szCs w:val="24"/>
              </w:rPr>
            </w:pPr>
            <w:r>
              <w:rPr>
                <w:rFonts w:hint="eastAsia" w:ascii="黑体" w:hAnsi="黑体" w:eastAsia="黑体" w:cs="黑体"/>
                <w:b w:val="0"/>
                <w:bCs w:val="0"/>
                <w:spacing w:val="-5"/>
                <w:sz w:val="24"/>
                <w:szCs w:val="24"/>
              </w:rPr>
              <w:t>测净化补助</w:t>
            </w:r>
          </w:p>
          <w:p w14:paraId="462D3D1D">
            <w:pPr>
              <w:pStyle w:val="5"/>
              <w:spacing w:before="84" w:line="220" w:lineRule="auto"/>
              <w:ind w:left="569"/>
              <w:rPr>
                <w:rFonts w:hint="eastAsia" w:ascii="黑体" w:hAnsi="黑体" w:eastAsia="黑体" w:cs="黑体"/>
                <w:b w:val="0"/>
                <w:bCs w:val="0"/>
                <w:sz w:val="24"/>
                <w:szCs w:val="24"/>
              </w:rPr>
            </w:pPr>
            <w:r>
              <w:rPr>
                <w:rFonts w:hint="eastAsia" w:ascii="黑体" w:hAnsi="黑体" w:eastAsia="黑体" w:cs="黑体"/>
                <w:b w:val="0"/>
                <w:bCs w:val="0"/>
                <w:spacing w:val="-6"/>
                <w:sz w:val="24"/>
                <w:szCs w:val="24"/>
              </w:rPr>
              <w:t>经费</w:t>
            </w:r>
          </w:p>
        </w:tc>
        <w:tc>
          <w:tcPr>
            <w:tcW w:w="1418" w:type="dxa"/>
            <w:vAlign w:val="top"/>
          </w:tcPr>
          <w:p w14:paraId="0EB28F5D">
            <w:pPr>
              <w:pStyle w:val="5"/>
              <w:spacing w:before="137" w:line="219" w:lineRule="auto"/>
              <w:ind w:left="111"/>
              <w:rPr>
                <w:rFonts w:hint="eastAsia" w:ascii="黑体" w:hAnsi="黑体" w:eastAsia="黑体" w:cs="黑体"/>
                <w:b w:val="0"/>
                <w:bCs w:val="0"/>
                <w:sz w:val="24"/>
                <w:szCs w:val="24"/>
              </w:rPr>
            </w:pPr>
            <w:r>
              <w:rPr>
                <w:rFonts w:hint="eastAsia" w:ascii="黑体" w:hAnsi="黑体" w:eastAsia="黑体" w:cs="黑体"/>
                <w:b w:val="0"/>
                <w:bCs w:val="0"/>
                <w:spacing w:val="-5"/>
                <w:sz w:val="24"/>
                <w:szCs w:val="24"/>
              </w:rPr>
              <w:t>先打后补等</w:t>
            </w:r>
          </w:p>
          <w:p w14:paraId="123C8F0D">
            <w:pPr>
              <w:pStyle w:val="5"/>
              <w:spacing w:before="53" w:line="218" w:lineRule="auto"/>
              <w:ind w:left="111"/>
              <w:rPr>
                <w:rFonts w:hint="eastAsia" w:ascii="黑体" w:hAnsi="黑体" w:eastAsia="黑体" w:cs="黑体"/>
                <w:b w:val="0"/>
                <w:bCs w:val="0"/>
                <w:sz w:val="24"/>
                <w:szCs w:val="24"/>
              </w:rPr>
            </w:pPr>
            <w:r>
              <w:rPr>
                <w:rFonts w:hint="eastAsia" w:ascii="黑体" w:hAnsi="黑体" w:eastAsia="黑体" w:cs="黑体"/>
                <w:b w:val="0"/>
                <w:bCs w:val="0"/>
                <w:spacing w:val="-5"/>
                <w:sz w:val="24"/>
                <w:szCs w:val="24"/>
              </w:rPr>
              <w:t>免疫效价监</w:t>
            </w:r>
          </w:p>
          <w:p w14:paraId="39FE237B">
            <w:pPr>
              <w:pStyle w:val="5"/>
              <w:spacing w:before="46" w:line="218" w:lineRule="auto"/>
              <w:ind w:left="111"/>
              <w:rPr>
                <w:rFonts w:hint="eastAsia" w:ascii="黑体" w:hAnsi="黑体" w:eastAsia="黑体" w:cs="黑体"/>
                <w:b w:val="0"/>
                <w:bCs w:val="0"/>
                <w:sz w:val="24"/>
                <w:szCs w:val="24"/>
              </w:rPr>
            </w:pPr>
            <w:r>
              <w:rPr>
                <w:rFonts w:hint="eastAsia" w:ascii="黑体" w:hAnsi="黑体" w:eastAsia="黑体" w:cs="黑体"/>
                <w:b w:val="0"/>
                <w:bCs w:val="0"/>
                <w:spacing w:val="-5"/>
                <w:sz w:val="24"/>
                <w:szCs w:val="24"/>
              </w:rPr>
              <w:t>测评价和人</w:t>
            </w:r>
          </w:p>
          <w:p w14:paraId="074E4919">
            <w:pPr>
              <w:pStyle w:val="5"/>
              <w:spacing w:before="69" w:line="220" w:lineRule="auto"/>
              <w:ind w:left="111"/>
              <w:rPr>
                <w:rFonts w:hint="eastAsia" w:ascii="黑体" w:hAnsi="黑体" w:eastAsia="黑体" w:cs="黑体"/>
                <w:b w:val="0"/>
                <w:bCs w:val="0"/>
                <w:sz w:val="24"/>
                <w:szCs w:val="24"/>
              </w:rPr>
            </w:pPr>
            <w:r>
              <w:rPr>
                <w:rFonts w:hint="eastAsia" w:ascii="黑体" w:hAnsi="黑体" w:eastAsia="黑体" w:cs="黑体"/>
                <w:b w:val="0"/>
                <w:bCs w:val="0"/>
                <w:spacing w:val="-1"/>
                <w:sz w:val="24"/>
                <w:szCs w:val="24"/>
              </w:rPr>
              <w:t>员防护补助</w:t>
            </w:r>
          </w:p>
          <w:p w14:paraId="61FE2B89">
            <w:pPr>
              <w:pStyle w:val="5"/>
              <w:spacing w:before="74" w:line="220" w:lineRule="auto"/>
              <w:ind w:left="471"/>
              <w:rPr>
                <w:rFonts w:hint="eastAsia" w:ascii="黑体" w:hAnsi="黑体" w:eastAsia="黑体" w:cs="黑体"/>
                <w:b w:val="0"/>
                <w:bCs w:val="0"/>
                <w:sz w:val="24"/>
                <w:szCs w:val="24"/>
              </w:rPr>
            </w:pPr>
            <w:r>
              <w:rPr>
                <w:rFonts w:hint="eastAsia" w:ascii="黑体" w:hAnsi="黑体" w:eastAsia="黑体" w:cs="黑体"/>
                <w:b w:val="0"/>
                <w:bCs w:val="0"/>
                <w:spacing w:val="-6"/>
                <w:sz w:val="24"/>
                <w:szCs w:val="24"/>
              </w:rPr>
              <w:t>经费</w:t>
            </w:r>
          </w:p>
        </w:tc>
        <w:tc>
          <w:tcPr>
            <w:tcW w:w="1164" w:type="dxa"/>
            <w:vMerge w:val="continue"/>
            <w:tcBorders>
              <w:top w:val="nil"/>
            </w:tcBorders>
            <w:vAlign w:val="top"/>
          </w:tcPr>
          <w:p w14:paraId="64020BB4">
            <w:pPr>
              <w:rPr>
                <w:rFonts w:ascii="Arial"/>
                <w:sz w:val="21"/>
              </w:rPr>
            </w:pPr>
          </w:p>
        </w:tc>
      </w:tr>
      <w:tr w14:paraId="35240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jc w:val="center"/>
        </w:trPr>
        <w:tc>
          <w:tcPr>
            <w:tcW w:w="934" w:type="dxa"/>
            <w:vAlign w:val="center"/>
          </w:tcPr>
          <w:p w14:paraId="3A42379F">
            <w:pPr>
              <w:pStyle w:val="5"/>
              <w:spacing w:before="78" w:line="219" w:lineRule="auto"/>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spacing w:val="2"/>
              </w:rPr>
              <w:t>杨陵区</w:t>
            </w:r>
          </w:p>
        </w:tc>
        <w:tc>
          <w:tcPr>
            <w:tcW w:w="719" w:type="dxa"/>
            <w:vAlign w:val="center"/>
          </w:tcPr>
          <w:p w14:paraId="05263B59">
            <w:pPr>
              <w:pStyle w:val="5"/>
              <w:spacing w:before="78" w:line="183" w:lineRule="auto"/>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spacing w:val="-5"/>
              </w:rPr>
              <w:t>44</w:t>
            </w:r>
          </w:p>
        </w:tc>
        <w:tc>
          <w:tcPr>
            <w:tcW w:w="839" w:type="dxa"/>
            <w:vAlign w:val="center"/>
          </w:tcPr>
          <w:p w14:paraId="170BDA0B">
            <w:pPr>
              <w:pStyle w:val="5"/>
              <w:spacing w:before="78" w:line="183" w:lineRule="auto"/>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spacing w:val="-7"/>
              </w:rPr>
              <w:t>34</w:t>
            </w:r>
          </w:p>
        </w:tc>
        <w:tc>
          <w:tcPr>
            <w:tcW w:w="749" w:type="dxa"/>
            <w:vAlign w:val="center"/>
          </w:tcPr>
          <w:p w14:paraId="3F379A64">
            <w:pPr>
              <w:pStyle w:val="5"/>
              <w:spacing w:before="79" w:line="184" w:lineRule="auto"/>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spacing w:val="-10"/>
              </w:rPr>
              <w:t>10</w:t>
            </w:r>
          </w:p>
        </w:tc>
        <w:tc>
          <w:tcPr>
            <w:tcW w:w="1149" w:type="dxa"/>
            <w:vAlign w:val="center"/>
          </w:tcPr>
          <w:p w14:paraId="0854F83D">
            <w:pPr>
              <w:pStyle w:val="5"/>
              <w:spacing w:before="78" w:line="184" w:lineRule="auto"/>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spacing w:val="-7"/>
              </w:rPr>
              <w:t>11</w:t>
            </w:r>
          </w:p>
        </w:tc>
        <w:tc>
          <w:tcPr>
            <w:tcW w:w="1279" w:type="dxa"/>
            <w:vAlign w:val="center"/>
          </w:tcPr>
          <w:p w14:paraId="27C9E258">
            <w:pPr>
              <w:pStyle w:val="5"/>
              <w:spacing w:before="78" w:line="184" w:lineRule="auto"/>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spacing w:val="-7"/>
              </w:rPr>
              <w:t>10</w:t>
            </w:r>
          </w:p>
        </w:tc>
        <w:tc>
          <w:tcPr>
            <w:tcW w:w="1618" w:type="dxa"/>
            <w:vAlign w:val="center"/>
          </w:tcPr>
          <w:p w14:paraId="50A46165">
            <w:pPr>
              <w:pStyle w:val="5"/>
              <w:spacing w:before="78" w:line="199" w:lineRule="auto"/>
              <w:ind w:right="690"/>
              <w:jc w:val="right"/>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10</w:t>
            </w:r>
          </w:p>
        </w:tc>
        <w:tc>
          <w:tcPr>
            <w:tcW w:w="1418" w:type="dxa"/>
            <w:vAlign w:val="center"/>
          </w:tcPr>
          <w:p w14:paraId="727A7CCC">
            <w:pPr>
              <w:pStyle w:val="5"/>
              <w:spacing w:before="78" w:line="183" w:lineRule="auto"/>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3</w:t>
            </w:r>
          </w:p>
        </w:tc>
        <w:tc>
          <w:tcPr>
            <w:tcW w:w="1164" w:type="dxa"/>
            <w:vAlign w:val="center"/>
          </w:tcPr>
          <w:p w14:paraId="6A174717">
            <w:pPr>
              <w:pStyle w:val="5"/>
              <w:spacing w:before="78" w:line="184" w:lineRule="auto"/>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spacing w:val="-7"/>
              </w:rPr>
              <w:t>10</w:t>
            </w:r>
          </w:p>
        </w:tc>
      </w:tr>
    </w:tbl>
    <w:p w14:paraId="3827F45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306FA5"/>
    <w:rsid w:val="67306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2025-04-02T07:24:00Z</dcterms:created>
  <dc:creator>Bruce Cheung</dc:creator>
  <cp:lastModifiedBy>Bruce Cheung</cp:lastModifiedBy>
  <dcterms:modified xsi:type="dcterms:W3CDTF">2025-04-02T07:25:29Z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E06485A8220241DAA869954675E23A43_11</vt:lpwstr>
  </property>
  <property fmtid="{D5CDD505-2E9C-101B-9397-08002B2CF9AE}" pid="4" name="KSOTemplateDocerSaveRecord">
    <vt:lpwstr>eyJoZGlkIjoiNzA0Y2U3N2QxOTI5MDQzOGNiNmFmYTFhZTBiNDBhMWUiLCJ1c2VySWQiOiIzMzM2ODgzODQifQ==</vt:lpwstr>
  </property>
</Properties>
</file>