
<file path=[Content_Types].xml><?xml version="1.0" encoding="utf-8"?>
<Types xmlns="http://schemas.openxmlformats.org/package/2006/content-types">
  <Default Extension="xml" ContentType="application/xml"/>
  <Default Extension="xlsx" ContentType="application/vnd.openxmlformats-officedocument.spreadsheetml.shee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cs="宋体"/>
          <w:b/>
          <w:bCs/>
          <w:sz w:val="44"/>
          <w:szCs w:val="44"/>
        </w:rPr>
      </w:pPr>
    </w:p>
    <w:p>
      <w:pPr>
        <w:spacing w:line="560" w:lineRule="exact"/>
        <w:jc w:val="center"/>
        <w:rPr>
          <w:rFonts w:ascii="宋体" w:cs="宋体"/>
          <w:b/>
          <w:bCs/>
          <w:sz w:val="44"/>
          <w:szCs w:val="44"/>
        </w:rPr>
      </w:pPr>
    </w:p>
    <w:p>
      <w:pPr>
        <w:spacing w:line="560" w:lineRule="exact"/>
        <w:jc w:val="center"/>
        <w:rPr>
          <w:rFonts w:ascii="宋体" w:cs="宋体"/>
          <w:b/>
          <w:bCs/>
          <w:sz w:val="44"/>
          <w:szCs w:val="44"/>
        </w:rPr>
      </w:pPr>
    </w:p>
    <w:p>
      <w:pPr>
        <w:spacing w:line="560" w:lineRule="exact"/>
        <w:jc w:val="center"/>
        <w:rPr>
          <w:rFonts w:ascii="宋体" w:cs="宋体"/>
          <w:b/>
          <w:bCs/>
          <w:sz w:val="48"/>
          <w:szCs w:val="48"/>
        </w:rPr>
      </w:pPr>
      <w:r>
        <w:rPr>
          <w:rFonts w:hint="eastAsia" w:ascii="宋体" w:hAnsi="宋体" w:cs="宋体"/>
          <w:b/>
          <w:bCs/>
          <w:sz w:val="48"/>
          <w:szCs w:val="48"/>
        </w:rPr>
        <w:t>杨陵区行政审批服务局</w:t>
      </w:r>
      <w:r>
        <w:rPr>
          <w:rFonts w:ascii="宋体" w:hAnsi="宋体" w:cs="宋体"/>
          <w:b/>
          <w:bCs/>
          <w:sz w:val="48"/>
          <w:szCs w:val="48"/>
        </w:rPr>
        <w:t>2019</w:t>
      </w:r>
      <w:r>
        <w:rPr>
          <w:rFonts w:hint="eastAsia" w:ascii="宋体" w:hAnsi="宋体" w:cs="宋体"/>
          <w:b/>
          <w:bCs/>
          <w:sz w:val="48"/>
          <w:szCs w:val="48"/>
        </w:rPr>
        <w:t>年部门决算</w:t>
      </w:r>
    </w:p>
    <w:p>
      <w:pPr>
        <w:spacing w:line="560" w:lineRule="exact"/>
        <w:jc w:val="center"/>
        <w:rPr>
          <w:rFonts w:ascii="宋体" w:cs="宋体"/>
          <w:b/>
          <w:bCs/>
          <w:sz w:val="44"/>
          <w:szCs w:val="44"/>
        </w:rPr>
      </w:pPr>
    </w:p>
    <w:p>
      <w:pPr>
        <w:spacing w:line="560" w:lineRule="exact"/>
        <w:jc w:val="center"/>
        <w:rPr>
          <w:rFonts w:ascii="宋体" w:cs="宋体"/>
          <w:b/>
          <w:bCs/>
          <w:sz w:val="44"/>
          <w:szCs w:val="44"/>
        </w:rPr>
      </w:pPr>
      <w:bookmarkStart w:id="0" w:name="_GoBack"/>
      <w:bookmarkEnd w:id="0"/>
    </w:p>
    <w:p>
      <w:pPr>
        <w:spacing w:line="560" w:lineRule="exact"/>
        <w:jc w:val="center"/>
        <w:rPr>
          <w:rFonts w:ascii="宋体" w:cs="宋体"/>
          <w:b/>
          <w:bCs/>
          <w:sz w:val="44"/>
          <w:szCs w:val="44"/>
        </w:rPr>
      </w:pPr>
    </w:p>
    <w:p>
      <w:pPr>
        <w:spacing w:line="560" w:lineRule="exact"/>
        <w:jc w:val="center"/>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ind w:firstLine="2570" w:firstLineChars="800"/>
        <w:rPr>
          <w:rFonts w:ascii="宋体" w:cs="宋体"/>
          <w:b/>
          <w:bCs/>
          <w:sz w:val="32"/>
          <w:szCs w:val="32"/>
        </w:rPr>
      </w:pPr>
    </w:p>
    <w:p>
      <w:pPr>
        <w:spacing w:line="560" w:lineRule="exact"/>
        <w:ind w:firstLine="2570" w:firstLineChars="800"/>
        <w:rPr>
          <w:rFonts w:ascii="宋体" w:cs="宋体"/>
          <w:b/>
          <w:bCs/>
          <w:sz w:val="32"/>
          <w:szCs w:val="32"/>
        </w:rPr>
      </w:pPr>
    </w:p>
    <w:p>
      <w:pPr>
        <w:spacing w:line="560" w:lineRule="exact"/>
        <w:ind w:firstLine="2088" w:firstLineChars="650"/>
        <w:rPr>
          <w:rFonts w:ascii="宋体" w:cs="宋体"/>
          <w:b/>
          <w:bCs/>
          <w:sz w:val="32"/>
          <w:szCs w:val="32"/>
        </w:rPr>
      </w:pPr>
      <w:r>
        <w:rPr>
          <w:rFonts w:hint="eastAsia" w:ascii="宋体" w:hAnsi="宋体" w:cs="宋体"/>
          <w:b/>
          <w:bCs/>
          <w:sz w:val="32"/>
          <w:szCs w:val="32"/>
        </w:rPr>
        <w:t>保密审查情况：已审查</w:t>
      </w:r>
    </w:p>
    <w:p>
      <w:pPr>
        <w:spacing w:line="560" w:lineRule="exact"/>
        <w:jc w:val="center"/>
        <w:rPr>
          <w:rFonts w:ascii="宋体" w:cs="宋体"/>
          <w:b/>
          <w:bCs/>
          <w:sz w:val="32"/>
          <w:szCs w:val="32"/>
        </w:rPr>
      </w:pPr>
    </w:p>
    <w:p>
      <w:pPr>
        <w:spacing w:line="560" w:lineRule="exact"/>
        <w:ind w:firstLine="2088" w:firstLineChars="650"/>
        <w:rPr>
          <w:rFonts w:ascii="宋体" w:cs="宋体"/>
          <w:b/>
          <w:bCs/>
          <w:sz w:val="32"/>
          <w:szCs w:val="32"/>
        </w:rPr>
      </w:pPr>
      <w:r>
        <w:rPr>
          <w:rFonts w:hint="eastAsia" w:ascii="宋体" w:hAnsi="宋体" w:cs="宋体"/>
          <w:b/>
          <w:bCs/>
          <w:sz w:val="32"/>
          <w:szCs w:val="32"/>
        </w:rPr>
        <w:t>部门主要负责人审签情况:已审签</w:t>
      </w:r>
    </w:p>
    <w:p>
      <w:pPr>
        <w:spacing w:line="560" w:lineRule="exact"/>
        <w:rPr>
          <w:rFonts w:ascii="宋体" w:cs="宋体"/>
          <w:b/>
          <w:bCs/>
          <w:sz w:val="32"/>
          <w:szCs w:val="32"/>
        </w:rPr>
      </w:pPr>
    </w:p>
    <w:p>
      <w:pPr>
        <w:spacing w:line="560" w:lineRule="exact"/>
        <w:jc w:val="center"/>
        <w:rPr>
          <w:rFonts w:ascii="黑体" w:hAnsi="宋体" w:eastAsia="黑体"/>
          <w:bCs/>
          <w:color w:val="000000"/>
          <w:kern w:val="0"/>
          <w:sz w:val="36"/>
          <w:szCs w:val="36"/>
        </w:rPr>
      </w:pPr>
      <w:r>
        <w:rPr>
          <w:rFonts w:ascii="黑体" w:hAnsi="宋体" w:eastAsia="黑体"/>
          <w:b/>
          <w:color w:val="000000"/>
          <w:kern w:val="0"/>
          <w:sz w:val="56"/>
          <w:szCs w:val="56"/>
        </w:rPr>
        <w:br w:type="page"/>
      </w:r>
      <w:r>
        <w:rPr>
          <w:rFonts w:hint="eastAsia" w:ascii="黑体" w:hAnsi="宋体" w:eastAsia="黑体"/>
          <w:bCs/>
          <w:color w:val="000000"/>
          <w:kern w:val="0"/>
          <w:sz w:val="36"/>
          <w:szCs w:val="36"/>
        </w:rPr>
        <w:t>目录</w:t>
      </w:r>
    </w:p>
    <w:p>
      <w:pPr>
        <w:spacing w:line="560" w:lineRule="exact"/>
        <w:jc w:val="center"/>
      </w:pPr>
      <w:r>
        <w:rPr>
          <w:rFonts w:hint="eastAsia" w:ascii="黑体" w:hAnsi="宋体" w:eastAsia="黑体"/>
          <w:color w:val="000000"/>
          <w:kern w:val="0"/>
          <w:sz w:val="32"/>
          <w:szCs w:val="32"/>
        </w:rPr>
        <w:t>第一部分部门概况</w:t>
      </w:r>
    </w:p>
    <w:p>
      <w:pPr>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一、部门主要职责及内设机构</w:t>
      </w:r>
    </w:p>
    <w:p>
      <w:pPr>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二、部门决算单位构成</w:t>
      </w:r>
    </w:p>
    <w:p>
      <w:pPr>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三、部门人员情况</w:t>
      </w:r>
    </w:p>
    <w:p>
      <w:pPr>
        <w:spacing w:line="560" w:lineRule="exact"/>
        <w:jc w:val="center"/>
      </w:pPr>
      <w:r>
        <w:rPr>
          <w:rFonts w:hint="eastAsia" w:ascii="黑体" w:hAnsi="宋体" w:eastAsia="黑体"/>
          <w:color w:val="000000"/>
          <w:kern w:val="0"/>
          <w:sz w:val="32"/>
          <w:szCs w:val="32"/>
        </w:rPr>
        <w:t>第二部分</w:t>
      </w:r>
      <w:r>
        <w:rPr>
          <w:rFonts w:ascii="黑体" w:hAnsi="宋体" w:eastAsia="黑体"/>
          <w:color w:val="000000"/>
          <w:kern w:val="0"/>
          <w:sz w:val="32"/>
          <w:szCs w:val="32"/>
        </w:rPr>
        <w:t xml:space="preserve">  2019</w:t>
      </w:r>
      <w:r>
        <w:rPr>
          <w:rFonts w:hint="eastAsia" w:ascii="黑体" w:hAnsi="宋体" w:eastAsia="黑体"/>
          <w:color w:val="000000"/>
          <w:kern w:val="0"/>
          <w:sz w:val="32"/>
          <w:szCs w:val="32"/>
        </w:rPr>
        <w:t>年部门决算表</w:t>
      </w:r>
    </w:p>
    <w:p>
      <w:pPr>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一、收入支出决算总表</w:t>
      </w:r>
    </w:p>
    <w:p>
      <w:pPr>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二、收入决算表</w:t>
      </w:r>
    </w:p>
    <w:p>
      <w:pPr>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三、支出决算表</w:t>
      </w:r>
    </w:p>
    <w:p>
      <w:pPr>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四、财政拨款收入支出决算总表</w:t>
      </w:r>
    </w:p>
    <w:p>
      <w:pPr>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五、一般公共预算财政拨款支出决算表</w:t>
      </w:r>
    </w:p>
    <w:p>
      <w:pPr>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六、一般公共预算财政拨款基本支出决算表</w:t>
      </w:r>
    </w:p>
    <w:p>
      <w:pPr>
        <w:spacing w:line="560" w:lineRule="exact"/>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七、一般公共预算财政拨款“三公”经费及会议费、培训费支出决算表</w:t>
      </w:r>
    </w:p>
    <w:p>
      <w:pPr>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八、政府性基金预算财政拨款收入支出决算表</w:t>
      </w:r>
    </w:p>
    <w:p>
      <w:pPr>
        <w:spacing w:line="560" w:lineRule="exact"/>
        <w:jc w:val="center"/>
      </w:pPr>
      <w:r>
        <w:rPr>
          <w:rFonts w:hint="eastAsia" w:ascii="黑体" w:hAnsi="宋体" w:eastAsia="黑体"/>
          <w:color w:val="000000"/>
          <w:kern w:val="0"/>
          <w:sz w:val="32"/>
          <w:szCs w:val="32"/>
        </w:rPr>
        <w:t>第三部分</w:t>
      </w:r>
      <w:r>
        <w:rPr>
          <w:rFonts w:ascii="黑体" w:hAnsi="宋体" w:eastAsia="黑体"/>
          <w:color w:val="000000"/>
          <w:kern w:val="0"/>
          <w:sz w:val="32"/>
          <w:szCs w:val="32"/>
        </w:rPr>
        <w:t xml:space="preserve">  2019</w:t>
      </w:r>
      <w:r>
        <w:rPr>
          <w:rFonts w:hint="eastAsia" w:ascii="黑体" w:hAnsi="宋体" w:eastAsia="黑体"/>
          <w:color w:val="000000"/>
          <w:kern w:val="0"/>
          <w:sz w:val="32"/>
          <w:szCs w:val="32"/>
        </w:rPr>
        <w:t>年部门决算情况说明</w:t>
      </w:r>
    </w:p>
    <w:p>
      <w:pPr>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一、收入支出决算总体情况说明</w:t>
      </w:r>
    </w:p>
    <w:p>
      <w:pPr>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二、收入决算情况说明</w:t>
      </w:r>
    </w:p>
    <w:p>
      <w:pPr>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三、支出决算情况说明</w:t>
      </w:r>
    </w:p>
    <w:p>
      <w:pPr>
        <w:spacing w:line="560" w:lineRule="exact"/>
        <w:jc w:val="left"/>
        <w:rPr>
          <w:rFonts w:ascii="楷体" w:hAnsi="楷体" w:eastAsia="楷体" w:cs="楷体"/>
        </w:rPr>
      </w:pPr>
      <w:r>
        <w:rPr>
          <w:rFonts w:hint="eastAsia" w:ascii="仿宋" w:hAnsi="仿宋" w:eastAsia="仿宋" w:cs="楷体"/>
          <w:color w:val="000000"/>
          <w:kern w:val="0"/>
          <w:sz w:val="32"/>
          <w:szCs w:val="32"/>
        </w:rPr>
        <w:t>四、财政拨款收入支出决算总体情况说明</w:t>
      </w:r>
    </w:p>
    <w:p>
      <w:pPr>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五、一般公共预算财政拨款支出决算情况说明</w:t>
      </w:r>
    </w:p>
    <w:p>
      <w:pPr>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（一）财政拨款支出决算总体情况说明</w:t>
      </w:r>
    </w:p>
    <w:p>
      <w:pPr>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（二）财政拨款支出决算具体情况说明</w:t>
      </w:r>
    </w:p>
    <w:p>
      <w:pPr>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六、一般公共预算财政拨款基本支出决算情况说明</w:t>
      </w:r>
    </w:p>
    <w:p>
      <w:pPr>
        <w:spacing w:line="560" w:lineRule="exact"/>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七、一般公共预算财政拨款“三公”经费及会议费、培训费支出决算情况说明</w:t>
      </w:r>
    </w:p>
    <w:p>
      <w:pPr>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（一）“三公”经费财政拨款支出决算总体情况说明</w:t>
      </w:r>
    </w:p>
    <w:p>
      <w:pPr>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（二）“三公”经费财政拨款支出决算具体情况说明</w:t>
      </w:r>
    </w:p>
    <w:p>
      <w:pPr>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（三）培训费支出情况说明</w:t>
      </w:r>
    </w:p>
    <w:p>
      <w:pPr>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（四）会议费支出情况说明</w:t>
      </w:r>
    </w:p>
    <w:p>
      <w:pPr>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八、政府性基金预算财政拨款收入支出情况说明</w:t>
      </w:r>
    </w:p>
    <w:p>
      <w:pPr>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九、国有资本经营财政拨款收入支出情况说明</w:t>
      </w:r>
    </w:p>
    <w:p>
      <w:pPr>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十、预算绩效情况说明</w:t>
      </w:r>
    </w:p>
    <w:p>
      <w:pPr>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（一）预算绩效管理工作开展情况说明</w:t>
      </w:r>
    </w:p>
    <w:p>
      <w:pPr>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（二）部门决算中项目绩效自评结果</w:t>
      </w:r>
    </w:p>
    <w:p>
      <w:pPr>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十一、其他重要事项说明</w:t>
      </w:r>
    </w:p>
    <w:p>
      <w:pPr>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（一）机关运行经费支出情况说明</w:t>
      </w:r>
    </w:p>
    <w:p>
      <w:pPr>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（二）政府采购支出情况说明</w:t>
      </w:r>
    </w:p>
    <w:p>
      <w:pPr>
        <w:spacing w:line="560" w:lineRule="exact"/>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（三）国有资产占用及购置情况说明</w:t>
      </w:r>
    </w:p>
    <w:p>
      <w:pPr>
        <w:spacing w:line="560" w:lineRule="exact"/>
        <w:jc w:val="center"/>
        <w:rPr>
          <w:rFonts w:ascii="宋体" w:cs="宋体"/>
          <w:b/>
          <w:bCs/>
          <w:sz w:val="44"/>
          <w:szCs w:val="44"/>
        </w:rPr>
      </w:pPr>
      <w:r>
        <w:rPr>
          <w:rFonts w:hint="eastAsia" w:ascii="黑体" w:hAnsi="宋体" w:eastAsia="黑体"/>
          <w:color w:val="000000"/>
          <w:kern w:val="0"/>
          <w:sz w:val="32"/>
          <w:szCs w:val="32"/>
        </w:rPr>
        <w:t>第四部分专业名词解释</w:t>
      </w:r>
    </w:p>
    <w:p>
      <w:pPr>
        <w:rPr>
          <w:rFonts w:ascii="黑体" w:hAnsi="宋体" w:eastAsia="黑体"/>
          <w:color w:val="000000"/>
          <w:kern w:val="0"/>
          <w:sz w:val="44"/>
          <w:szCs w:val="44"/>
        </w:rPr>
      </w:pPr>
      <w:r>
        <w:rPr>
          <w:rFonts w:hint="eastAsia" w:ascii="黑体" w:hAnsi="宋体" w:eastAsia="黑体"/>
          <w:color w:val="000000"/>
          <w:kern w:val="0"/>
          <w:sz w:val="44"/>
          <w:szCs w:val="44"/>
        </w:rPr>
        <w:br w:type="page"/>
      </w:r>
    </w:p>
    <w:p>
      <w:pPr>
        <w:spacing w:afterLines="50" w:line="560" w:lineRule="exact"/>
        <w:jc w:val="center"/>
        <w:rPr>
          <w:rFonts w:ascii="黑体" w:hAnsi="宋体" w:eastAsia="黑体"/>
          <w:color w:val="000000"/>
          <w:kern w:val="0"/>
          <w:sz w:val="44"/>
          <w:szCs w:val="44"/>
        </w:rPr>
      </w:pPr>
      <w:r>
        <w:rPr>
          <w:rFonts w:hint="eastAsia" w:ascii="黑体" w:hAnsi="宋体" w:eastAsia="黑体"/>
          <w:color w:val="000000"/>
          <w:kern w:val="0"/>
          <w:sz w:val="44"/>
          <w:szCs w:val="44"/>
        </w:rPr>
        <w:t>第一部分部门概况</w:t>
      </w:r>
    </w:p>
    <w:p>
      <w:pPr>
        <w:spacing w:line="560" w:lineRule="exact"/>
        <w:ind w:firstLine="640" w:firstLineChars="200"/>
        <w:jc w:val="left"/>
        <w:rPr>
          <w:rFonts w:ascii="黑体" w:hAnsi="宋体" w:eastAsia="黑体"/>
          <w:color w:val="000000"/>
          <w:kern w:val="0"/>
          <w:sz w:val="32"/>
          <w:szCs w:val="32"/>
        </w:rPr>
      </w:pPr>
      <w:r>
        <w:rPr>
          <w:rFonts w:hint="eastAsia" w:ascii="黑体" w:hAnsi="宋体" w:eastAsia="黑体"/>
          <w:color w:val="000000"/>
          <w:kern w:val="0"/>
          <w:sz w:val="32"/>
          <w:szCs w:val="32"/>
        </w:rPr>
        <w:t>一、部门主要职责及内设机构</w:t>
      </w:r>
    </w:p>
    <w:p>
      <w:pPr>
        <w:spacing w:line="560" w:lineRule="exact"/>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（一）主要职责。</w:t>
      </w:r>
    </w:p>
    <w:p>
      <w:pPr>
        <w:spacing w:line="560" w:lineRule="exact"/>
        <w:ind w:firstLine="640" w:firstLineChars="200"/>
        <w:jc w:val="left"/>
      </w:pPr>
      <w:r>
        <w:rPr>
          <w:rFonts w:hint="eastAsia" w:ascii="仿宋" w:hAnsi="仿宋" w:eastAsia="仿宋" w:cs="仿宋"/>
          <w:color w:val="000000"/>
          <w:kern w:val="0"/>
          <w:sz w:val="32"/>
          <w:szCs w:val="32"/>
        </w:rPr>
        <w:t>1.</w:t>
      </w:r>
      <w:r>
        <w:rPr>
          <w:rFonts w:ascii="仿宋" w:hAnsi="仿宋" w:eastAsia="仿宋" w:cs="仿宋"/>
          <w:color w:val="000000"/>
          <w:kern w:val="0"/>
          <w:sz w:val="32"/>
          <w:szCs w:val="32"/>
        </w:rPr>
        <w:t>贯彻执行《行政许可法》和相关法律法规，落实行政审批制度改革政策,协调相关部门对区</w:t>
      </w:r>
      <w:r>
        <w:rPr>
          <w:rFonts w:hint="eastAsia" w:ascii="仿宋" w:hAnsi="仿宋" w:eastAsia="仿宋" w:cs="仿宋"/>
          <w:color w:val="000000"/>
          <w:kern w:val="0"/>
          <w:sz w:val="32"/>
          <w:szCs w:val="32"/>
        </w:rPr>
        <w:t xml:space="preserve">级行政许可(审批)事项和政务服务事项清单进行动态调整和承接，推动“放管服”改革工作。 </w:t>
      </w:r>
    </w:p>
    <w:p>
      <w:pPr>
        <w:spacing w:line="560" w:lineRule="exact"/>
        <w:ind w:firstLine="640" w:firstLineChars="200"/>
        <w:jc w:val="left"/>
      </w:pPr>
      <w:r>
        <w:rPr>
          <w:rFonts w:hint="eastAsia" w:ascii="仿宋" w:hAnsi="仿宋" w:eastAsia="仿宋" w:cs="仿宋"/>
          <w:color w:val="000000"/>
          <w:kern w:val="0"/>
          <w:sz w:val="32"/>
          <w:szCs w:val="32"/>
        </w:rPr>
        <w:t xml:space="preserve">2.负责集中办理投资项目、市场管理、社会事务、住建交通城管、生态环境、应急管理、农林水务等方面行政审批事项的办理和政务服务，组织有关部门进行踏勘验收、技术论证和社会听证工作，并对行为结果和行政性收费承担相应法律责任。 </w:t>
      </w:r>
    </w:p>
    <w:p>
      <w:pPr>
        <w:spacing w:line="560" w:lineRule="exact"/>
        <w:ind w:firstLine="640" w:firstLineChars="200"/>
        <w:jc w:val="left"/>
      </w:pPr>
      <w:r>
        <w:rPr>
          <w:rFonts w:hint="eastAsia" w:ascii="仿宋" w:hAnsi="仿宋" w:eastAsia="仿宋" w:cs="仿宋"/>
          <w:color w:val="000000"/>
          <w:kern w:val="0"/>
          <w:sz w:val="32"/>
          <w:szCs w:val="32"/>
        </w:rPr>
        <w:t xml:space="preserve">3.负责对行政审批、政务服务事项进行流程再造，环节优化、压缩时限，并对办理情况进行跟踪督办;协调有关部门解决行政审批、政务服务事项办理中存在的相关问题。 </w:t>
      </w:r>
    </w:p>
    <w:p>
      <w:pPr>
        <w:spacing w:line="560" w:lineRule="exact"/>
        <w:ind w:firstLine="640" w:firstLineChars="200"/>
        <w:jc w:val="left"/>
      </w:pPr>
      <w:r>
        <w:rPr>
          <w:rFonts w:hint="eastAsia" w:ascii="仿宋" w:hAnsi="仿宋" w:eastAsia="仿宋" w:cs="仿宋"/>
          <w:color w:val="000000"/>
          <w:kern w:val="0"/>
          <w:sz w:val="32"/>
          <w:szCs w:val="32"/>
        </w:rPr>
        <w:t xml:space="preserve">4.负贵网上办事大厅和实体大厅“线上线下”政务服务平台的建设和管理工作;负责中介服务机构办理事项的规范、管理和监督。 </w:t>
      </w:r>
    </w:p>
    <w:p>
      <w:pPr>
        <w:spacing w:line="56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5.负责政务服务体系的信息化建设、网上审批和信息公开工作;与有关部门协同推进“一网通办”“只进一扇门”“最多跑一次”“零跑路”的政务服务体系建设工作。</w:t>
      </w:r>
    </w:p>
    <w:p>
      <w:pPr>
        <w:spacing w:line="56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6.受理行政审批、政务服务、中介机构服务有关方面的投诉举报，协同有关部门查处违法违纪行为。</w:t>
      </w:r>
    </w:p>
    <w:p>
      <w:pPr>
        <w:spacing w:line="560" w:lineRule="exact"/>
        <w:ind w:firstLine="640" w:firstLineChars="200"/>
        <w:jc w:val="left"/>
      </w:pPr>
      <w:r>
        <w:rPr>
          <w:rFonts w:hint="eastAsia" w:ascii="仿宋" w:hAnsi="仿宋" w:eastAsia="仿宋" w:cs="仿宋"/>
          <w:color w:val="000000"/>
          <w:kern w:val="0"/>
          <w:sz w:val="32"/>
          <w:szCs w:val="32"/>
        </w:rPr>
        <w:t xml:space="preserve">7.指导下属事业单位便民服务相关工作。 </w:t>
      </w:r>
    </w:p>
    <w:p>
      <w:pPr>
        <w:spacing w:line="56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8.完成区委、区政府交办的其他事项。 </w:t>
      </w:r>
    </w:p>
    <w:p>
      <w:pPr>
        <w:spacing w:line="560" w:lineRule="exact"/>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（二）内设机构。</w:t>
      </w:r>
    </w:p>
    <w:p>
      <w:pPr>
        <w:spacing w:line="560" w:lineRule="exact"/>
        <w:ind w:firstLine="640" w:firstLineChars="200"/>
        <w:jc w:val="left"/>
      </w:pPr>
      <w:r>
        <w:rPr>
          <w:rFonts w:hint="eastAsia" w:ascii="仿宋" w:hAnsi="仿宋" w:eastAsia="仿宋" w:cs="仿宋"/>
          <w:color w:val="000000"/>
          <w:kern w:val="0"/>
          <w:sz w:val="32"/>
          <w:szCs w:val="32"/>
        </w:rPr>
        <w:t>区行政审批局机关行政编制4名，设局长1名，副局长2名。下属政务服务中心，核定事业编制10人，其中主任1名（由审批局一名副局长兼任）。</w:t>
      </w:r>
    </w:p>
    <w:p>
      <w:pPr>
        <w:spacing w:line="560" w:lineRule="exact"/>
        <w:ind w:firstLine="640" w:firstLineChars="200"/>
        <w:jc w:val="left"/>
      </w:pPr>
      <w:r>
        <w:rPr>
          <w:rFonts w:hint="eastAsia" w:ascii="黑体" w:hAnsi="宋体" w:eastAsia="黑体"/>
          <w:color w:val="000000"/>
          <w:kern w:val="0"/>
          <w:sz w:val="32"/>
          <w:szCs w:val="32"/>
        </w:rPr>
        <w:t>二、部门决算单位构成</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纳入</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年本部门决算编制范围的单位共2个，包括本级及所属1个</w:t>
      </w:r>
      <w:r>
        <w:rPr>
          <w:rFonts w:hint="eastAsia" w:ascii="仿宋_GB2312" w:hAnsi="仿宋_GB2312" w:eastAsia="仿宋_GB2312" w:cs="仿宋_GB2312"/>
          <w:color w:val="000000"/>
          <w:kern w:val="0"/>
          <w:sz w:val="31"/>
          <w:szCs w:val="31"/>
        </w:rPr>
        <w:t>二级预算</w:t>
      </w:r>
      <w:r>
        <w:rPr>
          <w:rFonts w:hint="eastAsia" w:ascii="仿宋_GB2312" w:hAnsi="仿宋_GB2312" w:eastAsia="仿宋_GB2312" w:cs="仿宋_GB2312"/>
          <w:sz w:val="32"/>
          <w:szCs w:val="32"/>
        </w:rPr>
        <w:t>单位：</w:t>
      </w:r>
    </w:p>
    <w:tbl>
      <w:tblPr>
        <w:tblStyle w:val="8"/>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8" w:hRule="atLeast"/>
        </w:trPr>
        <w:tc>
          <w:tcPr>
            <w:tcW w:w="1681" w:type="dxa"/>
            <w:vAlign w:val="center"/>
          </w:tcPr>
          <w:p>
            <w:pPr>
              <w:spacing w:line="560" w:lineRule="exact"/>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spacing w:line="560" w:lineRule="exact"/>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spacing w:line="56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1</w:t>
            </w:r>
          </w:p>
        </w:tc>
        <w:tc>
          <w:tcPr>
            <w:tcW w:w="7278"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杨陵区行政审批服务局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spacing w:line="56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2</w:t>
            </w:r>
          </w:p>
        </w:tc>
        <w:tc>
          <w:tcPr>
            <w:tcW w:w="7278"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杨陵区政务服务中心</w:t>
            </w:r>
          </w:p>
        </w:tc>
      </w:tr>
    </w:tbl>
    <w:p>
      <w:pPr>
        <w:spacing w:line="560" w:lineRule="exact"/>
        <w:ind w:firstLine="640"/>
        <w:rPr>
          <w:rFonts w:ascii="黑体" w:hAnsi="黑体" w:eastAsia="黑体"/>
          <w:b/>
          <w:bCs/>
          <w:sz w:val="32"/>
          <w:szCs w:val="32"/>
        </w:rPr>
      </w:pPr>
      <w:r>
        <w:rPr>
          <w:rFonts w:hint="eastAsia" w:ascii="黑体" w:hAnsi="黑体" w:eastAsia="黑体"/>
          <w:b/>
          <w:bCs/>
          <w:sz w:val="32"/>
          <w:szCs w:val="32"/>
        </w:rPr>
        <w:t>三、部门人员情况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58240" behindDoc="0" locked="0" layoutInCell="1" allowOverlap="1">
            <wp:simplePos x="0" y="0"/>
            <wp:positionH relativeFrom="column">
              <wp:posOffset>971550</wp:posOffset>
            </wp:positionH>
            <wp:positionV relativeFrom="paragraph">
              <wp:posOffset>71755</wp:posOffset>
            </wp:positionV>
            <wp:extent cx="3702050" cy="2401570"/>
            <wp:effectExtent l="5080" t="5080" r="13970" b="6350"/>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_GB2312" w:hAnsi="仿宋_GB2312" w:eastAsia="仿宋_GB2312" w:cs="仿宋_GB2312"/>
          <w:sz w:val="32"/>
          <w:szCs w:val="32"/>
        </w:rPr>
        <w:t>截止2019年底，本部门人员编制14人，其中行政编制4人、事业编制10人；实有人员11人，其中行政4人、事业7人。单位管理的离退休人员0人。</w:t>
      </w:r>
    </w:p>
    <w:p>
      <w:pPr>
        <w:spacing w:line="560" w:lineRule="exact"/>
        <w:jc w:val="center"/>
        <w:rPr>
          <w:sz w:val="44"/>
          <w:szCs w:val="44"/>
        </w:rPr>
      </w:pPr>
      <w:r>
        <w:rPr>
          <w:rFonts w:hint="eastAsia" w:ascii="黑体" w:hAnsi="宋体" w:eastAsia="黑体"/>
          <w:color w:val="000000"/>
          <w:kern w:val="0"/>
          <w:sz w:val="44"/>
          <w:szCs w:val="44"/>
        </w:rPr>
        <w:t>第二部分</w:t>
      </w:r>
      <w:r>
        <w:rPr>
          <w:rFonts w:ascii="黑体" w:hAnsi="宋体" w:eastAsia="黑体"/>
          <w:color w:val="000000"/>
          <w:kern w:val="0"/>
          <w:sz w:val="44"/>
          <w:szCs w:val="44"/>
        </w:rPr>
        <w:t xml:space="preserve"> 2019</w:t>
      </w:r>
      <w:r>
        <w:rPr>
          <w:rFonts w:hint="eastAsia" w:ascii="黑体" w:hAnsi="宋体" w:eastAsia="黑体"/>
          <w:color w:val="000000"/>
          <w:kern w:val="0"/>
          <w:sz w:val="44"/>
          <w:szCs w:val="44"/>
        </w:rPr>
        <w:t>年度部门决算表</w:t>
      </w:r>
    </w:p>
    <w:tbl>
      <w:tblPr>
        <w:tblStyle w:val="8"/>
        <w:tblpPr w:leftFromText="180" w:rightFromText="180" w:vertAnchor="text" w:horzAnchor="page" w:tblpX="1494" w:tblpY="1507"/>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黑体" w:hAnsi="宋体" w:eastAsia="黑体"/>
                <w:color w:val="000000"/>
                <w:sz w:val="24"/>
              </w:rPr>
            </w:pPr>
            <w:r>
              <w:rPr>
                <w:rFonts w:hint="eastAsia" w:ascii="黑体" w:hAnsi="宋体" w:eastAsia="黑体"/>
                <w:color w:val="000000"/>
                <w:kern w:val="0"/>
                <w:sz w:val="24"/>
              </w:rPr>
              <w:t>序号</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黑体" w:hAnsi="宋体" w:eastAsia="黑体"/>
                <w:color w:val="000000"/>
                <w:sz w:val="24"/>
              </w:rPr>
            </w:pPr>
            <w:r>
              <w:rPr>
                <w:rFonts w:hint="eastAsia" w:ascii="黑体" w:hAnsi="宋体" w:eastAsia="黑体"/>
                <w:color w:val="000000"/>
                <w:kern w:val="0"/>
                <w:sz w:val="24"/>
              </w:rPr>
              <w:t>内容</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黑体" w:hAnsi="宋体" w:eastAsia="黑体"/>
                <w:color w:val="000000"/>
                <w:kern w:val="0"/>
                <w:sz w:val="24"/>
              </w:rPr>
            </w:pPr>
            <w:r>
              <w:rPr>
                <w:rFonts w:hint="eastAsia" w:ascii="黑体" w:hAnsi="宋体" w:eastAsia="黑体"/>
                <w:color w:val="000000"/>
                <w:kern w:val="0"/>
                <w:sz w:val="24"/>
              </w:rPr>
              <w:t>是否</w:t>
            </w:r>
          </w:p>
          <w:p>
            <w:pPr>
              <w:spacing w:line="560" w:lineRule="exact"/>
              <w:jc w:val="center"/>
              <w:textAlignment w:val="center"/>
              <w:rPr>
                <w:rFonts w:ascii="黑体" w:hAnsi="宋体" w:eastAsia="黑体"/>
                <w:color w:val="000000"/>
                <w:sz w:val="24"/>
              </w:rPr>
            </w:pPr>
            <w:r>
              <w:rPr>
                <w:rFonts w:hint="eastAsia" w:ascii="黑体" w:hAnsi="宋体" w:eastAsia="黑体"/>
                <w:color w:val="000000"/>
                <w:kern w:val="0"/>
                <w:sz w:val="24"/>
              </w:rPr>
              <w:t>空表</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黑体" w:hAnsi="宋体" w:eastAsia="黑体"/>
                <w:color w:val="000000"/>
                <w:sz w:val="24"/>
              </w:rPr>
            </w:pPr>
            <w:r>
              <w:rPr>
                <w:rFonts w:hint="eastAsia" w:ascii="黑体" w:hAnsi="宋体" w:eastAsia="黑体"/>
                <w:color w:val="000000"/>
                <w:kern w:val="0"/>
                <w:sz w:val="24"/>
              </w:rPr>
              <w:t>表格为空的理由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1</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left"/>
              <w:rPr>
                <w:rFonts w:ascii="宋体" w:cs="宋体"/>
                <w:color w:val="000000"/>
                <w:kern w:val="0"/>
                <w:sz w:val="24"/>
              </w:rPr>
            </w:pPr>
            <w:r>
              <w:rPr>
                <w:rFonts w:hint="eastAsia" w:ascii="宋体" w:hAnsi="宋体" w:cs="宋体"/>
                <w:color w:val="000000"/>
                <w:kern w:val="0"/>
                <w:sz w:val="24"/>
              </w:rPr>
              <w:t>收入支出决算总表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宋体" w:cs="宋体"/>
                <w:color w:val="000000"/>
                <w:sz w:val="24"/>
              </w:rPr>
            </w:pPr>
            <w:r>
              <w:rPr>
                <w:rFonts w:hint="eastAsia" w:asci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2</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left"/>
              <w:rPr>
                <w:rFonts w:ascii="宋体" w:cs="宋体"/>
                <w:color w:val="000000"/>
                <w:kern w:val="0"/>
                <w:sz w:val="24"/>
              </w:rPr>
            </w:pPr>
            <w:r>
              <w:rPr>
                <w:rFonts w:hint="eastAsia" w:ascii="宋体" w:hAnsi="宋体" w:cs="宋体"/>
                <w:color w:val="000000"/>
                <w:kern w:val="0"/>
                <w:sz w:val="24"/>
              </w:rPr>
              <w:t>收入决算表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宋体" w:cs="宋体"/>
                <w:color w:val="000000"/>
                <w:sz w:val="24"/>
              </w:rPr>
            </w:pPr>
            <w:r>
              <w:rPr>
                <w:rFonts w:hint="eastAsia" w:asci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3</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left"/>
              <w:rPr>
                <w:rFonts w:ascii="宋体" w:cs="宋体"/>
                <w:color w:val="000000"/>
                <w:kern w:val="0"/>
                <w:sz w:val="24"/>
              </w:rPr>
            </w:pPr>
            <w:r>
              <w:rPr>
                <w:rFonts w:hint="eastAsia" w:ascii="宋体" w:hAnsi="宋体" w:cs="宋体"/>
                <w:color w:val="000000"/>
                <w:kern w:val="0"/>
                <w:sz w:val="24"/>
              </w:rPr>
              <w:t>支出决算表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宋体" w:cs="宋体"/>
                <w:color w:val="000000"/>
                <w:sz w:val="24"/>
              </w:rPr>
            </w:pPr>
            <w:r>
              <w:rPr>
                <w:rFonts w:hint="eastAsia" w:asci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4</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left"/>
              <w:rPr>
                <w:rFonts w:ascii="宋体" w:cs="宋体"/>
                <w:color w:val="000000"/>
                <w:kern w:val="0"/>
                <w:sz w:val="24"/>
              </w:rPr>
            </w:pPr>
            <w:r>
              <w:rPr>
                <w:rFonts w:hint="eastAsia" w:ascii="宋体" w:hAnsi="宋体" w:cs="宋体"/>
                <w:color w:val="000000"/>
                <w:kern w:val="0"/>
                <w:sz w:val="24"/>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宋体" w:cs="宋体"/>
                <w:color w:val="000000"/>
                <w:sz w:val="24"/>
              </w:rPr>
            </w:pPr>
            <w:r>
              <w:rPr>
                <w:rFonts w:hint="eastAsia" w:asci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5</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left"/>
              <w:rPr>
                <w:rFonts w:ascii="宋体" w:cs="宋体"/>
                <w:color w:val="000000"/>
                <w:kern w:val="0"/>
                <w:sz w:val="24"/>
              </w:rPr>
            </w:pPr>
            <w:r>
              <w:rPr>
                <w:rFonts w:hint="eastAsia" w:ascii="宋体" w:hAnsi="宋体" w:cs="宋体"/>
                <w:color w:val="000000"/>
                <w:kern w:val="0"/>
                <w:sz w:val="24"/>
              </w:rPr>
              <w:t>一般公共预算财政拨款支出决算表</w:t>
            </w:r>
          </w:p>
          <w:p>
            <w:pPr>
              <w:spacing w:line="340" w:lineRule="exact"/>
              <w:jc w:val="left"/>
              <w:rPr>
                <w:rFonts w:ascii="宋体" w:cs="宋体"/>
                <w:color w:val="000000"/>
                <w:kern w:val="0"/>
                <w:sz w:val="24"/>
              </w:rPr>
            </w:pPr>
            <w:r>
              <w:rPr>
                <w:rFonts w:hint="eastAsia" w:ascii="宋体" w:hAnsi="宋体" w:cs="宋体"/>
                <w:color w:val="000000"/>
                <w:kern w:val="0"/>
                <w:sz w:val="24"/>
              </w:rPr>
              <w:t>（按功能分类科目）</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宋体" w:cs="宋体"/>
                <w:color w:val="000000"/>
                <w:sz w:val="24"/>
              </w:rPr>
            </w:pPr>
            <w:r>
              <w:rPr>
                <w:rFonts w:hint="eastAsia" w:asci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6</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left"/>
              <w:rPr>
                <w:rFonts w:ascii="宋体" w:cs="宋体"/>
                <w:color w:val="000000"/>
                <w:kern w:val="0"/>
                <w:sz w:val="24"/>
              </w:rPr>
            </w:pPr>
            <w:r>
              <w:rPr>
                <w:rFonts w:hint="eastAsia" w:ascii="宋体" w:hAnsi="宋体" w:cs="宋体"/>
                <w:color w:val="000000"/>
                <w:kern w:val="0"/>
                <w:sz w:val="24"/>
              </w:rPr>
              <w:t>一般公共预算财政拨款基本支出决算表（按经济分类科目）</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宋体" w:cs="宋体"/>
                <w:color w:val="000000"/>
                <w:sz w:val="24"/>
              </w:rPr>
            </w:pPr>
            <w:r>
              <w:rPr>
                <w:rFonts w:hint="eastAsia" w:asci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spacing w:line="560" w:lineRule="exact"/>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7</w:t>
            </w:r>
          </w:p>
        </w:tc>
        <w:tc>
          <w:tcPr>
            <w:tcW w:w="411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spacing w:line="340" w:lineRule="exact"/>
              <w:jc w:val="left"/>
              <w:textAlignment w:val="center"/>
              <w:rPr>
                <w:rFonts w:ascii="宋体" w:cs="宋体"/>
                <w:color w:val="000000"/>
                <w:sz w:val="24"/>
              </w:rPr>
            </w:pPr>
            <w:r>
              <w:rPr>
                <w:rFonts w:hint="eastAsia" w:ascii="宋体" w:hAnsi="宋体" w:cs="宋体"/>
                <w:color w:val="000000"/>
                <w:kern w:val="0"/>
                <w:sz w:val="24"/>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spacing w:line="560" w:lineRule="exact"/>
              <w:jc w:val="center"/>
              <w:rPr>
                <w:rFonts w:ascii="宋体" w:cs="宋体"/>
                <w:color w:val="000000"/>
                <w:sz w:val="24"/>
              </w:rPr>
            </w:pPr>
            <w:r>
              <w:rPr>
                <w:rFonts w:hint="eastAsia" w:ascii="宋体" w:cs="宋体"/>
                <w:color w:val="000000"/>
                <w:sz w:val="24"/>
              </w:rPr>
              <w:t>是</w:t>
            </w:r>
          </w:p>
        </w:tc>
        <w:tc>
          <w:tcPr>
            <w:tcW w:w="3108"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spacing w:line="340" w:lineRule="exact"/>
              <w:rPr>
                <w:rFonts w:ascii="宋体" w:cs="宋体"/>
                <w:color w:val="000000"/>
                <w:sz w:val="24"/>
              </w:rPr>
            </w:pPr>
            <w:r>
              <w:rPr>
                <w:rFonts w:hint="eastAsia" w:ascii="宋体" w:cs="宋体"/>
                <w:color w:val="000000"/>
                <w:sz w:val="24"/>
              </w:rPr>
              <w:t>本年无发生</w:t>
            </w: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8</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left"/>
              <w:rPr>
                <w:rFonts w:ascii="宋体" w:cs="宋体"/>
                <w:color w:val="000000"/>
                <w:kern w:val="0"/>
                <w:sz w:val="24"/>
              </w:rPr>
            </w:pPr>
            <w:r>
              <w:rPr>
                <w:rFonts w:hint="eastAsia" w:ascii="宋体" w:hAnsi="宋体" w:cs="宋体"/>
                <w:color w:val="000000"/>
                <w:kern w:val="0"/>
                <w:sz w:val="24"/>
              </w:rPr>
              <w:t>政府性基金预算财政拨款收入支出</w:t>
            </w:r>
          </w:p>
          <w:p>
            <w:pPr>
              <w:spacing w:line="340" w:lineRule="exact"/>
              <w:jc w:val="left"/>
              <w:rPr>
                <w:rFonts w:ascii="宋体" w:cs="宋体"/>
                <w:color w:val="000000"/>
                <w:sz w:val="24"/>
              </w:rPr>
            </w:pPr>
            <w:r>
              <w:rPr>
                <w:rFonts w:hint="eastAsia" w:ascii="宋体" w:hAnsi="宋体" w:cs="宋体"/>
                <w:color w:val="000000"/>
                <w:kern w:val="0"/>
                <w:sz w:val="24"/>
              </w:rPr>
              <w:t>决算表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hAnsi="宋体" w:cs="宋体"/>
                <w:color w:val="000000"/>
                <w:sz w:val="24"/>
              </w:rPr>
              <w:t>是</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4"/>
              </w:rPr>
            </w:pPr>
            <w:r>
              <w:rPr>
                <w:rFonts w:hint="eastAsia" w:ascii="宋体" w:hAnsi="宋体" w:cs="宋体"/>
                <w:color w:val="000000"/>
                <w:sz w:val="24"/>
              </w:rPr>
              <w:t>无政府性基金</w:t>
            </w:r>
          </w:p>
        </w:tc>
      </w:tr>
    </w:tbl>
    <w:p>
      <w:pPr>
        <w:spacing w:line="560" w:lineRule="exact"/>
        <w:jc w:val="center"/>
        <w:textAlignment w:val="center"/>
        <w:rPr>
          <w:rFonts w:ascii="宋体" w:cs="宋体"/>
          <w:b/>
          <w:color w:val="000000"/>
          <w:kern w:val="0"/>
          <w:sz w:val="40"/>
          <w:szCs w:val="40"/>
        </w:rPr>
      </w:pPr>
    </w:p>
    <w:p>
      <w:pPr>
        <w:spacing w:line="560" w:lineRule="exact"/>
        <w:jc w:val="center"/>
        <w:textAlignment w:val="center"/>
        <w:rPr>
          <w:rFonts w:ascii="宋体" w:cs="宋体"/>
          <w:b/>
          <w:color w:val="000000"/>
          <w:kern w:val="0"/>
          <w:sz w:val="40"/>
          <w:szCs w:val="40"/>
        </w:rPr>
      </w:pPr>
    </w:p>
    <w:p>
      <w:pPr>
        <w:spacing w:line="560" w:lineRule="exact"/>
        <w:jc w:val="center"/>
        <w:textAlignment w:val="center"/>
        <w:rPr>
          <w:rFonts w:ascii="宋体" w:cs="宋体"/>
          <w:b/>
          <w:color w:val="000000"/>
          <w:kern w:val="0"/>
          <w:sz w:val="40"/>
          <w:szCs w:val="40"/>
        </w:rPr>
      </w:pPr>
    </w:p>
    <w:p>
      <w:pPr>
        <w:spacing w:line="560" w:lineRule="exact"/>
        <w:jc w:val="center"/>
        <w:textAlignment w:val="center"/>
        <w:rPr>
          <w:rFonts w:ascii="宋体" w:cs="宋体"/>
          <w:b/>
          <w:color w:val="000000"/>
          <w:kern w:val="0"/>
          <w:sz w:val="40"/>
          <w:szCs w:val="40"/>
        </w:rPr>
      </w:pPr>
    </w:p>
    <w:p>
      <w:pPr>
        <w:spacing w:line="560" w:lineRule="exact"/>
        <w:jc w:val="center"/>
        <w:textAlignment w:val="center"/>
        <w:rPr>
          <w:rFonts w:ascii="宋体" w:cs="宋体"/>
          <w:b/>
          <w:color w:val="000000"/>
          <w:kern w:val="0"/>
          <w:sz w:val="40"/>
          <w:szCs w:val="40"/>
        </w:rPr>
      </w:pPr>
    </w:p>
    <w:p>
      <w:pPr>
        <w:spacing w:line="560" w:lineRule="exact"/>
        <w:jc w:val="center"/>
        <w:textAlignment w:val="center"/>
        <w:rPr>
          <w:rFonts w:ascii="宋体" w:cs="宋体"/>
          <w:b/>
          <w:color w:val="000000"/>
          <w:kern w:val="0"/>
          <w:sz w:val="40"/>
          <w:szCs w:val="40"/>
        </w:rPr>
      </w:pPr>
    </w:p>
    <w:p>
      <w:pPr>
        <w:spacing w:line="560" w:lineRule="exact"/>
        <w:jc w:val="center"/>
        <w:textAlignment w:val="center"/>
        <w:rPr>
          <w:rFonts w:ascii="宋体" w:cs="宋体"/>
          <w:b/>
          <w:color w:val="000000"/>
          <w:kern w:val="0"/>
          <w:sz w:val="40"/>
          <w:szCs w:val="40"/>
        </w:rPr>
      </w:pPr>
    </w:p>
    <w:p>
      <w:pPr>
        <w:spacing w:line="560" w:lineRule="exact"/>
        <w:jc w:val="center"/>
        <w:textAlignment w:val="center"/>
        <w:rPr>
          <w:rFonts w:ascii="宋体" w:cs="宋体"/>
          <w:b/>
          <w:color w:val="000000"/>
          <w:kern w:val="0"/>
          <w:sz w:val="40"/>
          <w:szCs w:val="40"/>
        </w:rPr>
      </w:pPr>
    </w:p>
    <w:p>
      <w:pPr>
        <w:spacing w:line="560" w:lineRule="exact"/>
        <w:jc w:val="center"/>
        <w:rPr>
          <w:rFonts w:ascii="宋体" w:cs="宋体"/>
          <w:b/>
          <w:bCs/>
          <w:sz w:val="32"/>
          <w:szCs w:val="32"/>
        </w:rPr>
      </w:pPr>
      <w:r>
        <w:rPr>
          <w:rFonts w:hint="eastAsia" w:ascii="宋体" w:hAnsi="宋体" w:cs="宋体"/>
          <w:b/>
          <w:bCs/>
          <w:sz w:val="32"/>
          <w:szCs w:val="32"/>
        </w:rPr>
        <w:t>收入支出决算总表</w:t>
      </w:r>
    </w:p>
    <w:p>
      <w:pPr>
        <w:spacing w:line="340" w:lineRule="exact"/>
        <w:jc w:val="right"/>
        <w:rPr>
          <w:rFonts w:ascii="宋体" w:cs="宋体"/>
          <w:b/>
          <w:bCs/>
          <w:szCs w:val="21"/>
        </w:rPr>
      </w:pPr>
      <w:r>
        <w:rPr>
          <w:rFonts w:hint="eastAsia" w:ascii="宋体" w:hAnsi="宋体" w:cs="宋体"/>
          <w:b/>
          <w:bCs/>
          <w:szCs w:val="21"/>
        </w:rPr>
        <w:t>公开</w:t>
      </w:r>
      <w:r>
        <w:rPr>
          <w:rFonts w:ascii="宋体" w:hAnsi="宋体" w:cs="宋体"/>
          <w:b/>
          <w:bCs/>
          <w:szCs w:val="21"/>
        </w:rPr>
        <w:t>01</w:t>
      </w:r>
      <w:r>
        <w:rPr>
          <w:rFonts w:hint="eastAsia" w:ascii="宋体" w:hAnsi="宋体" w:cs="宋体"/>
          <w:b/>
          <w:bCs/>
          <w:szCs w:val="21"/>
        </w:rPr>
        <w:t>表</w:t>
      </w:r>
    </w:p>
    <w:p>
      <w:pPr>
        <w:spacing w:line="340" w:lineRule="exact"/>
        <w:rPr>
          <w:rFonts w:ascii="宋体" w:cs="宋体"/>
          <w:b/>
          <w:bCs/>
          <w:szCs w:val="21"/>
        </w:rPr>
      </w:pPr>
      <w:r>
        <w:rPr>
          <w:rFonts w:hint="eastAsia" w:ascii="宋体" w:hAnsi="宋体" w:cs="宋体"/>
          <w:b/>
          <w:bCs/>
          <w:szCs w:val="21"/>
        </w:rPr>
        <w:t>编制部门：杨陵区行政审批服务局                                        金额单位：万元</w:t>
      </w:r>
    </w:p>
    <w:tbl>
      <w:tblPr>
        <w:tblStyle w:val="8"/>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宋体" w:cs="宋体"/>
                <w:b/>
                <w:color w:val="000000"/>
                <w:szCs w:val="21"/>
              </w:rPr>
            </w:pPr>
            <w:r>
              <w:rPr>
                <w:rFonts w:hint="eastAsia" w:ascii="宋体" w:hAnsi="宋体" w:cs="宋体"/>
                <w:b/>
                <w:color w:val="000000"/>
                <w:kern w:val="0"/>
                <w:szCs w:val="21"/>
              </w:rPr>
              <w:t>收入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宋体" w:cs="宋体"/>
                <w:b/>
                <w:color w:val="000000"/>
                <w:szCs w:val="21"/>
              </w:rPr>
            </w:pPr>
            <w:r>
              <w:rPr>
                <w:rFonts w:hint="eastAsia" w:ascii="宋体" w:hAnsi="宋体" w:cs="宋体"/>
                <w:b/>
                <w:color w:val="000000"/>
                <w:kern w:val="0"/>
                <w:szCs w:val="21"/>
              </w:rPr>
              <w:t>支出</w:t>
            </w:r>
          </w:p>
        </w:tc>
      </w:tr>
      <w:tr>
        <w:tblPrEx>
          <w:tblCellMar>
            <w:top w:w="15" w:type="dxa"/>
            <w:left w:w="15" w:type="dxa"/>
            <w:bottom w:w="15" w:type="dxa"/>
            <w:right w:w="15" w:type="dxa"/>
          </w:tblCellMar>
        </w:tblPrEx>
        <w:trPr>
          <w:trHeight w:val="263"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宋体" w:cs="宋体"/>
                <w:b/>
                <w:color w:val="000000"/>
                <w:szCs w:val="21"/>
              </w:rPr>
            </w:pPr>
            <w:r>
              <w:rPr>
                <w:rFonts w:hint="eastAsia" w:ascii="宋体" w:hAnsi="宋体" w:cs="宋体"/>
                <w:b/>
                <w:color w:val="000000"/>
                <w:kern w:val="0"/>
                <w:szCs w:val="21"/>
              </w:rPr>
              <w:t>项目</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宋体" w:cs="宋体"/>
                <w:color w:val="000000"/>
                <w:szCs w:val="21"/>
              </w:rPr>
            </w:pPr>
            <w:r>
              <w:rPr>
                <w:rFonts w:ascii="宋体" w:hAnsi="宋体" w:cs="宋体"/>
                <w:color w:val="000000"/>
                <w:kern w:val="0"/>
                <w:sz w:val="20"/>
                <w:szCs w:val="20"/>
              </w:rPr>
              <w:t>1</w:t>
            </w:r>
            <w:r>
              <w:rPr>
                <w:rFonts w:hint="eastAsia" w:ascii="宋体" w:hAnsi="宋体" w:cs="宋体"/>
                <w:color w:val="000000"/>
                <w:kern w:val="0"/>
                <w:sz w:val="20"/>
                <w:szCs w:val="20"/>
              </w:rPr>
              <w:t>、一般公共预算财政拨款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r>
              <w:rPr>
                <w:rFonts w:hint="eastAsia" w:ascii="宋体" w:cs="宋体"/>
                <w:color w:val="000000"/>
                <w:szCs w:val="21"/>
              </w:rPr>
              <w:t>82.62</w:t>
            </w:r>
          </w:p>
        </w:tc>
        <w:tc>
          <w:tcPr>
            <w:tcW w:w="30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宋体" w:cs="宋体"/>
                <w:color w:val="000000"/>
                <w:szCs w:val="21"/>
              </w:rPr>
            </w:pPr>
            <w:r>
              <w:rPr>
                <w:rFonts w:ascii="宋体" w:hAnsi="宋体" w:cs="宋体"/>
                <w:color w:val="000000"/>
                <w:kern w:val="0"/>
                <w:szCs w:val="21"/>
              </w:rPr>
              <w:t xml:space="preserve">  1</w:t>
            </w:r>
            <w:r>
              <w:rPr>
                <w:rFonts w:hint="eastAsia" w:ascii="宋体" w:hAnsi="宋体" w:cs="宋体"/>
                <w:color w:val="000000"/>
                <w:kern w:val="0"/>
                <w:szCs w:val="21"/>
              </w:rPr>
              <w:t>、一般公共服务支出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r>
              <w:rPr>
                <w:rFonts w:hint="eastAsia" w:ascii="宋体" w:cs="宋体"/>
                <w:color w:val="000000"/>
                <w:szCs w:val="21"/>
              </w:rPr>
              <w:t>92.70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宋体" w:cs="宋体"/>
                <w:color w:val="000000"/>
                <w:szCs w:val="21"/>
              </w:rPr>
            </w:pPr>
            <w:r>
              <w:rPr>
                <w:rFonts w:ascii="宋体" w:hAnsi="宋体" w:cs="宋体"/>
                <w:color w:val="000000"/>
                <w:kern w:val="0"/>
                <w:sz w:val="20"/>
                <w:szCs w:val="20"/>
              </w:rPr>
              <w:t>2</w:t>
            </w:r>
            <w:r>
              <w:rPr>
                <w:rFonts w:hint="eastAsia" w:ascii="宋体" w:hAnsi="宋体" w:cs="宋体"/>
                <w:color w:val="000000"/>
                <w:kern w:val="0"/>
                <w:sz w:val="20"/>
                <w:szCs w:val="20"/>
              </w:rPr>
              <w:t>、政府性基金预算财政拨款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宋体" w:cs="宋体"/>
                <w:color w:val="000000"/>
                <w:szCs w:val="21"/>
              </w:rPr>
            </w:pPr>
            <w:r>
              <w:rPr>
                <w:rFonts w:ascii="宋体" w:hAnsi="宋体" w:cs="宋体"/>
                <w:color w:val="000000"/>
                <w:kern w:val="0"/>
                <w:szCs w:val="21"/>
              </w:rPr>
              <w:t xml:space="preserve">  2</w:t>
            </w:r>
            <w:r>
              <w:rPr>
                <w:rFonts w:hint="eastAsia" w:ascii="宋体" w:hAnsi="宋体" w:cs="宋体"/>
                <w:color w:val="000000"/>
                <w:kern w:val="0"/>
                <w:szCs w:val="21"/>
              </w:rPr>
              <w:t>、外交支出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宋体" w:cs="宋体"/>
                <w:color w:val="000000"/>
                <w:szCs w:val="21"/>
              </w:rPr>
            </w:pPr>
            <w:r>
              <w:rPr>
                <w:rFonts w:ascii="宋体" w:hAnsi="宋体" w:cs="宋体"/>
                <w:color w:val="000000"/>
                <w:kern w:val="0"/>
                <w:sz w:val="20"/>
                <w:szCs w:val="20"/>
              </w:rPr>
              <w:t>3</w:t>
            </w:r>
            <w:r>
              <w:rPr>
                <w:rFonts w:hint="eastAsia" w:ascii="宋体" w:hAnsi="宋体" w:cs="宋体"/>
                <w:color w:val="000000"/>
                <w:kern w:val="0"/>
                <w:sz w:val="20"/>
                <w:szCs w:val="20"/>
              </w:rPr>
              <w:t>、国有资本经营预算财政拨款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宋体" w:cs="宋体"/>
                <w:color w:val="000000"/>
                <w:szCs w:val="21"/>
              </w:rPr>
            </w:pPr>
            <w:r>
              <w:rPr>
                <w:rFonts w:ascii="宋体" w:hAnsi="宋体" w:cs="宋体"/>
                <w:color w:val="000000"/>
                <w:kern w:val="0"/>
                <w:szCs w:val="21"/>
              </w:rPr>
              <w:t xml:space="preserve">  3</w:t>
            </w:r>
            <w:r>
              <w:rPr>
                <w:rFonts w:hint="eastAsia" w:ascii="宋体" w:hAnsi="宋体" w:cs="宋体"/>
                <w:color w:val="000000"/>
                <w:kern w:val="0"/>
                <w:szCs w:val="21"/>
              </w:rPr>
              <w:t>、国防支出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宋体" w:cs="宋体"/>
                <w:color w:val="000000"/>
                <w:szCs w:val="21"/>
              </w:rPr>
            </w:pPr>
            <w:r>
              <w:rPr>
                <w:rFonts w:ascii="宋体" w:hAnsi="宋体" w:cs="宋体"/>
                <w:color w:val="000000"/>
                <w:kern w:val="0"/>
                <w:sz w:val="20"/>
                <w:szCs w:val="20"/>
              </w:rPr>
              <w:t>4</w:t>
            </w:r>
            <w:r>
              <w:rPr>
                <w:rFonts w:hint="eastAsia" w:ascii="宋体" w:hAnsi="宋体" w:cs="宋体"/>
                <w:color w:val="000000"/>
                <w:kern w:val="0"/>
                <w:sz w:val="20"/>
                <w:szCs w:val="20"/>
              </w:rPr>
              <w:t>、上级补助收入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textAlignment w:val="center"/>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宋体" w:cs="宋体"/>
                <w:color w:val="000000"/>
                <w:szCs w:val="21"/>
              </w:rPr>
            </w:pPr>
            <w:r>
              <w:rPr>
                <w:rFonts w:ascii="宋体" w:hAnsi="宋体" w:cs="宋体"/>
                <w:color w:val="000000"/>
                <w:kern w:val="0"/>
                <w:szCs w:val="21"/>
              </w:rPr>
              <w:t xml:space="preserve">  4</w:t>
            </w:r>
            <w:r>
              <w:rPr>
                <w:rFonts w:hint="eastAsia" w:ascii="宋体" w:hAnsi="宋体" w:cs="宋体"/>
                <w:color w:val="000000"/>
                <w:kern w:val="0"/>
                <w:szCs w:val="21"/>
              </w:rPr>
              <w:t>、公共安全支出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宋体" w:cs="宋体"/>
                <w:color w:val="000000"/>
                <w:szCs w:val="21"/>
              </w:rPr>
            </w:pPr>
            <w:r>
              <w:rPr>
                <w:rFonts w:ascii="宋体" w:hAnsi="宋体" w:cs="宋体"/>
                <w:color w:val="000000"/>
                <w:kern w:val="0"/>
                <w:sz w:val="20"/>
                <w:szCs w:val="20"/>
              </w:rPr>
              <w:t>5</w:t>
            </w:r>
            <w:r>
              <w:rPr>
                <w:rFonts w:hint="eastAsia" w:ascii="宋体" w:hAnsi="宋体" w:cs="宋体"/>
                <w:color w:val="000000"/>
                <w:kern w:val="0"/>
                <w:sz w:val="20"/>
                <w:szCs w:val="20"/>
              </w:rPr>
              <w:t>、事业收入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textAlignment w:val="center"/>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宋体" w:cs="宋体"/>
                <w:color w:val="000000"/>
                <w:szCs w:val="21"/>
              </w:rPr>
            </w:pPr>
            <w:r>
              <w:rPr>
                <w:rFonts w:ascii="宋体" w:hAnsi="宋体" w:cs="宋体"/>
                <w:color w:val="000000"/>
                <w:kern w:val="0"/>
                <w:szCs w:val="21"/>
              </w:rPr>
              <w:t xml:space="preserve">  5</w:t>
            </w:r>
            <w:r>
              <w:rPr>
                <w:rFonts w:hint="eastAsia" w:ascii="宋体" w:hAnsi="宋体" w:cs="宋体"/>
                <w:color w:val="000000"/>
                <w:kern w:val="0"/>
                <w:szCs w:val="21"/>
              </w:rPr>
              <w:t>、教育支出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宋体" w:cs="宋体"/>
                <w:color w:val="000000"/>
                <w:szCs w:val="21"/>
              </w:rPr>
            </w:pPr>
            <w:r>
              <w:rPr>
                <w:rFonts w:ascii="宋体" w:hAnsi="宋体" w:cs="宋体"/>
                <w:color w:val="000000"/>
                <w:kern w:val="0"/>
                <w:sz w:val="20"/>
                <w:szCs w:val="20"/>
              </w:rPr>
              <w:t>6</w:t>
            </w:r>
            <w:r>
              <w:rPr>
                <w:rFonts w:hint="eastAsia" w:ascii="宋体" w:hAnsi="宋体" w:cs="宋体"/>
                <w:color w:val="000000"/>
                <w:kern w:val="0"/>
                <w:sz w:val="20"/>
                <w:szCs w:val="20"/>
              </w:rPr>
              <w:t>、经营收入</w:t>
            </w:r>
          </w:p>
        </w:tc>
        <w:tc>
          <w:tcPr>
            <w:tcW w:w="1080" w:type="dxa"/>
            <w:tcBorders>
              <w:top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宋体" w:cs="宋体"/>
                <w:color w:val="000000"/>
                <w:szCs w:val="21"/>
              </w:rPr>
            </w:pPr>
            <w:r>
              <w:rPr>
                <w:rFonts w:ascii="宋体" w:hAnsi="宋体" w:cs="宋体"/>
                <w:color w:val="000000"/>
                <w:kern w:val="0"/>
                <w:szCs w:val="21"/>
              </w:rPr>
              <w:t xml:space="preserve">  6</w:t>
            </w:r>
            <w:r>
              <w:rPr>
                <w:rFonts w:hint="eastAsia" w:ascii="宋体" w:hAnsi="宋体" w:cs="宋体"/>
                <w:color w:val="000000"/>
                <w:kern w:val="0"/>
                <w:szCs w:val="21"/>
              </w:rPr>
              <w:t>、科学技术支出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宋体" w:cs="宋体"/>
                <w:color w:val="000000"/>
                <w:szCs w:val="21"/>
              </w:rPr>
            </w:pPr>
            <w:r>
              <w:rPr>
                <w:rFonts w:ascii="宋体" w:hAnsi="宋体" w:cs="宋体"/>
                <w:color w:val="000000"/>
                <w:kern w:val="0"/>
                <w:sz w:val="20"/>
                <w:szCs w:val="20"/>
              </w:rPr>
              <w:t>7</w:t>
            </w:r>
            <w:r>
              <w:rPr>
                <w:rFonts w:hint="eastAsia" w:ascii="宋体" w:hAnsi="宋体" w:cs="宋体"/>
                <w:color w:val="000000"/>
                <w:kern w:val="0"/>
                <w:sz w:val="20"/>
                <w:szCs w:val="20"/>
              </w:rPr>
              <w:t>、附属单位上缴收入</w:t>
            </w:r>
          </w:p>
        </w:tc>
        <w:tc>
          <w:tcPr>
            <w:tcW w:w="1080" w:type="dxa"/>
            <w:tcBorders>
              <w:top w:val="single" w:color="000000" w:sz="4" w:space="0"/>
              <w:bottom w:val="single" w:color="000000" w:sz="4" w:space="0"/>
              <w:right w:val="single" w:color="000000" w:sz="4" w:space="0"/>
            </w:tcBorders>
            <w:vAlign w:val="center"/>
          </w:tcPr>
          <w:p>
            <w:pPr>
              <w:spacing w:line="300" w:lineRule="exact"/>
              <w:jc w:val="right"/>
              <w:textAlignment w:val="center"/>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宋体" w:cs="宋体"/>
                <w:color w:val="000000"/>
                <w:szCs w:val="21"/>
              </w:rPr>
            </w:pPr>
            <w:r>
              <w:rPr>
                <w:rFonts w:ascii="宋体" w:hAnsi="宋体" w:cs="宋体"/>
                <w:color w:val="000000"/>
                <w:kern w:val="0"/>
                <w:szCs w:val="21"/>
              </w:rPr>
              <w:t xml:space="preserve">  7</w:t>
            </w:r>
            <w:r>
              <w:rPr>
                <w:rFonts w:hint="eastAsia" w:ascii="宋体" w:hAnsi="宋体" w:cs="宋体"/>
                <w:color w:val="000000"/>
                <w:kern w:val="0"/>
                <w:szCs w:val="21"/>
              </w:rPr>
              <w:t>、文化旅游体育与传媒支出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宋体" w:cs="宋体"/>
                <w:color w:val="000000"/>
                <w:szCs w:val="21"/>
              </w:rPr>
            </w:pPr>
            <w:r>
              <w:rPr>
                <w:rFonts w:ascii="宋体" w:hAnsi="宋体" w:cs="宋体"/>
                <w:color w:val="000000"/>
                <w:kern w:val="0"/>
                <w:sz w:val="20"/>
                <w:szCs w:val="20"/>
              </w:rPr>
              <w:t>8</w:t>
            </w:r>
            <w:r>
              <w:rPr>
                <w:rFonts w:hint="eastAsia" w:ascii="宋体" w:hAnsi="宋体" w:cs="宋体"/>
                <w:color w:val="000000"/>
                <w:kern w:val="0"/>
                <w:sz w:val="20"/>
                <w:szCs w:val="20"/>
              </w:rPr>
              <w:t>、其他收入</w:t>
            </w:r>
          </w:p>
        </w:tc>
        <w:tc>
          <w:tcPr>
            <w:tcW w:w="1080" w:type="dxa"/>
            <w:tcBorders>
              <w:top w:val="single" w:color="000000" w:sz="4" w:space="0"/>
              <w:bottom w:val="single" w:color="000000" w:sz="4" w:space="0"/>
              <w:right w:val="single" w:color="000000" w:sz="4" w:space="0"/>
            </w:tcBorders>
            <w:vAlign w:val="center"/>
          </w:tcPr>
          <w:p>
            <w:pPr>
              <w:spacing w:line="300" w:lineRule="exact"/>
              <w:jc w:val="right"/>
              <w:textAlignment w:val="center"/>
              <w:rPr>
                <w:rFonts w:ascii="宋体" w:cs="宋体"/>
                <w:color w:val="000000"/>
                <w:szCs w:val="21"/>
              </w:rPr>
            </w:pPr>
            <w:r>
              <w:rPr>
                <w:rFonts w:hint="eastAsia" w:ascii="宋体" w:cs="宋体"/>
                <w:color w:val="000000"/>
                <w:szCs w:val="21"/>
              </w:rPr>
              <w:t>10.09</w:t>
            </w:r>
          </w:p>
        </w:tc>
        <w:tc>
          <w:tcPr>
            <w:tcW w:w="30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宋体" w:cs="宋体"/>
                <w:color w:val="000000"/>
                <w:szCs w:val="21"/>
              </w:rPr>
            </w:pPr>
            <w:r>
              <w:rPr>
                <w:rFonts w:ascii="宋体" w:hAnsi="宋体" w:cs="宋体"/>
                <w:color w:val="000000"/>
                <w:kern w:val="0"/>
                <w:szCs w:val="21"/>
              </w:rPr>
              <w:t xml:space="preserve">  8</w:t>
            </w:r>
            <w:r>
              <w:rPr>
                <w:rFonts w:hint="eastAsia" w:ascii="宋体" w:hAnsi="宋体" w:cs="宋体"/>
                <w:color w:val="000000"/>
                <w:kern w:val="0"/>
                <w:szCs w:val="21"/>
              </w:rPr>
              <w:t>、社会保障和就业支出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spacing w:line="300" w:lineRule="exact"/>
              <w:jc w:val="right"/>
              <w:textAlignment w:val="center"/>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宋体" w:cs="宋体"/>
                <w:color w:val="000000"/>
                <w:szCs w:val="21"/>
              </w:rPr>
            </w:pPr>
            <w:r>
              <w:rPr>
                <w:rFonts w:ascii="宋体" w:hAnsi="宋体" w:cs="宋体"/>
                <w:color w:val="000000"/>
                <w:kern w:val="0"/>
                <w:szCs w:val="21"/>
              </w:rPr>
              <w:t xml:space="preserve">  9</w:t>
            </w:r>
            <w:r>
              <w:rPr>
                <w:rFonts w:hint="eastAsia" w:ascii="宋体" w:hAnsi="宋体" w:cs="宋体"/>
                <w:color w:val="000000"/>
                <w:kern w:val="0"/>
                <w:szCs w:val="21"/>
              </w:rPr>
              <w:t>、卫生健康支出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宋体" w:cs="宋体"/>
                <w:color w:val="000000"/>
                <w:szCs w:val="21"/>
              </w:rPr>
            </w:pPr>
            <w:r>
              <w:rPr>
                <w:rFonts w:ascii="宋体" w:hAnsi="宋体" w:cs="宋体"/>
                <w:color w:val="000000"/>
                <w:kern w:val="0"/>
                <w:szCs w:val="21"/>
              </w:rPr>
              <w:t xml:space="preserve">  10</w:t>
            </w:r>
            <w:r>
              <w:rPr>
                <w:rFonts w:hint="eastAsia" w:ascii="宋体" w:hAnsi="宋体" w:cs="宋体"/>
                <w:color w:val="000000"/>
                <w:kern w:val="0"/>
                <w:szCs w:val="21"/>
              </w:rPr>
              <w:t>、节能环保支出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宋体" w:cs="宋体"/>
                <w:color w:val="000000"/>
                <w:szCs w:val="21"/>
              </w:rPr>
            </w:pPr>
            <w:r>
              <w:rPr>
                <w:rFonts w:ascii="宋体" w:hAnsi="宋体" w:cs="宋体"/>
                <w:color w:val="000000"/>
                <w:kern w:val="0"/>
                <w:szCs w:val="21"/>
              </w:rPr>
              <w:t xml:space="preserve">  11</w:t>
            </w:r>
            <w:r>
              <w:rPr>
                <w:rFonts w:hint="eastAsia" w:ascii="宋体" w:hAnsi="宋体" w:cs="宋体"/>
                <w:color w:val="000000"/>
                <w:kern w:val="0"/>
                <w:szCs w:val="21"/>
              </w:rPr>
              <w:t>、城乡社区支出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宋体" w:cs="宋体"/>
                <w:color w:val="000000"/>
                <w:szCs w:val="21"/>
              </w:rPr>
            </w:pPr>
            <w:r>
              <w:rPr>
                <w:rFonts w:ascii="宋体" w:hAnsi="宋体" w:cs="宋体"/>
                <w:color w:val="000000"/>
                <w:kern w:val="0"/>
                <w:szCs w:val="21"/>
              </w:rPr>
              <w:t xml:space="preserve">  12</w:t>
            </w:r>
            <w:r>
              <w:rPr>
                <w:rFonts w:hint="eastAsia" w:ascii="宋体" w:hAnsi="宋体" w:cs="宋体"/>
                <w:color w:val="000000"/>
                <w:kern w:val="0"/>
                <w:szCs w:val="21"/>
              </w:rPr>
              <w:t>、农林水支出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宋体" w:cs="宋体"/>
                <w:color w:val="000000"/>
                <w:szCs w:val="21"/>
              </w:rPr>
            </w:pPr>
            <w:r>
              <w:rPr>
                <w:rFonts w:ascii="宋体" w:hAnsi="宋体" w:cs="宋体"/>
                <w:color w:val="000000"/>
                <w:kern w:val="0"/>
                <w:szCs w:val="21"/>
              </w:rPr>
              <w:t xml:space="preserve">  13</w:t>
            </w:r>
            <w:r>
              <w:rPr>
                <w:rFonts w:hint="eastAsia" w:ascii="宋体" w:hAnsi="宋体" w:cs="宋体"/>
                <w:color w:val="000000"/>
                <w:kern w:val="0"/>
                <w:szCs w:val="21"/>
              </w:rPr>
              <w:t>、交通运输支出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spacing w:line="300" w:lineRule="exact"/>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宋体" w:cs="宋体"/>
                <w:color w:val="000000"/>
                <w:szCs w:val="21"/>
              </w:rPr>
            </w:pPr>
            <w:r>
              <w:rPr>
                <w:rFonts w:ascii="宋体" w:hAnsi="宋体" w:cs="宋体"/>
                <w:color w:val="000000"/>
                <w:kern w:val="0"/>
                <w:szCs w:val="21"/>
              </w:rPr>
              <w:t xml:space="preserve">  14</w:t>
            </w:r>
            <w:r>
              <w:rPr>
                <w:rFonts w:hint="eastAsia" w:ascii="宋体" w:hAnsi="宋体" w:cs="宋体"/>
                <w:color w:val="000000"/>
                <w:kern w:val="0"/>
                <w:szCs w:val="21"/>
              </w:rPr>
              <w:t>、资源勘探信息等支出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spacing w:line="300" w:lineRule="exact"/>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宋体" w:cs="宋体"/>
                <w:color w:val="000000"/>
                <w:szCs w:val="21"/>
              </w:rPr>
            </w:pPr>
            <w:r>
              <w:rPr>
                <w:rFonts w:ascii="宋体" w:hAnsi="宋体" w:cs="宋体"/>
                <w:color w:val="000000"/>
                <w:kern w:val="0"/>
                <w:szCs w:val="21"/>
              </w:rPr>
              <w:t xml:space="preserve">  15</w:t>
            </w:r>
            <w:r>
              <w:rPr>
                <w:rFonts w:hint="eastAsia" w:ascii="宋体" w:hAnsi="宋体" w:cs="宋体"/>
                <w:color w:val="000000"/>
                <w:kern w:val="0"/>
                <w:szCs w:val="21"/>
              </w:rPr>
              <w:t>、商业服务业等支出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spacing w:line="300" w:lineRule="exact"/>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宋体" w:cs="宋体"/>
                <w:color w:val="000000"/>
                <w:szCs w:val="21"/>
              </w:rPr>
            </w:pPr>
            <w:r>
              <w:rPr>
                <w:rFonts w:ascii="宋体" w:hAnsi="宋体" w:cs="宋体"/>
                <w:color w:val="000000"/>
                <w:kern w:val="0"/>
                <w:szCs w:val="21"/>
              </w:rPr>
              <w:t xml:space="preserve">  16</w:t>
            </w:r>
            <w:r>
              <w:rPr>
                <w:rFonts w:hint="eastAsia" w:ascii="宋体" w:hAnsi="宋体" w:cs="宋体"/>
                <w:color w:val="000000"/>
                <w:kern w:val="0"/>
                <w:szCs w:val="21"/>
              </w:rPr>
              <w:t>、金融支出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spacing w:line="300" w:lineRule="exact"/>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宋体" w:cs="宋体"/>
                <w:color w:val="000000"/>
                <w:szCs w:val="21"/>
              </w:rPr>
            </w:pPr>
            <w:r>
              <w:rPr>
                <w:rFonts w:ascii="宋体" w:hAnsi="宋体" w:cs="宋体"/>
                <w:color w:val="000000"/>
                <w:kern w:val="0"/>
                <w:szCs w:val="21"/>
              </w:rPr>
              <w:t xml:space="preserve">  17</w:t>
            </w:r>
            <w:r>
              <w:rPr>
                <w:rFonts w:hint="eastAsia" w:ascii="宋体" w:hAnsi="宋体" w:cs="宋体"/>
                <w:color w:val="000000"/>
                <w:kern w:val="0"/>
                <w:szCs w:val="21"/>
              </w:rPr>
              <w:t>、援助其他地区支出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spacing w:line="300" w:lineRule="exact"/>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宋体" w:cs="宋体"/>
                <w:color w:val="000000"/>
                <w:szCs w:val="21"/>
              </w:rPr>
            </w:pPr>
            <w:r>
              <w:rPr>
                <w:rFonts w:ascii="宋体" w:hAnsi="宋体" w:cs="宋体"/>
                <w:color w:val="000000"/>
                <w:kern w:val="0"/>
                <w:szCs w:val="21"/>
              </w:rPr>
              <w:t xml:space="preserve">  18</w:t>
            </w:r>
            <w:r>
              <w:rPr>
                <w:rFonts w:hint="eastAsia" w:ascii="宋体" w:hAnsi="宋体" w:cs="宋体"/>
                <w:color w:val="000000"/>
                <w:kern w:val="0"/>
                <w:szCs w:val="21"/>
              </w:rPr>
              <w:t>、自然资源海洋气象等支出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spacing w:line="300" w:lineRule="exact"/>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宋体" w:cs="宋体"/>
                <w:color w:val="000000"/>
                <w:szCs w:val="21"/>
              </w:rPr>
            </w:pPr>
            <w:r>
              <w:rPr>
                <w:rFonts w:ascii="宋体" w:hAnsi="宋体" w:cs="宋体"/>
                <w:color w:val="000000"/>
                <w:kern w:val="0"/>
                <w:szCs w:val="21"/>
              </w:rPr>
              <w:t xml:space="preserve">  19</w:t>
            </w:r>
            <w:r>
              <w:rPr>
                <w:rFonts w:hint="eastAsia" w:ascii="宋体" w:hAnsi="宋体" w:cs="宋体"/>
                <w:color w:val="000000"/>
                <w:kern w:val="0"/>
                <w:szCs w:val="21"/>
              </w:rPr>
              <w:t>、住房保障支出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spacing w:line="300" w:lineRule="exact"/>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宋体" w:cs="宋体"/>
                <w:color w:val="000000"/>
                <w:szCs w:val="21"/>
              </w:rPr>
            </w:pPr>
            <w:r>
              <w:rPr>
                <w:rFonts w:ascii="宋体" w:hAnsi="宋体" w:cs="宋体"/>
                <w:color w:val="000000"/>
                <w:kern w:val="0"/>
                <w:szCs w:val="21"/>
              </w:rPr>
              <w:t xml:space="preserve">  20</w:t>
            </w:r>
            <w:r>
              <w:rPr>
                <w:rFonts w:hint="eastAsia" w:ascii="宋体" w:hAnsi="宋体" w:cs="宋体"/>
                <w:color w:val="000000"/>
                <w:kern w:val="0"/>
                <w:szCs w:val="21"/>
              </w:rPr>
              <w:t>、粮油物资储备支出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spacing w:line="300" w:lineRule="exact"/>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center"/>
              <w:rPr>
                <w:rFonts w:ascii="宋体" w:cs="宋体"/>
                <w:color w:val="000000"/>
                <w:szCs w:val="21"/>
              </w:rPr>
            </w:pPr>
            <w:r>
              <w:rPr>
                <w:rFonts w:ascii="宋体" w:hAnsi="宋体" w:cs="宋体"/>
                <w:color w:val="000000"/>
                <w:kern w:val="0"/>
                <w:szCs w:val="21"/>
              </w:rPr>
              <w:t xml:space="preserve">  21</w:t>
            </w:r>
            <w:r>
              <w:rPr>
                <w:rFonts w:hint="eastAsia" w:ascii="宋体" w:hAnsi="宋体" w:cs="宋体"/>
                <w:color w:val="000000"/>
                <w:kern w:val="0"/>
                <w:szCs w:val="21"/>
              </w:rPr>
              <w:t>、灾害防治及应急管理支出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spacing w:line="300" w:lineRule="exact"/>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210" w:firstLineChars="100"/>
              <w:jc w:val="left"/>
              <w:textAlignment w:val="center"/>
              <w:rPr>
                <w:rFonts w:ascii="宋体" w:cs="宋体"/>
                <w:color w:val="000000"/>
                <w:kern w:val="0"/>
                <w:szCs w:val="21"/>
              </w:rPr>
            </w:pPr>
            <w:r>
              <w:rPr>
                <w:rFonts w:ascii="宋体" w:hAnsi="宋体" w:cs="宋体"/>
                <w:color w:val="000000"/>
                <w:kern w:val="0"/>
                <w:szCs w:val="21"/>
              </w:rPr>
              <w:t>22</w:t>
            </w:r>
            <w:r>
              <w:rPr>
                <w:rFonts w:hint="eastAsia" w:ascii="宋体" w:hAnsi="宋体" w:cs="宋体"/>
                <w:color w:val="000000"/>
                <w:kern w:val="0"/>
                <w:szCs w:val="21"/>
              </w:rPr>
              <w:t>、其他支出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spacing w:line="300" w:lineRule="exact"/>
              <w:jc w:val="center"/>
              <w:textAlignment w:val="center"/>
              <w:rPr>
                <w:rFonts w:asci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spacing w:line="300" w:lineRule="exact"/>
              <w:jc w:val="right"/>
              <w:textAlignment w:val="center"/>
              <w:rPr>
                <w:rFonts w:ascii="宋体" w:cs="宋体"/>
                <w:color w:val="000000"/>
                <w:szCs w:val="21"/>
              </w:rPr>
            </w:pPr>
            <w:r>
              <w:rPr>
                <w:rFonts w:hint="eastAsia" w:ascii="宋体" w:cs="宋体"/>
                <w:color w:val="000000"/>
                <w:szCs w:val="21"/>
              </w:rPr>
              <w:t>92.70</w:t>
            </w:r>
          </w:p>
        </w:tc>
        <w:tc>
          <w:tcPr>
            <w:tcW w:w="3090" w:type="dxa"/>
            <w:tcBorders>
              <w:top w:val="single" w:color="000000" w:sz="4" w:space="0"/>
              <w:left w:val="single" w:color="000000" w:sz="4" w:space="0"/>
              <w:right w:val="single" w:color="000000" w:sz="4" w:space="0"/>
            </w:tcBorders>
            <w:vAlign w:val="center"/>
          </w:tcPr>
          <w:p>
            <w:pPr>
              <w:spacing w:line="300" w:lineRule="exact"/>
              <w:jc w:val="center"/>
              <w:textAlignment w:val="center"/>
              <w:rPr>
                <w:rFonts w:asci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spacing w:line="300" w:lineRule="exact"/>
              <w:jc w:val="right"/>
              <w:rPr>
                <w:rFonts w:ascii="宋体" w:cs="宋体"/>
                <w:b/>
                <w:color w:val="000000"/>
                <w:szCs w:val="21"/>
              </w:rPr>
            </w:pPr>
            <w:r>
              <w:rPr>
                <w:rFonts w:hint="eastAsia" w:ascii="宋体" w:cs="宋体"/>
                <w:b/>
                <w:color w:val="000000"/>
                <w:szCs w:val="21"/>
              </w:rPr>
              <w:t>92.70</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bCs/>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宋体" w:cs="宋体"/>
                <w:bCs/>
                <w:color w:val="000000"/>
                <w:szCs w:val="21"/>
              </w:rPr>
            </w:pPr>
            <w:r>
              <w:rPr>
                <w:rFonts w:hint="eastAsia" w:ascii="宋体" w:hAnsi="宋体" w:cs="宋体"/>
                <w:bCs/>
                <w:color w:val="000000"/>
                <w:kern w:val="0"/>
                <w:szCs w:val="21"/>
              </w:rPr>
              <w:t>结余分配</w:t>
            </w:r>
          </w:p>
        </w:tc>
        <w:tc>
          <w:tcPr>
            <w:tcW w:w="1326" w:type="dxa"/>
            <w:tcBorders>
              <w:top w:val="single" w:color="000000" w:sz="4" w:space="0"/>
              <w:left w:val="single" w:color="000000" w:sz="4" w:space="0"/>
              <w:bottom w:val="single" w:color="000000" w:sz="4" w:space="0"/>
              <w:right w:val="single" w:color="000000" w:sz="4" w:space="0"/>
            </w:tcBorders>
            <w:vAlign w:val="bottom"/>
          </w:tcPr>
          <w:p>
            <w:pPr>
              <w:spacing w:line="300" w:lineRule="exact"/>
              <w:jc w:val="right"/>
              <w:rPr>
                <w:rFonts w:ascii="宋体" w:cs="宋体"/>
                <w:b/>
                <w:color w:val="000000"/>
                <w:szCs w:val="21"/>
              </w:rPr>
            </w:pP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bCs/>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b/>
                <w:color w:val="000000"/>
                <w:szCs w:val="21"/>
              </w:rPr>
            </w:pP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color w:val="000000"/>
                <w:szCs w:val="21"/>
              </w:rPr>
            </w:pPr>
            <w:r>
              <w:rPr>
                <w:rFonts w:hint="eastAsia" w:ascii="宋体" w:cs="宋体"/>
                <w:color w:val="000000"/>
                <w:szCs w:val="21"/>
              </w:rPr>
              <w:t>92.70</w:t>
            </w:r>
          </w:p>
        </w:tc>
        <w:tc>
          <w:tcPr>
            <w:tcW w:w="30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right"/>
              <w:rPr>
                <w:rFonts w:ascii="宋体" w:cs="宋体"/>
                <w:b/>
                <w:color w:val="000000"/>
                <w:szCs w:val="21"/>
              </w:rPr>
            </w:pPr>
            <w:r>
              <w:rPr>
                <w:rFonts w:hint="eastAsia" w:ascii="宋体" w:cs="宋体"/>
                <w:b/>
                <w:color w:val="000000"/>
                <w:szCs w:val="21"/>
              </w:rPr>
              <w:t>92.70</w:t>
            </w:r>
          </w:p>
        </w:tc>
      </w:tr>
    </w:tbl>
    <w:p>
      <w:pPr>
        <w:spacing w:line="400" w:lineRule="exact"/>
        <w:jc w:val="left"/>
        <w:rPr>
          <w:rFonts w:ascii="宋体" w:hAnsi="宋体" w:cs="宋体"/>
          <w:color w:val="000000"/>
          <w:kern w:val="0"/>
          <w:szCs w:val="21"/>
        </w:rPr>
      </w:pPr>
      <w:r>
        <w:rPr>
          <w:rFonts w:hint="eastAsia" w:ascii="宋体" w:hAnsi="宋体" w:cs="宋体"/>
          <w:color w:val="000000"/>
          <w:kern w:val="0"/>
          <w:szCs w:val="21"/>
        </w:rPr>
        <w:t>注：本表反映部门本年度的总收支和年末结转结余情况。本表金额转换为万元时，因四舍五入可能存在尾差。</w:t>
      </w:r>
    </w:p>
    <w:p>
      <w:pPr>
        <w:spacing w:line="560" w:lineRule="exact"/>
        <w:jc w:val="center"/>
        <w:rPr>
          <w:rFonts w:ascii="宋体" w:cs="宋体"/>
          <w:b/>
          <w:bCs/>
          <w:sz w:val="32"/>
          <w:szCs w:val="32"/>
        </w:rPr>
      </w:pPr>
      <w:r>
        <w:rPr>
          <w:rFonts w:hint="eastAsia" w:ascii="宋体" w:hAnsi="宋体" w:cs="宋体"/>
          <w:b/>
          <w:bCs/>
          <w:sz w:val="32"/>
          <w:szCs w:val="32"/>
        </w:rPr>
        <w:t>收入决算表</w:t>
      </w:r>
    </w:p>
    <w:p>
      <w:pPr>
        <w:spacing w:line="340" w:lineRule="exact"/>
        <w:jc w:val="right"/>
        <w:rPr>
          <w:rFonts w:ascii="宋体" w:cs="宋体"/>
          <w:b/>
          <w:bCs/>
          <w:szCs w:val="21"/>
        </w:rPr>
      </w:pPr>
      <w:r>
        <w:rPr>
          <w:rFonts w:hint="eastAsia" w:ascii="宋体" w:hAnsi="宋体" w:cs="宋体"/>
          <w:b/>
          <w:bCs/>
          <w:szCs w:val="21"/>
        </w:rPr>
        <w:t>公开</w:t>
      </w:r>
      <w:r>
        <w:rPr>
          <w:rFonts w:ascii="宋体" w:hAnsi="宋体" w:cs="宋体"/>
          <w:b/>
          <w:bCs/>
          <w:szCs w:val="21"/>
        </w:rPr>
        <w:t>02</w:t>
      </w:r>
      <w:r>
        <w:rPr>
          <w:rFonts w:hint="eastAsia" w:ascii="宋体" w:hAnsi="宋体" w:cs="宋体"/>
          <w:b/>
          <w:bCs/>
          <w:szCs w:val="21"/>
        </w:rPr>
        <w:t>表</w:t>
      </w:r>
    </w:p>
    <w:p>
      <w:pPr>
        <w:spacing w:line="340" w:lineRule="exact"/>
        <w:rPr>
          <w:rFonts w:ascii="宋体" w:cs="宋体"/>
          <w:b/>
          <w:bCs/>
          <w:sz w:val="48"/>
          <w:szCs w:val="48"/>
        </w:rPr>
      </w:pPr>
      <w:r>
        <w:rPr>
          <w:rFonts w:hint="eastAsia" w:ascii="宋体" w:hAnsi="宋体" w:cs="宋体"/>
          <w:b/>
          <w:bCs/>
          <w:szCs w:val="21"/>
        </w:rPr>
        <w:t>编制部门：杨陵区行政审批服务局                                        金额单位：万元</w:t>
      </w:r>
    </w:p>
    <w:tbl>
      <w:tblPr>
        <w:tblStyle w:val="8"/>
        <w:tblW w:w="9480" w:type="dxa"/>
        <w:jc w:val="center"/>
        <w:tblLayout w:type="fixed"/>
        <w:tblCellMar>
          <w:top w:w="15" w:type="dxa"/>
          <w:left w:w="15" w:type="dxa"/>
          <w:bottom w:w="15" w:type="dxa"/>
          <w:right w:w="15" w:type="dxa"/>
        </w:tblCellMar>
      </w:tblPr>
      <w:tblGrid>
        <w:gridCol w:w="880"/>
        <w:gridCol w:w="2270"/>
        <w:gridCol w:w="900"/>
        <w:gridCol w:w="760"/>
        <w:gridCol w:w="610"/>
        <w:gridCol w:w="590"/>
        <w:gridCol w:w="820"/>
        <w:gridCol w:w="800"/>
        <w:gridCol w:w="970"/>
        <w:gridCol w:w="880"/>
      </w:tblGrid>
      <w:tr>
        <w:tblPrEx>
          <w:tblCellMar>
            <w:top w:w="15" w:type="dxa"/>
            <w:left w:w="15" w:type="dxa"/>
            <w:bottom w:w="15" w:type="dxa"/>
            <w:right w:w="15" w:type="dxa"/>
          </w:tblCellMar>
        </w:tblPrEx>
        <w:trPr>
          <w:trHeight w:val="439" w:hRule="atLeast"/>
          <w:jc w:val="center"/>
        </w:trPr>
        <w:tc>
          <w:tcPr>
            <w:tcW w:w="3150"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bCs/>
                <w:color w:val="000000"/>
                <w:szCs w:val="21"/>
              </w:rPr>
            </w:pPr>
            <w:r>
              <w:rPr>
                <w:rFonts w:hint="eastAsia" w:ascii="宋体" w:hAnsi="宋体" w:cs="宋体"/>
                <w:b/>
                <w:bCs/>
                <w:color w:val="000000"/>
                <w:kern w:val="0"/>
                <w:szCs w:val="21"/>
              </w:rPr>
              <w:t>项目</w:t>
            </w:r>
          </w:p>
        </w:tc>
        <w:tc>
          <w:tcPr>
            <w:tcW w:w="900" w:type="dxa"/>
            <w:vMerge w:val="restart"/>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bCs/>
                <w:color w:val="000000"/>
                <w:szCs w:val="21"/>
              </w:rPr>
            </w:pPr>
            <w:r>
              <w:rPr>
                <w:rFonts w:hint="eastAsia" w:ascii="宋体" w:hAnsi="宋体" w:cs="宋体"/>
                <w:b/>
                <w:bCs/>
                <w:color w:val="000000"/>
                <w:kern w:val="0"/>
                <w:szCs w:val="21"/>
              </w:rPr>
              <w:t>本年收入合计</w:t>
            </w:r>
          </w:p>
        </w:tc>
        <w:tc>
          <w:tcPr>
            <w:tcW w:w="760" w:type="dxa"/>
            <w:vMerge w:val="restart"/>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bCs/>
                <w:color w:val="000000"/>
                <w:szCs w:val="21"/>
              </w:rPr>
            </w:pPr>
            <w:r>
              <w:rPr>
                <w:rFonts w:hint="eastAsia" w:ascii="宋体" w:hAnsi="宋体" w:cs="宋体"/>
                <w:b/>
                <w:bCs/>
                <w:color w:val="000000"/>
                <w:kern w:val="0"/>
                <w:szCs w:val="21"/>
              </w:rPr>
              <w:t>财政拨款收入</w:t>
            </w:r>
          </w:p>
        </w:tc>
        <w:tc>
          <w:tcPr>
            <w:tcW w:w="610" w:type="dxa"/>
            <w:vMerge w:val="restart"/>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bCs/>
                <w:color w:val="000000"/>
                <w:szCs w:val="21"/>
              </w:rPr>
            </w:pPr>
            <w:r>
              <w:rPr>
                <w:rFonts w:hint="eastAsia" w:ascii="宋体" w:hAnsi="宋体" w:cs="宋体"/>
                <w:b/>
                <w:bCs/>
                <w:color w:val="000000"/>
                <w:kern w:val="0"/>
                <w:szCs w:val="21"/>
              </w:rPr>
              <w:t>上级补助收入</w:t>
            </w:r>
          </w:p>
        </w:tc>
        <w:tc>
          <w:tcPr>
            <w:tcW w:w="1410"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bCs/>
                <w:color w:val="000000"/>
                <w:kern w:val="0"/>
                <w:szCs w:val="21"/>
              </w:rPr>
            </w:pPr>
            <w:r>
              <w:rPr>
                <w:rFonts w:hint="eastAsia" w:ascii="宋体" w:hAnsi="宋体" w:cs="宋体"/>
                <w:b/>
                <w:bCs/>
                <w:color w:val="000000"/>
                <w:kern w:val="0"/>
                <w:szCs w:val="21"/>
              </w:rPr>
              <w:t>事业收入</w:t>
            </w:r>
          </w:p>
        </w:tc>
        <w:tc>
          <w:tcPr>
            <w:tcW w:w="800" w:type="dxa"/>
            <w:vMerge w:val="restart"/>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bCs/>
                <w:color w:val="000000"/>
                <w:kern w:val="0"/>
                <w:szCs w:val="21"/>
              </w:rPr>
            </w:pPr>
            <w:r>
              <w:rPr>
                <w:rFonts w:hint="eastAsia" w:ascii="宋体" w:hAnsi="宋体" w:cs="宋体"/>
                <w:b/>
                <w:bCs/>
                <w:color w:val="000000"/>
                <w:kern w:val="0"/>
                <w:szCs w:val="21"/>
              </w:rPr>
              <w:t>经营</w:t>
            </w:r>
          </w:p>
          <w:p>
            <w:pPr>
              <w:spacing w:line="340" w:lineRule="exact"/>
              <w:jc w:val="center"/>
              <w:textAlignment w:val="center"/>
              <w:rPr>
                <w:rFonts w:ascii="宋体" w:cs="宋体"/>
                <w:b/>
                <w:bCs/>
                <w:color w:val="000000"/>
                <w:szCs w:val="21"/>
              </w:rPr>
            </w:pPr>
            <w:r>
              <w:rPr>
                <w:rFonts w:hint="eastAsia" w:ascii="宋体" w:hAnsi="宋体" w:cs="宋体"/>
                <w:b/>
                <w:bCs/>
                <w:color w:val="000000"/>
                <w:kern w:val="0"/>
                <w:szCs w:val="21"/>
              </w:rPr>
              <w:t>收入</w:t>
            </w:r>
          </w:p>
        </w:tc>
        <w:tc>
          <w:tcPr>
            <w:tcW w:w="970" w:type="dxa"/>
            <w:vMerge w:val="restart"/>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bCs/>
                <w:color w:val="000000"/>
                <w:szCs w:val="21"/>
              </w:rPr>
            </w:pPr>
            <w:r>
              <w:rPr>
                <w:rFonts w:hint="eastAsia" w:ascii="宋体" w:hAnsi="宋体" w:cs="宋体"/>
                <w:b/>
                <w:bCs/>
                <w:color w:val="000000"/>
                <w:kern w:val="0"/>
                <w:szCs w:val="21"/>
              </w:rPr>
              <w:t>附属单位上缴收入</w:t>
            </w:r>
          </w:p>
        </w:tc>
        <w:tc>
          <w:tcPr>
            <w:tcW w:w="880" w:type="dxa"/>
            <w:vMerge w:val="restart"/>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bCs/>
                <w:color w:val="000000"/>
                <w:kern w:val="0"/>
                <w:szCs w:val="21"/>
              </w:rPr>
            </w:pPr>
            <w:r>
              <w:rPr>
                <w:rFonts w:hint="eastAsia" w:ascii="宋体" w:hAnsi="宋体" w:cs="宋体"/>
                <w:b/>
                <w:bCs/>
                <w:color w:val="000000"/>
                <w:kern w:val="0"/>
                <w:szCs w:val="21"/>
              </w:rPr>
              <w:t>其他</w:t>
            </w:r>
          </w:p>
          <w:p>
            <w:pPr>
              <w:spacing w:line="340" w:lineRule="exact"/>
              <w:jc w:val="center"/>
              <w:textAlignment w:val="center"/>
              <w:rPr>
                <w:rFonts w:asci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25" w:hRule="atLeast"/>
          <w:jc w:val="center"/>
        </w:trPr>
        <w:tc>
          <w:tcPr>
            <w:tcW w:w="880" w:type="dxa"/>
            <w:tcBorders>
              <w:top w:val="single" w:color="000000" w:sz="4" w:space="0"/>
              <w:left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功能分类科目编码</w:t>
            </w:r>
          </w:p>
        </w:tc>
        <w:tc>
          <w:tcPr>
            <w:tcW w:w="2270" w:type="dxa"/>
            <w:tcBorders>
              <w:top w:val="single" w:color="000000" w:sz="4" w:space="0"/>
              <w:left w:val="single" w:color="000000" w:sz="4" w:space="0"/>
              <w:right w:val="single" w:color="000000" w:sz="4" w:space="0"/>
            </w:tcBorders>
            <w:vAlign w:val="center"/>
          </w:tcPr>
          <w:p>
            <w:pPr>
              <w:spacing w:line="340" w:lineRule="exact"/>
              <w:jc w:val="center"/>
              <w:textAlignment w:val="center"/>
              <w:rPr>
                <w:rFonts w:ascii="宋体" w:cs="宋体"/>
                <w:b/>
                <w:color w:val="000000"/>
                <w:kern w:val="0"/>
                <w:szCs w:val="21"/>
              </w:rPr>
            </w:pPr>
            <w:r>
              <w:rPr>
                <w:rFonts w:hint="eastAsia" w:ascii="宋体" w:hAnsi="宋体" w:cs="宋体"/>
                <w:b/>
                <w:color w:val="000000"/>
                <w:kern w:val="0"/>
                <w:szCs w:val="21"/>
              </w:rPr>
              <w:t>科目</w:t>
            </w:r>
          </w:p>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名称</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610"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r>
              <w:rPr>
                <w:rFonts w:hint="eastAsia" w:ascii="宋体" w:hAnsi="宋体" w:cs="宋体"/>
                <w:b/>
                <w:color w:val="000000"/>
                <w:szCs w:val="21"/>
              </w:rPr>
              <w:t>小计</w:t>
            </w:r>
          </w:p>
        </w:tc>
        <w:tc>
          <w:tcPr>
            <w:tcW w:w="82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r>
              <w:rPr>
                <w:rFonts w:hint="eastAsia" w:ascii="宋体" w:hAnsi="宋体" w:cs="宋体"/>
                <w:b/>
                <w:color w:val="000000"/>
                <w:szCs w:val="21"/>
              </w:rPr>
              <w:t>其中：教育收费</w:t>
            </w: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r>
      <w:tr>
        <w:tblPrEx>
          <w:tblCellMar>
            <w:top w:w="15" w:type="dxa"/>
            <w:left w:w="15" w:type="dxa"/>
            <w:bottom w:w="15" w:type="dxa"/>
            <w:right w:w="15" w:type="dxa"/>
          </w:tblCellMar>
        </w:tblPrEx>
        <w:trPr>
          <w:trHeight w:val="439" w:hRule="atLeast"/>
          <w:jc w:val="center"/>
        </w:trPr>
        <w:tc>
          <w:tcPr>
            <w:tcW w:w="3150"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color w:val="000000"/>
                <w:szCs w:val="21"/>
              </w:rPr>
            </w:pPr>
            <w:r>
              <w:rPr>
                <w:rFonts w:hint="eastAsia" w:ascii="宋体" w:hAnsi="宋体" w:cs="宋体"/>
                <w:b/>
                <w:bCs/>
                <w:color w:val="000000"/>
                <w:kern w:val="0"/>
                <w:szCs w:val="21"/>
              </w:rPr>
              <w:t>合计</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r>
              <w:rPr>
                <w:rFonts w:hint="eastAsia" w:ascii="宋体" w:cs="宋体"/>
                <w:color w:val="000000"/>
                <w:szCs w:val="21"/>
              </w:rPr>
              <w:t>92.70</w:t>
            </w:r>
          </w:p>
        </w:tc>
        <w:tc>
          <w:tcPr>
            <w:tcW w:w="76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r>
              <w:rPr>
                <w:rFonts w:hint="eastAsia" w:ascii="宋体" w:cs="宋体"/>
                <w:color w:val="000000"/>
                <w:szCs w:val="21"/>
              </w:rPr>
              <w:t>82.62</w:t>
            </w:r>
          </w:p>
        </w:tc>
        <w:tc>
          <w:tcPr>
            <w:tcW w:w="61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82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80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97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88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r>
              <w:rPr>
                <w:rFonts w:hint="eastAsia" w:ascii="宋体" w:cs="宋体"/>
                <w:color w:val="000000"/>
                <w:szCs w:val="21"/>
              </w:rPr>
              <w:t>10.09</w:t>
            </w:r>
          </w:p>
        </w:tc>
      </w:tr>
      <w:tr>
        <w:tblPrEx>
          <w:tblCellMar>
            <w:top w:w="15" w:type="dxa"/>
            <w:left w:w="15" w:type="dxa"/>
            <w:bottom w:w="15" w:type="dxa"/>
            <w:right w:w="15" w:type="dxa"/>
          </w:tblCellMar>
        </w:tblPrEx>
        <w:trPr>
          <w:trHeight w:val="439" w:hRule="atLeast"/>
          <w:jc w:val="center"/>
        </w:trPr>
        <w:tc>
          <w:tcPr>
            <w:tcW w:w="88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r>
              <w:rPr>
                <w:rFonts w:hint="eastAsia" w:ascii="宋体" w:cs="宋体"/>
                <w:color w:val="000000"/>
                <w:szCs w:val="21"/>
              </w:rPr>
              <w:t>201</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r>
              <w:rPr>
                <w:rFonts w:hint="eastAsia" w:ascii="宋体" w:cs="宋体"/>
                <w:color w:val="000000"/>
                <w:szCs w:val="21"/>
              </w:rPr>
              <w:t>一般公共服务支出</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r>
              <w:rPr>
                <w:rFonts w:hint="eastAsia" w:ascii="宋体" w:cs="宋体"/>
                <w:color w:val="000000"/>
                <w:szCs w:val="21"/>
              </w:rPr>
              <w:t>92.70</w:t>
            </w:r>
          </w:p>
        </w:tc>
        <w:tc>
          <w:tcPr>
            <w:tcW w:w="76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r>
              <w:rPr>
                <w:rFonts w:hint="eastAsia" w:ascii="宋体" w:cs="宋体"/>
                <w:color w:val="000000"/>
                <w:szCs w:val="21"/>
              </w:rPr>
              <w:t>82.62</w:t>
            </w:r>
          </w:p>
        </w:tc>
        <w:tc>
          <w:tcPr>
            <w:tcW w:w="61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82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80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97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88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r>
              <w:rPr>
                <w:rFonts w:hint="eastAsia" w:ascii="宋体" w:cs="宋体"/>
                <w:color w:val="000000"/>
                <w:szCs w:val="21"/>
              </w:rPr>
              <w:t>10.09</w:t>
            </w:r>
          </w:p>
        </w:tc>
      </w:tr>
      <w:tr>
        <w:tblPrEx>
          <w:tblCellMar>
            <w:top w:w="15" w:type="dxa"/>
            <w:left w:w="15" w:type="dxa"/>
            <w:bottom w:w="15" w:type="dxa"/>
            <w:right w:w="15" w:type="dxa"/>
          </w:tblCellMar>
        </w:tblPrEx>
        <w:trPr>
          <w:trHeight w:val="439" w:hRule="atLeast"/>
          <w:jc w:val="center"/>
        </w:trPr>
        <w:tc>
          <w:tcPr>
            <w:tcW w:w="88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r>
              <w:rPr>
                <w:rFonts w:hint="eastAsia" w:ascii="宋体" w:cs="宋体"/>
                <w:color w:val="000000"/>
                <w:szCs w:val="21"/>
              </w:rPr>
              <w:t>20103</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r>
              <w:rPr>
                <w:rFonts w:hint="eastAsia" w:ascii="宋体" w:cs="宋体"/>
                <w:color w:val="000000"/>
                <w:szCs w:val="21"/>
              </w:rPr>
              <w:t>政府办公厅（室）及相关机构事务</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r>
              <w:rPr>
                <w:rFonts w:hint="eastAsia" w:ascii="宋体" w:cs="宋体"/>
                <w:color w:val="000000"/>
                <w:szCs w:val="21"/>
              </w:rPr>
              <w:t>92.70</w:t>
            </w:r>
          </w:p>
        </w:tc>
        <w:tc>
          <w:tcPr>
            <w:tcW w:w="76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r>
              <w:rPr>
                <w:rFonts w:hint="eastAsia" w:ascii="宋体" w:cs="宋体"/>
                <w:color w:val="000000"/>
                <w:szCs w:val="21"/>
              </w:rPr>
              <w:t>82.62</w:t>
            </w:r>
          </w:p>
        </w:tc>
        <w:tc>
          <w:tcPr>
            <w:tcW w:w="61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82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80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97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88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r>
              <w:rPr>
                <w:rFonts w:hint="eastAsia" w:ascii="宋体" w:cs="宋体"/>
                <w:color w:val="000000"/>
                <w:szCs w:val="21"/>
              </w:rPr>
              <w:t>10.09</w:t>
            </w:r>
          </w:p>
        </w:tc>
      </w:tr>
      <w:tr>
        <w:tblPrEx>
          <w:tblCellMar>
            <w:top w:w="15" w:type="dxa"/>
            <w:left w:w="15" w:type="dxa"/>
            <w:bottom w:w="15" w:type="dxa"/>
            <w:right w:w="15" w:type="dxa"/>
          </w:tblCellMar>
        </w:tblPrEx>
        <w:trPr>
          <w:trHeight w:val="439" w:hRule="atLeast"/>
          <w:jc w:val="center"/>
        </w:trPr>
        <w:tc>
          <w:tcPr>
            <w:tcW w:w="88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r>
              <w:rPr>
                <w:rFonts w:hint="eastAsia" w:ascii="宋体" w:cs="宋体"/>
                <w:color w:val="000000"/>
                <w:szCs w:val="21"/>
              </w:rPr>
              <w:t>2010301</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r>
              <w:rPr>
                <w:rFonts w:hint="eastAsia" w:ascii="宋体" w:cs="宋体"/>
                <w:color w:val="000000"/>
                <w:szCs w:val="21"/>
              </w:rPr>
              <w:t>行政运行</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r>
              <w:rPr>
                <w:rFonts w:hint="eastAsia" w:ascii="宋体" w:cs="宋体"/>
                <w:color w:val="000000"/>
                <w:szCs w:val="21"/>
              </w:rPr>
              <w:t>28.15</w:t>
            </w:r>
          </w:p>
        </w:tc>
        <w:tc>
          <w:tcPr>
            <w:tcW w:w="76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r>
              <w:rPr>
                <w:rFonts w:hint="eastAsia" w:ascii="宋体" w:cs="宋体"/>
                <w:color w:val="000000"/>
                <w:szCs w:val="21"/>
              </w:rPr>
              <w:t>28.15</w:t>
            </w:r>
          </w:p>
        </w:tc>
        <w:tc>
          <w:tcPr>
            <w:tcW w:w="61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82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80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97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88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439" w:hRule="atLeast"/>
          <w:jc w:val="center"/>
        </w:trPr>
        <w:tc>
          <w:tcPr>
            <w:tcW w:w="88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r>
              <w:rPr>
                <w:rFonts w:hint="eastAsia" w:ascii="宋体" w:cs="宋体"/>
                <w:color w:val="000000"/>
                <w:szCs w:val="21"/>
              </w:rPr>
              <w:t>2010350</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r>
              <w:rPr>
                <w:rFonts w:hint="eastAsia" w:ascii="宋体" w:cs="宋体"/>
                <w:color w:val="000000"/>
                <w:szCs w:val="21"/>
              </w:rPr>
              <w:t>事业运行</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r>
              <w:rPr>
                <w:rFonts w:hint="eastAsia" w:ascii="宋体" w:cs="宋体"/>
                <w:color w:val="000000"/>
                <w:szCs w:val="21"/>
              </w:rPr>
              <w:t>54.47</w:t>
            </w:r>
          </w:p>
        </w:tc>
        <w:tc>
          <w:tcPr>
            <w:tcW w:w="76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r>
              <w:rPr>
                <w:rFonts w:hint="eastAsia" w:ascii="宋体" w:cs="宋体"/>
                <w:color w:val="000000"/>
                <w:szCs w:val="21"/>
              </w:rPr>
              <w:t>54.47</w:t>
            </w:r>
          </w:p>
        </w:tc>
        <w:tc>
          <w:tcPr>
            <w:tcW w:w="61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82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80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97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88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439" w:hRule="atLeast"/>
          <w:jc w:val="center"/>
        </w:trPr>
        <w:tc>
          <w:tcPr>
            <w:tcW w:w="88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r>
              <w:rPr>
                <w:rFonts w:hint="eastAsia" w:ascii="宋体" w:cs="宋体"/>
                <w:color w:val="000000"/>
                <w:szCs w:val="21"/>
              </w:rPr>
              <w:t>2010399</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r>
              <w:rPr>
                <w:rFonts w:hint="eastAsia" w:ascii="宋体" w:cs="宋体"/>
                <w:color w:val="000000"/>
                <w:szCs w:val="21"/>
              </w:rPr>
              <w:t>其他政府办公厅（室）及相关机构事务支出</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r>
              <w:rPr>
                <w:rFonts w:hint="eastAsia" w:ascii="宋体" w:cs="宋体"/>
                <w:color w:val="000000"/>
                <w:szCs w:val="21"/>
              </w:rPr>
              <w:t>10.09</w:t>
            </w:r>
          </w:p>
        </w:tc>
        <w:tc>
          <w:tcPr>
            <w:tcW w:w="76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61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82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80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97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88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r>
              <w:rPr>
                <w:rFonts w:hint="eastAsia" w:ascii="宋体" w:cs="宋体"/>
                <w:color w:val="000000"/>
                <w:szCs w:val="21"/>
              </w:rPr>
              <w:t>10.09</w:t>
            </w:r>
          </w:p>
        </w:tc>
      </w:tr>
      <w:tr>
        <w:tblPrEx>
          <w:tblCellMar>
            <w:top w:w="15" w:type="dxa"/>
            <w:left w:w="15" w:type="dxa"/>
            <w:bottom w:w="15" w:type="dxa"/>
            <w:right w:w="15" w:type="dxa"/>
          </w:tblCellMar>
        </w:tblPrEx>
        <w:trPr>
          <w:trHeight w:val="449" w:hRule="atLeast"/>
          <w:jc w:val="center"/>
        </w:trPr>
        <w:tc>
          <w:tcPr>
            <w:tcW w:w="88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76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61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82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80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97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88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bl>
    <w:p>
      <w:pPr>
        <w:spacing w:line="560" w:lineRule="exact"/>
        <w:jc w:val="left"/>
        <w:rPr>
          <w:rFonts w:ascii="宋体" w:hAnsi="宋体" w:cs="宋体"/>
          <w:color w:val="000000"/>
          <w:kern w:val="0"/>
          <w:szCs w:val="21"/>
        </w:rPr>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pPr>
        <w:rPr>
          <w:rFonts w:ascii="宋体" w:hAnsi="宋体" w:cs="宋体"/>
          <w:color w:val="000000"/>
          <w:kern w:val="0"/>
          <w:szCs w:val="21"/>
        </w:rPr>
      </w:pPr>
      <w:r>
        <w:rPr>
          <w:rFonts w:hint="eastAsia" w:ascii="宋体" w:hAnsi="宋体" w:cs="宋体"/>
          <w:color w:val="000000"/>
          <w:kern w:val="0"/>
          <w:szCs w:val="21"/>
        </w:rPr>
        <w:br w:type="page"/>
      </w:r>
    </w:p>
    <w:p>
      <w:pPr>
        <w:spacing w:line="560" w:lineRule="exact"/>
        <w:jc w:val="center"/>
        <w:rPr>
          <w:rFonts w:ascii="宋体" w:cs="宋体"/>
          <w:b/>
          <w:bCs/>
          <w:sz w:val="32"/>
          <w:szCs w:val="32"/>
        </w:rPr>
      </w:pPr>
      <w:r>
        <w:rPr>
          <w:rFonts w:hint="eastAsia" w:ascii="宋体" w:hAnsi="宋体" w:cs="宋体"/>
          <w:b/>
          <w:bCs/>
          <w:sz w:val="32"/>
          <w:szCs w:val="32"/>
        </w:rPr>
        <w:t>支出决算表</w:t>
      </w:r>
    </w:p>
    <w:p>
      <w:pPr>
        <w:spacing w:line="340" w:lineRule="exact"/>
        <w:jc w:val="right"/>
        <w:rPr>
          <w:rFonts w:ascii="宋体" w:cs="宋体"/>
          <w:b/>
          <w:bCs/>
          <w:szCs w:val="21"/>
        </w:rPr>
      </w:pPr>
      <w:r>
        <w:rPr>
          <w:rFonts w:hint="eastAsia" w:ascii="宋体" w:hAnsi="宋体" w:cs="宋体"/>
          <w:b/>
          <w:bCs/>
          <w:szCs w:val="21"/>
        </w:rPr>
        <w:t>公开</w:t>
      </w:r>
      <w:r>
        <w:rPr>
          <w:rFonts w:ascii="宋体" w:hAnsi="宋体" w:cs="宋体"/>
          <w:b/>
          <w:bCs/>
          <w:szCs w:val="21"/>
        </w:rPr>
        <w:t>0</w:t>
      </w:r>
      <w:r>
        <w:rPr>
          <w:rFonts w:hint="eastAsia" w:ascii="宋体" w:hAnsi="宋体" w:cs="宋体"/>
          <w:b/>
          <w:bCs/>
          <w:szCs w:val="21"/>
        </w:rPr>
        <w:t>3表</w:t>
      </w:r>
    </w:p>
    <w:p>
      <w:pPr>
        <w:spacing w:line="340" w:lineRule="exact"/>
        <w:rPr>
          <w:rFonts w:ascii="宋体" w:cs="宋体"/>
          <w:b/>
          <w:bCs/>
          <w:sz w:val="48"/>
          <w:szCs w:val="48"/>
        </w:rPr>
      </w:pPr>
      <w:r>
        <w:rPr>
          <w:rFonts w:hint="eastAsia" w:ascii="宋体" w:hAnsi="宋体" w:cs="宋体"/>
          <w:b/>
          <w:bCs/>
          <w:szCs w:val="21"/>
        </w:rPr>
        <w:t>编制部门：杨陵区行政审批服务局                                        金额单位：万元</w:t>
      </w:r>
    </w:p>
    <w:tbl>
      <w:tblPr>
        <w:tblStyle w:val="8"/>
        <w:tblW w:w="8896" w:type="dxa"/>
        <w:jc w:val="center"/>
        <w:tblLayout w:type="fixed"/>
        <w:tblCellMar>
          <w:top w:w="15" w:type="dxa"/>
          <w:left w:w="15" w:type="dxa"/>
          <w:bottom w:w="15" w:type="dxa"/>
          <w:right w:w="15" w:type="dxa"/>
        </w:tblCellMar>
      </w:tblPr>
      <w:tblGrid>
        <w:gridCol w:w="914"/>
        <w:gridCol w:w="83"/>
        <w:gridCol w:w="2047"/>
        <w:gridCol w:w="1030"/>
        <w:gridCol w:w="900"/>
        <w:gridCol w:w="910"/>
        <w:gridCol w:w="940"/>
        <w:gridCol w:w="727"/>
        <w:gridCol w:w="1345"/>
      </w:tblGrid>
      <w:tr>
        <w:tblPrEx>
          <w:tblCellMar>
            <w:top w:w="15" w:type="dxa"/>
            <w:left w:w="15" w:type="dxa"/>
            <w:bottom w:w="15" w:type="dxa"/>
            <w:right w:w="15" w:type="dxa"/>
          </w:tblCellMar>
        </w:tblPrEx>
        <w:trPr>
          <w:trHeight w:val="372" w:hRule="atLeast"/>
          <w:jc w:val="center"/>
        </w:trPr>
        <w:tc>
          <w:tcPr>
            <w:tcW w:w="3044" w:type="dxa"/>
            <w:gridSpan w:val="3"/>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项目</w:t>
            </w:r>
          </w:p>
        </w:tc>
        <w:tc>
          <w:tcPr>
            <w:tcW w:w="1030" w:type="dxa"/>
            <w:vMerge w:val="restart"/>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合计</w:t>
            </w:r>
          </w:p>
        </w:tc>
        <w:tc>
          <w:tcPr>
            <w:tcW w:w="900" w:type="dxa"/>
            <w:vMerge w:val="restart"/>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基本支出</w:t>
            </w:r>
          </w:p>
        </w:tc>
        <w:tc>
          <w:tcPr>
            <w:tcW w:w="910" w:type="dxa"/>
            <w:vMerge w:val="restart"/>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项目支出</w:t>
            </w:r>
          </w:p>
        </w:tc>
        <w:tc>
          <w:tcPr>
            <w:tcW w:w="940" w:type="dxa"/>
            <w:vMerge w:val="restart"/>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kern w:val="0"/>
                <w:szCs w:val="21"/>
              </w:rPr>
            </w:pPr>
            <w:r>
              <w:rPr>
                <w:rFonts w:hint="eastAsia" w:ascii="宋体" w:hAnsi="宋体" w:cs="宋体"/>
                <w:b/>
                <w:color w:val="000000"/>
                <w:kern w:val="0"/>
                <w:szCs w:val="21"/>
              </w:rPr>
              <w:t>上缴上</w:t>
            </w:r>
          </w:p>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级支出</w:t>
            </w:r>
          </w:p>
        </w:tc>
        <w:tc>
          <w:tcPr>
            <w:tcW w:w="727" w:type="dxa"/>
            <w:vMerge w:val="restart"/>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hAnsi="宋体" w:cs="宋体"/>
                <w:b/>
                <w:color w:val="000000"/>
                <w:kern w:val="0"/>
                <w:szCs w:val="21"/>
              </w:rPr>
            </w:pPr>
            <w:r>
              <w:rPr>
                <w:rFonts w:hint="eastAsia" w:ascii="宋体" w:hAnsi="宋体" w:cs="宋体"/>
                <w:b/>
                <w:color w:val="000000"/>
                <w:kern w:val="0"/>
                <w:szCs w:val="21"/>
              </w:rPr>
              <w:t>经营</w:t>
            </w:r>
          </w:p>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支出</w:t>
            </w:r>
          </w:p>
        </w:tc>
        <w:tc>
          <w:tcPr>
            <w:tcW w:w="1345" w:type="dxa"/>
            <w:vMerge w:val="restart"/>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kern w:val="0"/>
                <w:szCs w:val="21"/>
              </w:rPr>
            </w:pPr>
            <w:r>
              <w:rPr>
                <w:rFonts w:hint="eastAsia" w:ascii="宋体" w:hAnsi="宋体" w:cs="宋体"/>
                <w:b/>
                <w:color w:val="000000"/>
                <w:kern w:val="0"/>
                <w:szCs w:val="21"/>
              </w:rPr>
              <w:t>对附属单位</w:t>
            </w:r>
          </w:p>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jc w:val="center"/>
        </w:trPr>
        <w:tc>
          <w:tcPr>
            <w:tcW w:w="997"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功能分类科目编码</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科目名称</w:t>
            </w: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910"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727"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r>
      <w:tr>
        <w:tblPrEx>
          <w:tblCellMar>
            <w:top w:w="15" w:type="dxa"/>
            <w:left w:w="15" w:type="dxa"/>
            <w:bottom w:w="15" w:type="dxa"/>
            <w:right w:w="15" w:type="dxa"/>
          </w:tblCellMar>
        </w:tblPrEx>
        <w:trPr>
          <w:trHeight w:val="372" w:hRule="atLeast"/>
          <w:jc w:val="center"/>
        </w:trPr>
        <w:tc>
          <w:tcPr>
            <w:tcW w:w="3044" w:type="dxa"/>
            <w:gridSpan w:val="3"/>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合计</w:t>
            </w:r>
          </w:p>
        </w:tc>
        <w:tc>
          <w:tcPr>
            <w:tcW w:w="10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92.70</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82.62</w:t>
            </w:r>
          </w:p>
        </w:tc>
        <w:tc>
          <w:tcPr>
            <w:tcW w:w="91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10.09</w:t>
            </w:r>
          </w:p>
        </w:tc>
        <w:tc>
          <w:tcPr>
            <w:tcW w:w="94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r>
      <w:tr>
        <w:tblPrEx>
          <w:tblCellMar>
            <w:top w:w="15" w:type="dxa"/>
            <w:left w:w="15" w:type="dxa"/>
            <w:bottom w:w="15" w:type="dxa"/>
            <w:right w:w="15" w:type="dxa"/>
          </w:tblCellMar>
        </w:tblPrEx>
        <w:trPr>
          <w:trHeight w:val="372"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rPr>
                <w:rFonts w:ascii="黑体" w:hAnsi="宋体" w:eastAsia="黑体"/>
                <w:color w:val="000000"/>
                <w:kern w:val="0"/>
                <w:sz w:val="44"/>
                <w:szCs w:val="44"/>
              </w:rPr>
            </w:pPr>
            <w:r>
              <w:rPr>
                <w:rFonts w:hint="eastAsia" w:ascii="宋体" w:hAnsi="宋体" w:cs="宋体"/>
                <w:color w:val="000000"/>
                <w:kern w:val="0"/>
                <w:sz w:val="22"/>
                <w:szCs w:val="22"/>
              </w:rPr>
              <w:t>201</w:t>
            </w:r>
          </w:p>
        </w:tc>
        <w:tc>
          <w:tcPr>
            <w:tcW w:w="2130"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pPr>
            <w:r>
              <w:rPr>
                <w:rFonts w:hint="eastAsia" w:ascii="宋体" w:hAnsi="宋体" w:cs="宋体"/>
                <w:color w:val="000000"/>
                <w:kern w:val="0"/>
                <w:sz w:val="22"/>
                <w:szCs w:val="22"/>
              </w:rPr>
              <w:t>一般公共服务支出</w:t>
            </w:r>
          </w:p>
        </w:tc>
        <w:tc>
          <w:tcPr>
            <w:tcW w:w="10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黑体" w:hAnsi="宋体" w:eastAsia="黑体"/>
                <w:color w:val="000000"/>
                <w:kern w:val="0"/>
                <w:sz w:val="44"/>
                <w:szCs w:val="44"/>
              </w:rPr>
            </w:pPr>
            <w:r>
              <w:rPr>
                <w:rFonts w:hint="eastAsia" w:ascii="宋体" w:cs="宋体"/>
                <w:color w:val="000000"/>
                <w:szCs w:val="21"/>
              </w:rPr>
              <w:t>92.70</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黑体" w:hAnsi="宋体" w:eastAsia="黑体"/>
                <w:color w:val="000000"/>
                <w:kern w:val="0"/>
                <w:sz w:val="44"/>
                <w:szCs w:val="44"/>
              </w:rPr>
            </w:pPr>
            <w:r>
              <w:rPr>
                <w:rFonts w:hint="eastAsia" w:ascii="宋体" w:cs="宋体"/>
                <w:color w:val="000000"/>
                <w:szCs w:val="21"/>
              </w:rPr>
              <w:t>82.62</w:t>
            </w:r>
          </w:p>
        </w:tc>
        <w:tc>
          <w:tcPr>
            <w:tcW w:w="91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黑体" w:hAnsi="宋体" w:eastAsia="黑体"/>
                <w:color w:val="000000"/>
                <w:kern w:val="0"/>
                <w:sz w:val="44"/>
                <w:szCs w:val="44"/>
              </w:rPr>
            </w:pPr>
            <w:r>
              <w:rPr>
                <w:rFonts w:hint="eastAsia" w:ascii="宋体" w:cs="宋体"/>
                <w:color w:val="000000"/>
                <w:szCs w:val="21"/>
              </w:rPr>
              <w:t>10.09</w:t>
            </w:r>
          </w:p>
        </w:tc>
        <w:tc>
          <w:tcPr>
            <w:tcW w:w="94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黑体" w:hAnsi="宋体" w:eastAsia="黑体"/>
                <w:color w:val="000000"/>
                <w:kern w:val="0"/>
                <w:sz w:val="44"/>
                <w:szCs w:val="44"/>
              </w:rPr>
            </w:pPr>
          </w:p>
        </w:tc>
        <w:tc>
          <w:tcPr>
            <w:tcW w:w="72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黑体" w:hAnsi="宋体" w:eastAsia="黑体"/>
                <w:color w:val="000000"/>
                <w:kern w:val="0"/>
                <w:sz w:val="44"/>
                <w:szCs w:val="44"/>
              </w:rPr>
            </w:pPr>
          </w:p>
        </w:tc>
        <w:tc>
          <w:tcPr>
            <w:tcW w:w="134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黑体" w:hAnsi="宋体" w:eastAsia="黑体"/>
                <w:color w:val="000000"/>
                <w:kern w:val="0"/>
                <w:sz w:val="44"/>
                <w:szCs w:val="44"/>
              </w:rPr>
            </w:pPr>
          </w:p>
        </w:tc>
      </w:tr>
      <w:tr>
        <w:tblPrEx>
          <w:tblCellMar>
            <w:top w:w="15" w:type="dxa"/>
            <w:left w:w="15" w:type="dxa"/>
            <w:bottom w:w="15" w:type="dxa"/>
            <w:right w:w="15" w:type="dxa"/>
          </w:tblCellMar>
        </w:tblPrEx>
        <w:trPr>
          <w:trHeight w:val="372"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rPr>
                <w:rFonts w:ascii="黑体" w:hAnsi="宋体" w:eastAsia="黑体"/>
                <w:color w:val="000000"/>
                <w:kern w:val="0"/>
                <w:sz w:val="44"/>
                <w:szCs w:val="44"/>
              </w:rPr>
            </w:pPr>
            <w:r>
              <w:rPr>
                <w:rFonts w:hint="eastAsia" w:ascii="宋体" w:hAnsi="宋体" w:cs="宋体"/>
                <w:color w:val="000000"/>
                <w:kern w:val="0"/>
                <w:sz w:val="22"/>
                <w:szCs w:val="22"/>
              </w:rPr>
              <w:t>20103</w:t>
            </w:r>
          </w:p>
        </w:tc>
        <w:tc>
          <w:tcPr>
            <w:tcW w:w="2130"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pPr>
            <w:r>
              <w:rPr>
                <w:rFonts w:hint="eastAsia" w:ascii="宋体" w:hAnsi="宋体" w:cs="宋体"/>
                <w:color w:val="000000"/>
                <w:kern w:val="0"/>
                <w:sz w:val="22"/>
                <w:szCs w:val="22"/>
              </w:rPr>
              <w:t>政府办公厅（室）及相关机构事务</w:t>
            </w:r>
          </w:p>
        </w:tc>
        <w:tc>
          <w:tcPr>
            <w:tcW w:w="10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黑体" w:hAnsi="宋体" w:eastAsia="黑体"/>
                <w:color w:val="000000"/>
                <w:kern w:val="0"/>
                <w:sz w:val="44"/>
                <w:szCs w:val="44"/>
              </w:rPr>
            </w:pPr>
            <w:r>
              <w:rPr>
                <w:rFonts w:hint="eastAsia" w:ascii="宋体" w:cs="宋体"/>
                <w:color w:val="000000"/>
                <w:szCs w:val="21"/>
              </w:rPr>
              <w:t>92.70</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黑体" w:hAnsi="宋体" w:eastAsia="黑体"/>
                <w:color w:val="000000"/>
                <w:kern w:val="0"/>
                <w:sz w:val="44"/>
                <w:szCs w:val="44"/>
              </w:rPr>
            </w:pPr>
            <w:r>
              <w:rPr>
                <w:rFonts w:hint="eastAsia" w:ascii="宋体" w:cs="宋体"/>
                <w:color w:val="000000"/>
                <w:szCs w:val="21"/>
              </w:rPr>
              <w:t>82.62</w:t>
            </w:r>
          </w:p>
        </w:tc>
        <w:tc>
          <w:tcPr>
            <w:tcW w:w="91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黑体" w:hAnsi="宋体" w:eastAsia="黑体"/>
                <w:color w:val="000000"/>
                <w:kern w:val="0"/>
                <w:sz w:val="44"/>
                <w:szCs w:val="44"/>
              </w:rPr>
            </w:pPr>
            <w:r>
              <w:rPr>
                <w:rFonts w:hint="eastAsia" w:ascii="宋体" w:cs="宋体"/>
                <w:color w:val="000000"/>
                <w:szCs w:val="21"/>
              </w:rPr>
              <w:t>10.09</w:t>
            </w:r>
          </w:p>
        </w:tc>
        <w:tc>
          <w:tcPr>
            <w:tcW w:w="94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黑体" w:hAnsi="宋体" w:eastAsia="黑体"/>
                <w:color w:val="000000"/>
                <w:kern w:val="0"/>
                <w:sz w:val="44"/>
                <w:szCs w:val="44"/>
              </w:rPr>
            </w:pPr>
          </w:p>
        </w:tc>
        <w:tc>
          <w:tcPr>
            <w:tcW w:w="72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黑体" w:hAnsi="宋体" w:eastAsia="黑体"/>
                <w:color w:val="000000"/>
                <w:kern w:val="0"/>
                <w:sz w:val="44"/>
                <w:szCs w:val="44"/>
              </w:rPr>
            </w:pPr>
          </w:p>
        </w:tc>
        <w:tc>
          <w:tcPr>
            <w:tcW w:w="134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黑体" w:hAnsi="宋体" w:eastAsia="黑体"/>
                <w:color w:val="000000"/>
                <w:kern w:val="0"/>
                <w:sz w:val="44"/>
                <w:szCs w:val="44"/>
              </w:rPr>
            </w:pPr>
          </w:p>
        </w:tc>
      </w:tr>
      <w:tr>
        <w:tblPrEx>
          <w:tblCellMar>
            <w:top w:w="15" w:type="dxa"/>
            <w:left w:w="15" w:type="dxa"/>
            <w:bottom w:w="15" w:type="dxa"/>
            <w:right w:w="15" w:type="dxa"/>
          </w:tblCellMar>
        </w:tblPrEx>
        <w:trPr>
          <w:trHeight w:val="372"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rPr>
                <w:rFonts w:ascii="黑体" w:hAnsi="宋体" w:eastAsia="黑体"/>
                <w:color w:val="000000"/>
                <w:kern w:val="0"/>
                <w:sz w:val="44"/>
                <w:szCs w:val="44"/>
              </w:rPr>
            </w:pPr>
            <w:r>
              <w:rPr>
                <w:rFonts w:hint="eastAsia" w:ascii="宋体" w:hAnsi="宋体" w:cs="宋体"/>
                <w:color w:val="000000"/>
                <w:kern w:val="0"/>
                <w:sz w:val="22"/>
                <w:szCs w:val="22"/>
              </w:rPr>
              <w:t>2010301</w:t>
            </w:r>
          </w:p>
        </w:tc>
        <w:tc>
          <w:tcPr>
            <w:tcW w:w="2130"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pPr>
            <w:r>
              <w:rPr>
                <w:rFonts w:hint="eastAsia" w:ascii="宋体" w:hAnsi="宋体" w:cs="宋体"/>
                <w:color w:val="000000"/>
                <w:kern w:val="0"/>
                <w:sz w:val="22"/>
                <w:szCs w:val="22"/>
              </w:rPr>
              <w:t xml:space="preserve">  行政运行</w:t>
            </w:r>
          </w:p>
        </w:tc>
        <w:tc>
          <w:tcPr>
            <w:tcW w:w="10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28.15</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28.15</w:t>
            </w:r>
          </w:p>
        </w:tc>
        <w:tc>
          <w:tcPr>
            <w:tcW w:w="91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黑体" w:hAnsi="宋体" w:eastAsia="黑体"/>
                <w:color w:val="000000"/>
                <w:kern w:val="0"/>
                <w:sz w:val="44"/>
                <w:szCs w:val="44"/>
              </w:rPr>
            </w:pPr>
          </w:p>
        </w:tc>
        <w:tc>
          <w:tcPr>
            <w:tcW w:w="94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黑体" w:hAnsi="宋体" w:eastAsia="黑体"/>
                <w:color w:val="000000"/>
                <w:kern w:val="0"/>
                <w:sz w:val="44"/>
                <w:szCs w:val="44"/>
              </w:rPr>
            </w:pPr>
          </w:p>
        </w:tc>
        <w:tc>
          <w:tcPr>
            <w:tcW w:w="72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黑体" w:hAnsi="宋体" w:eastAsia="黑体"/>
                <w:color w:val="000000"/>
                <w:kern w:val="0"/>
                <w:sz w:val="44"/>
                <w:szCs w:val="44"/>
              </w:rPr>
            </w:pPr>
          </w:p>
        </w:tc>
        <w:tc>
          <w:tcPr>
            <w:tcW w:w="134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黑体" w:hAnsi="宋体" w:eastAsia="黑体"/>
                <w:color w:val="000000"/>
                <w:kern w:val="0"/>
                <w:sz w:val="44"/>
                <w:szCs w:val="44"/>
              </w:rPr>
            </w:pPr>
          </w:p>
        </w:tc>
      </w:tr>
      <w:tr>
        <w:tblPrEx>
          <w:tblCellMar>
            <w:top w:w="15" w:type="dxa"/>
            <w:left w:w="15" w:type="dxa"/>
            <w:bottom w:w="15" w:type="dxa"/>
            <w:right w:w="15" w:type="dxa"/>
          </w:tblCellMar>
        </w:tblPrEx>
        <w:trPr>
          <w:trHeight w:val="372"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rPr>
                <w:rFonts w:ascii="黑体" w:hAnsi="宋体" w:eastAsia="黑体"/>
                <w:color w:val="000000"/>
                <w:kern w:val="0"/>
                <w:sz w:val="44"/>
                <w:szCs w:val="44"/>
              </w:rPr>
            </w:pPr>
            <w:r>
              <w:rPr>
                <w:rFonts w:hint="eastAsia" w:ascii="宋体" w:hAnsi="宋体" w:cs="宋体"/>
                <w:color w:val="000000"/>
                <w:kern w:val="0"/>
                <w:sz w:val="22"/>
                <w:szCs w:val="22"/>
              </w:rPr>
              <w:t>2010350</w:t>
            </w:r>
          </w:p>
        </w:tc>
        <w:tc>
          <w:tcPr>
            <w:tcW w:w="2130"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pPr>
            <w:r>
              <w:rPr>
                <w:rFonts w:hint="eastAsia" w:ascii="宋体" w:hAnsi="宋体" w:cs="宋体"/>
                <w:color w:val="000000"/>
                <w:kern w:val="0"/>
                <w:sz w:val="22"/>
                <w:szCs w:val="22"/>
              </w:rPr>
              <w:t xml:space="preserve">  事业运行</w:t>
            </w:r>
          </w:p>
        </w:tc>
        <w:tc>
          <w:tcPr>
            <w:tcW w:w="10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54.47</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54.47</w:t>
            </w:r>
          </w:p>
        </w:tc>
        <w:tc>
          <w:tcPr>
            <w:tcW w:w="91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黑体" w:hAnsi="宋体" w:eastAsia="黑体"/>
                <w:color w:val="000000"/>
                <w:kern w:val="0"/>
                <w:sz w:val="44"/>
                <w:szCs w:val="44"/>
              </w:rPr>
            </w:pPr>
          </w:p>
        </w:tc>
        <w:tc>
          <w:tcPr>
            <w:tcW w:w="94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黑体" w:hAnsi="宋体" w:eastAsia="黑体"/>
                <w:color w:val="000000"/>
                <w:kern w:val="0"/>
                <w:sz w:val="44"/>
                <w:szCs w:val="44"/>
              </w:rPr>
            </w:pPr>
          </w:p>
        </w:tc>
        <w:tc>
          <w:tcPr>
            <w:tcW w:w="72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黑体" w:hAnsi="宋体" w:eastAsia="黑体"/>
                <w:color w:val="000000"/>
                <w:kern w:val="0"/>
                <w:sz w:val="44"/>
                <w:szCs w:val="44"/>
              </w:rPr>
            </w:pPr>
          </w:p>
        </w:tc>
        <w:tc>
          <w:tcPr>
            <w:tcW w:w="134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黑体" w:hAnsi="宋体" w:eastAsia="黑体"/>
                <w:color w:val="000000"/>
                <w:kern w:val="0"/>
                <w:sz w:val="44"/>
                <w:szCs w:val="44"/>
              </w:rPr>
            </w:pPr>
          </w:p>
        </w:tc>
      </w:tr>
      <w:tr>
        <w:tblPrEx>
          <w:tblCellMar>
            <w:top w:w="15" w:type="dxa"/>
            <w:left w:w="15" w:type="dxa"/>
            <w:bottom w:w="15" w:type="dxa"/>
            <w:right w:w="15" w:type="dxa"/>
          </w:tblCellMar>
        </w:tblPrEx>
        <w:trPr>
          <w:trHeight w:val="372"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hAnsi="宋体" w:cs="宋体"/>
                <w:color w:val="000000"/>
                <w:kern w:val="0"/>
                <w:sz w:val="22"/>
                <w:szCs w:val="22"/>
              </w:rPr>
            </w:pPr>
            <w:r>
              <w:rPr>
                <w:rFonts w:hint="eastAsia" w:ascii="宋体" w:cs="宋体"/>
                <w:color w:val="000000"/>
                <w:szCs w:val="21"/>
              </w:rPr>
              <w:t>2010399</w:t>
            </w:r>
          </w:p>
        </w:tc>
        <w:tc>
          <w:tcPr>
            <w:tcW w:w="2130"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hAnsi="宋体" w:cs="宋体"/>
                <w:color w:val="000000"/>
                <w:kern w:val="0"/>
                <w:sz w:val="22"/>
                <w:szCs w:val="22"/>
              </w:rPr>
            </w:pPr>
            <w:r>
              <w:rPr>
                <w:rFonts w:hint="eastAsia" w:ascii="宋体" w:cs="宋体"/>
                <w:color w:val="000000"/>
                <w:szCs w:val="21"/>
              </w:rPr>
              <w:t>其他政府办公厅（室）及相关机构事务支出</w:t>
            </w:r>
          </w:p>
        </w:tc>
        <w:tc>
          <w:tcPr>
            <w:tcW w:w="10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10.09</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91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10.09</w:t>
            </w:r>
          </w:p>
        </w:tc>
        <w:tc>
          <w:tcPr>
            <w:tcW w:w="94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黑体" w:hAnsi="宋体" w:eastAsia="黑体"/>
                <w:color w:val="000000"/>
                <w:kern w:val="0"/>
                <w:sz w:val="44"/>
                <w:szCs w:val="44"/>
              </w:rPr>
            </w:pPr>
          </w:p>
        </w:tc>
        <w:tc>
          <w:tcPr>
            <w:tcW w:w="134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黑体" w:hAnsi="宋体" w:eastAsia="黑体"/>
                <w:color w:val="000000"/>
                <w:kern w:val="0"/>
                <w:sz w:val="44"/>
                <w:szCs w:val="44"/>
              </w:rPr>
            </w:pPr>
          </w:p>
        </w:tc>
      </w:tr>
    </w:tbl>
    <w:p>
      <w:pPr>
        <w:spacing w:line="560" w:lineRule="exact"/>
        <w:jc w:val="left"/>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本表金额转换为万元时，因四舍五入可能存在尾差。</w:t>
      </w:r>
    </w:p>
    <w:p>
      <w:pPr>
        <w:rPr>
          <w:rFonts w:ascii="宋体" w:hAnsi="宋体" w:cs="宋体"/>
          <w:b/>
          <w:bCs/>
          <w:sz w:val="32"/>
          <w:szCs w:val="32"/>
        </w:rPr>
      </w:pPr>
      <w:r>
        <w:rPr>
          <w:rFonts w:hint="eastAsia" w:ascii="宋体" w:hAnsi="宋体" w:cs="宋体"/>
          <w:b/>
          <w:bCs/>
          <w:sz w:val="32"/>
          <w:szCs w:val="32"/>
        </w:rPr>
        <w:br w:type="page"/>
      </w:r>
    </w:p>
    <w:p>
      <w:pPr>
        <w:spacing w:line="560" w:lineRule="exact"/>
        <w:jc w:val="center"/>
        <w:rPr>
          <w:rFonts w:ascii="宋体" w:cs="宋体"/>
          <w:b/>
          <w:bCs/>
          <w:sz w:val="32"/>
          <w:szCs w:val="32"/>
        </w:rPr>
      </w:pPr>
      <w:r>
        <w:rPr>
          <w:rFonts w:hint="eastAsia" w:ascii="宋体" w:hAnsi="宋体" w:cs="宋体"/>
          <w:b/>
          <w:bCs/>
          <w:sz w:val="32"/>
          <w:szCs w:val="32"/>
        </w:rPr>
        <w:t>财政拨款收入支出决算总表</w:t>
      </w:r>
    </w:p>
    <w:p>
      <w:pPr>
        <w:spacing w:line="340" w:lineRule="exact"/>
        <w:jc w:val="right"/>
        <w:rPr>
          <w:rFonts w:ascii="宋体" w:cs="宋体"/>
          <w:b/>
          <w:bCs/>
          <w:szCs w:val="21"/>
        </w:rPr>
      </w:pPr>
      <w:r>
        <w:rPr>
          <w:rFonts w:hint="eastAsia" w:ascii="宋体" w:hAnsi="宋体" w:cs="宋体"/>
          <w:b/>
          <w:bCs/>
          <w:szCs w:val="21"/>
        </w:rPr>
        <w:t>公开</w:t>
      </w:r>
      <w:r>
        <w:rPr>
          <w:rFonts w:ascii="宋体" w:hAnsi="宋体" w:cs="宋体"/>
          <w:b/>
          <w:bCs/>
          <w:szCs w:val="21"/>
        </w:rPr>
        <w:t>0</w:t>
      </w:r>
      <w:r>
        <w:rPr>
          <w:rFonts w:hint="eastAsia" w:ascii="宋体" w:hAnsi="宋体" w:cs="宋体"/>
          <w:b/>
          <w:bCs/>
          <w:szCs w:val="21"/>
        </w:rPr>
        <w:t>4表</w:t>
      </w:r>
    </w:p>
    <w:p>
      <w:pPr>
        <w:spacing w:line="340" w:lineRule="exact"/>
        <w:rPr>
          <w:rFonts w:ascii="宋体" w:hAnsi="宋体" w:cs="宋体"/>
          <w:b/>
          <w:bCs/>
          <w:szCs w:val="21"/>
        </w:rPr>
      </w:pPr>
      <w:r>
        <w:rPr>
          <w:rFonts w:hint="eastAsia" w:ascii="宋体" w:hAnsi="宋体" w:cs="宋体"/>
          <w:b/>
          <w:bCs/>
          <w:szCs w:val="21"/>
        </w:rPr>
        <w:t>编制部门：杨陵区行政审批服务局                                        金额单位：万元</w:t>
      </w:r>
    </w:p>
    <w:tbl>
      <w:tblPr>
        <w:tblStyle w:val="8"/>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szCs w:val="21"/>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kern w:val="0"/>
                <w:szCs w:val="21"/>
              </w:rPr>
            </w:pPr>
            <w:r>
              <w:rPr>
                <w:rFonts w:hint="eastAsia" w:ascii="宋体" w:hAnsi="宋体" w:cs="宋体"/>
                <w:b/>
                <w:color w:val="000000"/>
                <w:kern w:val="0"/>
                <w:szCs w:val="21"/>
              </w:rPr>
              <w:t>项目</w:t>
            </w: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rPr>
                <w:rFonts w:ascii="宋体" w:cs="宋体"/>
                <w:color w:val="000000"/>
                <w:szCs w:val="21"/>
              </w:rPr>
            </w:pPr>
            <w:r>
              <w:rPr>
                <w:rFonts w:ascii="宋体" w:hAnsi="宋体" w:cs="宋体"/>
                <w:color w:val="000000"/>
                <w:kern w:val="0"/>
                <w:szCs w:val="21"/>
              </w:rPr>
              <w:t>1</w:t>
            </w:r>
            <w:r>
              <w:rPr>
                <w:rFonts w:hint="eastAsia" w:ascii="宋体" w:hAnsi="宋体" w:cs="宋体"/>
                <w:color w:val="000000"/>
                <w:kern w:val="0"/>
                <w:szCs w:val="21"/>
              </w:rPr>
              <w:t>、一般公共预算财政拨款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82.62</w:t>
            </w:r>
          </w:p>
        </w:tc>
        <w:tc>
          <w:tcPr>
            <w:tcW w:w="2703" w:type="dxa"/>
            <w:tcBorders>
              <w:top w:val="single" w:color="000000" w:sz="4" w:space="0"/>
              <w:left w:val="single" w:color="000000" w:sz="4" w:space="0"/>
              <w:bottom w:val="single" w:color="000000" w:sz="4" w:space="0"/>
              <w:right w:val="single" w:color="000000" w:sz="4" w:space="0"/>
            </w:tcBorders>
            <w:vAlign w:val="center"/>
          </w:tcPr>
          <w:p>
            <w:pPr>
              <w:spacing w:line="340" w:lineRule="exact"/>
              <w:textAlignment w:val="center"/>
              <w:rPr>
                <w:rFonts w:ascii="宋体" w:cs="宋体"/>
                <w:color w:val="000000"/>
                <w:szCs w:val="21"/>
              </w:rPr>
            </w:pPr>
            <w:r>
              <w:rPr>
                <w:rFonts w:ascii="宋体" w:hAnsi="宋体" w:cs="宋体"/>
                <w:color w:val="000000"/>
                <w:kern w:val="0"/>
                <w:szCs w:val="21"/>
              </w:rPr>
              <w:t>1</w:t>
            </w:r>
            <w:r>
              <w:rPr>
                <w:rFonts w:hint="eastAsia" w:ascii="宋体" w:hAnsi="宋体" w:cs="宋体"/>
                <w:color w:val="000000"/>
                <w:kern w:val="0"/>
                <w:szCs w:val="21"/>
              </w:rPr>
              <w:t>、一般公共服务支出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82.62</w:t>
            </w: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82.62</w:t>
            </w: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0.00</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rPr>
                <w:rFonts w:ascii="宋体" w:cs="宋体"/>
                <w:color w:val="000000"/>
                <w:szCs w:val="21"/>
              </w:rPr>
            </w:pPr>
            <w:r>
              <w:rPr>
                <w:rFonts w:ascii="宋体" w:hAnsi="宋体" w:cs="宋体"/>
                <w:color w:val="000000"/>
                <w:kern w:val="0"/>
                <w:szCs w:val="21"/>
              </w:rPr>
              <w:t>2</w:t>
            </w:r>
            <w:r>
              <w:rPr>
                <w:rFonts w:hint="eastAsia" w:ascii="宋体" w:hAnsi="宋体" w:cs="宋体"/>
                <w:color w:val="000000"/>
                <w:kern w:val="0"/>
                <w:szCs w:val="21"/>
              </w:rPr>
              <w:t>、政府性基金预算财政拨款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0.00</w:t>
            </w:r>
          </w:p>
        </w:tc>
        <w:tc>
          <w:tcPr>
            <w:tcW w:w="2703" w:type="dxa"/>
            <w:tcBorders>
              <w:top w:val="single" w:color="000000" w:sz="4" w:space="0"/>
              <w:left w:val="single" w:color="000000" w:sz="4" w:space="0"/>
              <w:bottom w:val="single" w:color="000000" w:sz="4" w:space="0"/>
              <w:right w:val="single" w:color="000000" w:sz="4" w:space="0"/>
            </w:tcBorders>
            <w:vAlign w:val="center"/>
          </w:tcPr>
          <w:p>
            <w:pPr>
              <w:spacing w:line="340" w:lineRule="exact"/>
              <w:textAlignment w:val="center"/>
              <w:rPr>
                <w:rFonts w:ascii="宋体" w:cs="宋体"/>
                <w:color w:val="000000"/>
                <w:szCs w:val="21"/>
              </w:rPr>
            </w:pPr>
            <w:r>
              <w:rPr>
                <w:rFonts w:ascii="宋体" w:hAnsi="宋体" w:cs="宋体"/>
                <w:color w:val="000000"/>
                <w:kern w:val="0"/>
                <w:szCs w:val="21"/>
              </w:rPr>
              <w:t>2</w:t>
            </w:r>
            <w:r>
              <w:rPr>
                <w:rFonts w:hint="eastAsia" w:ascii="宋体" w:hAnsi="宋体" w:cs="宋体"/>
                <w:color w:val="000000"/>
                <w:kern w:val="0"/>
                <w:szCs w:val="21"/>
              </w:rPr>
              <w:t>、外交支出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spacing w:line="340" w:lineRule="exact"/>
              <w:textAlignment w:val="center"/>
              <w:rPr>
                <w:rFonts w:ascii="宋体" w:cs="宋体"/>
                <w:color w:val="000000"/>
                <w:szCs w:val="21"/>
              </w:rPr>
            </w:pPr>
            <w:r>
              <w:rPr>
                <w:rFonts w:ascii="宋体" w:hAnsi="宋体" w:cs="宋体"/>
                <w:color w:val="000000"/>
                <w:kern w:val="0"/>
                <w:szCs w:val="21"/>
              </w:rPr>
              <w:t>3</w:t>
            </w:r>
            <w:r>
              <w:rPr>
                <w:rFonts w:hint="eastAsia" w:ascii="宋体" w:hAnsi="宋体" w:cs="宋体"/>
                <w:color w:val="000000"/>
                <w:kern w:val="0"/>
                <w:szCs w:val="21"/>
              </w:rPr>
              <w:t>、国防支出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spacing w:line="340" w:lineRule="exact"/>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spacing w:line="340" w:lineRule="exact"/>
              <w:textAlignment w:val="center"/>
              <w:rPr>
                <w:rFonts w:ascii="宋体" w:cs="宋体"/>
                <w:color w:val="000000"/>
                <w:szCs w:val="21"/>
              </w:rPr>
            </w:pPr>
            <w:r>
              <w:rPr>
                <w:rFonts w:ascii="宋体" w:hAnsi="宋体" w:cs="宋体"/>
                <w:color w:val="000000"/>
                <w:kern w:val="0"/>
                <w:szCs w:val="21"/>
              </w:rPr>
              <w:t>4</w:t>
            </w:r>
            <w:r>
              <w:rPr>
                <w:rFonts w:hint="eastAsia" w:ascii="宋体" w:hAnsi="宋体" w:cs="宋体"/>
                <w:color w:val="000000"/>
                <w:kern w:val="0"/>
                <w:szCs w:val="21"/>
              </w:rPr>
              <w:t>、公共安全支出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spacing w:line="340" w:lineRule="exact"/>
              <w:textAlignment w:val="center"/>
              <w:rPr>
                <w:rFonts w:ascii="宋体" w:cs="宋体"/>
                <w:color w:val="000000"/>
                <w:szCs w:val="21"/>
              </w:rPr>
            </w:pPr>
            <w:r>
              <w:rPr>
                <w:rFonts w:ascii="宋体" w:hAnsi="宋体" w:cs="宋体"/>
                <w:color w:val="000000"/>
                <w:kern w:val="0"/>
                <w:szCs w:val="21"/>
              </w:rPr>
              <w:t>5</w:t>
            </w:r>
            <w:r>
              <w:rPr>
                <w:rFonts w:hint="eastAsia" w:ascii="宋体" w:hAnsi="宋体" w:cs="宋体"/>
                <w:color w:val="000000"/>
                <w:kern w:val="0"/>
                <w:szCs w:val="21"/>
              </w:rPr>
              <w:t>、教育支出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spacing w:line="340" w:lineRule="exact"/>
              <w:textAlignment w:val="center"/>
              <w:rPr>
                <w:rFonts w:ascii="宋体" w:cs="宋体"/>
                <w:color w:val="000000"/>
                <w:szCs w:val="21"/>
              </w:rPr>
            </w:pPr>
            <w:r>
              <w:rPr>
                <w:rFonts w:ascii="宋体" w:hAnsi="宋体" w:cs="宋体"/>
                <w:color w:val="000000"/>
                <w:kern w:val="0"/>
                <w:szCs w:val="21"/>
              </w:rPr>
              <w:t>6</w:t>
            </w:r>
            <w:r>
              <w:rPr>
                <w:rFonts w:hint="eastAsia" w:ascii="宋体" w:hAnsi="宋体" w:cs="宋体"/>
                <w:color w:val="000000"/>
                <w:kern w:val="0"/>
                <w:szCs w:val="21"/>
              </w:rPr>
              <w:t>、科学技术支出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spacing w:line="340" w:lineRule="exact"/>
              <w:textAlignment w:val="center"/>
              <w:rPr>
                <w:rFonts w:ascii="宋体" w:cs="宋体"/>
                <w:color w:val="000000"/>
                <w:szCs w:val="21"/>
              </w:rPr>
            </w:pPr>
            <w:r>
              <w:rPr>
                <w:rFonts w:ascii="宋体" w:hAnsi="宋体" w:cs="宋体"/>
                <w:color w:val="000000"/>
                <w:kern w:val="0"/>
                <w:szCs w:val="21"/>
              </w:rPr>
              <w:t>7</w:t>
            </w:r>
            <w:r>
              <w:rPr>
                <w:rFonts w:hint="eastAsia" w:ascii="宋体" w:hAnsi="宋体" w:cs="宋体"/>
                <w:color w:val="000000"/>
                <w:kern w:val="0"/>
                <w:szCs w:val="21"/>
              </w:rPr>
              <w:t>、</w:t>
            </w:r>
            <w:r>
              <w:rPr>
                <w:rFonts w:hint="eastAsia" w:ascii="宋体" w:hAnsi="宋体" w:cs="宋体"/>
                <w:color w:val="000000"/>
                <w:spacing w:val="-11"/>
                <w:w w:val="98"/>
                <w:kern w:val="0"/>
                <w:szCs w:val="21"/>
              </w:rPr>
              <w:t>文化旅游体育与传媒支出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spacing w:line="340" w:lineRule="exact"/>
              <w:textAlignment w:val="center"/>
              <w:rPr>
                <w:rFonts w:ascii="宋体" w:cs="宋体"/>
                <w:color w:val="000000"/>
                <w:szCs w:val="21"/>
              </w:rPr>
            </w:pPr>
            <w:r>
              <w:rPr>
                <w:rFonts w:ascii="宋体" w:hAnsi="宋体" w:cs="宋体"/>
                <w:color w:val="000000"/>
                <w:kern w:val="0"/>
                <w:szCs w:val="21"/>
              </w:rPr>
              <w:t>8</w:t>
            </w:r>
            <w:r>
              <w:rPr>
                <w:rFonts w:hint="eastAsia" w:ascii="宋体" w:hAnsi="宋体" w:cs="宋体"/>
                <w:color w:val="000000"/>
                <w:kern w:val="0"/>
                <w:szCs w:val="21"/>
              </w:rPr>
              <w:t>、社会保障和就业支出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spacing w:line="340" w:lineRule="exact"/>
              <w:textAlignment w:val="center"/>
              <w:rPr>
                <w:rFonts w:ascii="宋体" w:cs="宋体"/>
                <w:color w:val="000000"/>
                <w:szCs w:val="21"/>
              </w:rPr>
            </w:pPr>
            <w:r>
              <w:rPr>
                <w:rFonts w:ascii="宋体" w:hAnsi="宋体" w:cs="宋体"/>
                <w:color w:val="000000"/>
                <w:kern w:val="0"/>
                <w:szCs w:val="21"/>
              </w:rPr>
              <w:t>9</w:t>
            </w:r>
            <w:r>
              <w:rPr>
                <w:rFonts w:hint="eastAsia" w:ascii="宋体" w:hAnsi="宋体" w:cs="宋体"/>
                <w:color w:val="000000"/>
                <w:kern w:val="0"/>
                <w:szCs w:val="21"/>
              </w:rPr>
              <w:t>、卫生健康支出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spacing w:line="340" w:lineRule="exact"/>
              <w:textAlignment w:val="center"/>
              <w:rPr>
                <w:rFonts w:ascii="宋体" w:cs="宋体"/>
                <w:color w:val="000000"/>
                <w:szCs w:val="21"/>
              </w:rPr>
            </w:pPr>
            <w:r>
              <w:rPr>
                <w:rFonts w:ascii="宋体" w:hAnsi="宋体" w:cs="宋体"/>
                <w:color w:val="000000"/>
                <w:kern w:val="0"/>
                <w:szCs w:val="21"/>
              </w:rPr>
              <w:t>10</w:t>
            </w:r>
            <w:r>
              <w:rPr>
                <w:rFonts w:hint="eastAsia" w:ascii="宋体" w:hAnsi="宋体" w:cs="宋体"/>
                <w:color w:val="000000"/>
                <w:kern w:val="0"/>
                <w:szCs w:val="21"/>
              </w:rPr>
              <w:t>、节能环保支出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spacing w:line="340" w:lineRule="exact"/>
              <w:textAlignment w:val="center"/>
              <w:rPr>
                <w:rFonts w:ascii="宋体" w:cs="宋体"/>
                <w:color w:val="000000"/>
                <w:szCs w:val="21"/>
              </w:rPr>
            </w:pPr>
            <w:r>
              <w:rPr>
                <w:rFonts w:ascii="宋体" w:hAnsi="宋体" w:cs="宋体"/>
                <w:color w:val="000000"/>
                <w:kern w:val="0"/>
                <w:szCs w:val="21"/>
              </w:rPr>
              <w:t>11</w:t>
            </w:r>
            <w:r>
              <w:rPr>
                <w:rFonts w:hint="eastAsia" w:ascii="宋体" w:hAnsi="宋体" w:cs="宋体"/>
                <w:color w:val="000000"/>
                <w:kern w:val="0"/>
                <w:szCs w:val="21"/>
              </w:rPr>
              <w:t>、城乡社区支出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spacing w:line="340" w:lineRule="exact"/>
              <w:textAlignment w:val="center"/>
              <w:rPr>
                <w:rFonts w:ascii="宋体" w:cs="宋体"/>
                <w:color w:val="000000"/>
                <w:szCs w:val="21"/>
              </w:rPr>
            </w:pPr>
            <w:r>
              <w:rPr>
                <w:rFonts w:ascii="宋体" w:hAnsi="宋体" w:cs="宋体"/>
                <w:color w:val="000000"/>
                <w:kern w:val="0"/>
                <w:szCs w:val="21"/>
              </w:rPr>
              <w:t>12</w:t>
            </w:r>
            <w:r>
              <w:rPr>
                <w:rFonts w:hint="eastAsia" w:ascii="宋体" w:hAnsi="宋体" w:cs="宋体"/>
                <w:color w:val="000000"/>
                <w:kern w:val="0"/>
                <w:szCs w:val="21"/>
              </w:rPr>
              <w:t>、农林水支出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spacing w:line="340" w:lineRule="exact"/>
              <w:textAlignment w:val="center"/>
              <w:rPr>
                <w:rFonts w:ascii="宋体" w:cs="宋体"/>
                <w:color w:val="000000"/>
                <w:szCs w:val="21"/>
              </w:rPr>
            </w:pPr>
            <w:r>
              <w:rPr>
                <w:rFonts w:ascii="宋体" w:hAnsi="宋体" w:cs="宋体"/>
                <w:color w:val="000000"/>
                <w:kern w:val="0"/>
                <w:szCs w:val="21"/>
              </w:rPr>
              <w:t>13</w:t>
            </w:r>
            <w:r>
              <w:rPr>
                <w:rFonts w:hint="eastAsia" w:ascii="宋体" w:hAnsi="宋体" w:cs="宋体"/>
                <w:color w:val="000000"/>
                <w:kern w:val="0"/>
                <w:szCs w:val="21"/>
              </w:rPr>
              <w:t>、交通运输支出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spacing w:line="340" w:lineRule="exact"/>
              <w:textAlignment w:val="center"/>
              <w:rPr>
                <w:rFonts w:ascii="宋体" w:cs="宋体"/>
                <w:color w:val="000000"/>
                <w:szCs w:val="21"/>
              </w:rPr>
            </w:pPr>
            <w:r>
              <w:rPr>
                <w:rFonts w:ascii="宋体" w:hAnsi="宋体" w:cs="宋体"/>
                <w:color w:val="000000"/>
                <w:kern w:val="0"/>
                <w:szCs w:val="21"/>
              </w:rPr>
              <w:t>14</w:t>
            </w:r>
            <w:r>
              <w:rPr>
                <w:rFonts w:hint="eastAsia" w:ascii="宋体" w:hAnsi="宋体" w:cs="宋体"/>
                <w:color w:val="000000"/>
                <w:kern w:val="0"/>
                <w:szCs w:val="21"/>
              </w:rPr>
              <w:t>、资源勘探信息等支出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spacing w:line="340" w:lineRule="exact"/>
              <w:textAlignment w:val="center"/>
              <w:rPr>
                <w:rFonts w:ascii="宋体" w:cs="宋体"/>
                <w:color w:val="000000"/>
                <w:szCs w:val="21"/>
              </w:rPr>
            </w:pPr>
            <w:r>
              <w:rPr>
                <w:rFonts w:ascii="宋体" w:hAnsi="宋体" w:cs="宋体"/>
                <w:color w:val="000000"/>
                <w:kern w:val="0"/>
                <w:szCs w:val="21"/>
              </w:rPr>
              <w:t>15</w:t>
            </w:r>
            <w:r>
              <w:rPr>
                <w:rFonts w:hint="eastAsia" w:ascii="宋体" w:hAnsi="宋体" w:cs="宋体"/>
                <w:color w:val="000000"/>
                <w:kern w:val="0"/>
                <w:szCs w:val="21"/>
              </w:rPr>
              <w:t>、商业服务业等支出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spacing w:line="340" w:lineRule="exact"/>
              <w:textAlignment w:val="center"/>
              <w:rPr>
                <w:rFonts w:ascii="宋体" w:cs="宋体"/>
                <w:color w:val="000000"/>
                <w:szCs w:val="21"/>
              </w:rPr>
            </w:pPr>
            <w:r>
              <w:rPr>
                <w:rFonts w:ascii="宋体" w:hAnsi="宋体" w:cs="宋体"/>
                <w:color w:val="000000"/>
                <w:kern w:val="0"/>
                <w:szCs w:val="21"/>
              </w:rPr>
              <w:t>16</w:t>
            </w:r>
            <w:r>
              <w:rPr>
                <w:rFonts w:hint="eastAsia" w:ascii="宋体" w:hAnsi="宋体" w:cs="宋体"/>
                <w:color w:val="000000"/>
                <w:kern w:val="0"/>
                <w:szCs w:val="21"/>
              </w:rPr>
              <w:t>、金融支出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spacing w:line="340" w:lineRule="exact"/>
              <w:textAlignment w:val="center"/>
              <w:rPr>
                <w:rFonts w:ascii="宋体" w:cs="宋体"/>
                <w:color w:val="000000"/>
                <w:szCs w:val="21"/>
              </w:rPr>
            </w:pPr>
            <w:r>
              <w:rPr>
                <w:rFonts w:ascii="宋体" w:hAnsi="宋体" w:cs="宋体"/>
                <w:color w:val="000000"/>
                <w:kern w:val="0"/>
                <w:szCs w:val="21"/>
              </w:rPr>
              <w:t>17</w:t>
            </w:r>
            <w:r>
              <w:rPr>
                <w:rFonts w:hint="eastAsia" w:ascii="宋体" w:hAnsi="宋体" w:cs="宋体"/>
                <w:color w:val="000000"/>
                <w:kern w:val="0"/>
                <w:szCs w:val="21"/>
              </w:rPr>
              <w:t>、援助其他地区支出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spacing w:line="340" w:lineRule="exact"/>
              <w:textAlignment w:val="center"/>
              <w:rPr>
                <w:rFonts w:ascii="宋体" w:cs="宋体"/>
                <w:color w:val="000000"/>
                <w:szCs w:val="21"/>
              </w:rPr>
            </w:pPr>
            <w:r>
              <w:rPr>
                <w:rFonts w:ascii="宋体" w:hAnsi="宋体" w:cs="宋体"/>
                <w:color w:val="000000"/>
                <w:kern w:val="0"/>
                <w:szCs w:val="21"/>
              </w:rPr>
              <w:t>18</w:t>
            </w:r>
            <w:r>
              <w:rPr>
                <w:rFonts w:hint="eastAsia" w:ascii="宋体" w:hAnsi="宋体" w:cs="宋体"/>
                <w:color w:val="000000"/>
                <w:kern w:val="0"/>
                <w:szCs w:val="21"/>
              </w:rPr>
              <w:t>、</w:t>
            </w:r>
            <w:r>
              <w:rPr>
                <w:rFonts w:hint="eastAsia" w:ascii="宋体" w:hAnsi="宋体" w:cs="宋体"/>
                <w:color w:val="000000"/>
                <w:spacing w:val="-11"/>
                <w:w w:val="98"/>
                <w:kern w:val="0"/>
                <w:szCs w:val="21"/>
              </w:rPr>
              <w:t>自然资源海洋气象等支出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spacing w:line="340" w:lineRule="exact"/>
              <w:textAlignment w:val="center"/>
              <w:rPr>
                <w:rFonts w:ascii="宋体" w:cs="宋体"/>
                <w:color w:val="000000"/>
                <w:szCs w:val="21"/>
              </w:rPr>
            </w:pPr>
            <w:r>
              <w:rPr>
                <w:rFonts w:ascii="宋体" w:hAnsi="宋体" w:cs="宋体"/>
                <w:color w:val="000000"/>
                <w:kern w:val="0"/>
                <w:szCs w:val="21"/>
              </w:rPr>
              <w:t>19</w:t>
            </w:r>
            <w:r>
              <w:rPr>
                <w:rFonts w:hint="eastAsia" w:ascii="宋体" w:hAnsi="宋体" w:cs="宋体"/>
                <w:color w:val="000000"/>
                <w:kern w:val="0"/>
                <w:szCs w:val="21"/>
              </w:rPr>
              <w:t>、住房保障支出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spacing w:line="340" w:lineRule="exact"/>
              <w:textAlignment w:val="center"/>
              <w:rPr>
                <w:rFonts w:ascii="宋体" w:cs="宋体"/>
                <w:color w:val="000000"/>
                <w:szCs w:val="21"/>
              </w:rPr>
            </w:pPr>
            <w:r>
              <w:rPr>
                <w:rFonts w:ascii="宋体" w:hAnsi="宋体" w:cs="宋体"/>
                <w:color w:val="000000"/>
                <w:kern w:val="0"/>
                <w:szCs w:val="21"/>
              </w:rPr>
              <w:t>20</w:t>
            </w:r>
            <w:r>
              <w:rPr>
                <w:rFonts w:hint="eastAsia" w:ascii="宋体" w:hAnsi="宋体" w:cs="宋体"/>
                <w:color w:val="000000"/>
                <w:kern w:val="0"/>
                <w:szCs w:val="21"/>
              </w:rPr>
              <w:t>、粮油物资储备支出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rPr>
                <w:rFonts w:ascii="宋体" w:cs="宋体"/>
                <w:color w:val="000000"/>
                <w:szCs w:val="21"/>
              </w:rPr>
            </w:pPr>
            <w:r>
              <w:rPr>
                <w:rFonts w:ascii="宋体" w:hAnsi="宋体" w:cs="宋体"/>
                <w:color w:val="000000"/>
                <w:kern w:val="0"/>
                <w:szCs w:val="21"/>
              </w:rPr>
              <w:t>21</w:t>
            </w:r>
            <w:r>
              <w:rPr>
                <w:rFonts w:hint="eastAsia" w:ascii="宋体" w:hAnsi="宋体" w:cs="宋体"/>
                <w:color w:val="000000"/>
                <w:kern w:val="0"/>
                <w:szCs w:val="21"/>
              </w:rPr>
              <w:t>、灾害防治及应急管理支出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rPr>
                <w:rFonts w:ascii="宋体" w:cs="宋体"/>
                <w:color w:val="000000"/>
                <w:kern w:val="0"/>
                <w:szCs w:val="21"/>
              </w:rPr>
            </w:pPr>
            <w:r>
              <w:rPr>
                <w:rFonts w:ascii="宋体" w:hAnsi="宋体" w:cs="宋体"/>
                <w:color w:val="000000"/>
                <w:kern w:val="0"/>
                <w:szCs w:val="21"/>
              </w:rPr>
              <w:t>22</w:t>
            </w:r>
            <w:r>
              <w:rPr>
                <w:rFonts w:hint="eastAsia" w:ascii="宋体" w:hAnsi="宋体" w:cs="宋体"/>
                <w:color w:val="000000"/>
                <w:kern w:val="0"/>
                <w:szCs w:val="21"/>
              </w:rPr>
              <w:t>、其他支出</w:t>
            </w:r>
          </w:p>
        </w:tc>
        <w:tc>
          <w:tcPr>
            <w:tcW w:w="1134" w:type="dxa"/>
            <w:tcBorders>
              <w:top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kern w:val="0"/>
                <w:szCs w:val="21"/>
              </w:rPr>
            </w:pPr>
          </w:p>
        </w:tc>
        <w:tc>
          <w:tcPr>
            <w:tcW w:w="1102" w:type="dxa"/>
            <w:tcBorders>
              <w:top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b/>
                <w:color w:val="000000"/>
                <w:szCs w:val="21"/>
              </w:rPr>
            </w:pPr>
          </w:p>
        </w:tc>
        <w:tc>
          <w:tcPr>
            <w:tcW w:w="984" w:type="dxa"/>
            <w:tcBorders>
              <w:top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b/>
                <w:color w:val="000000"/>
                <w:szCs w:val="21"/>
              </w:rPr>
            </w:pPr>
          </w:p>
        </w:tc>
      </w:tr>
    </w:tbl>
    <w:p>
      <w:pPr>
        <w:spacing w:line="560" w:lineRule="exact"/>
        <w:jc w:val="center"/>
        <w:rPr>
          <w:rFonts w:ascii="宋体" w:cs="宋体"/>
          <w:b/>
          <w:bCs/>
          <w:sz w:val="32"/>
          <w:szCs w:val="32"/>
        </w:rPr>
      </w:pPr>
      <w:r>
        <w:rPr>
          <w:rFonts w:hint="eastAsia" w:ascii="宋体" w:hAnsi="宋体" w:cs="宋体"/>
          <w:b/>
          <w:bCs/>
          <w:sz w:val="32"/>
          <w:szCs w:val="32"/>
        </w:rPr>
        <w:t>财政拨款收入支出决算总表</w:t>
      </w:r>
    </w:p>
    <w:p>
      <w:pPr>
        <w:spacing w:line="340" w:lineRule="exact"/>
        <w:jc w:val="right"/>
        <w:rPr>
          <w:rFonts w:ascii="宋体" w:cs="宋体"/>
          <w:b/>
          <w:bCs/>
          <w:szCs w:val="21"/>
        </w:rPr>
      </w:pPr>
      <w:r>
        <w:rPr>
          <w:rFonts w:hint="eastAsia" w:ascii="宋体" w:hAnsi="宋体" w:cs="宋体"/>
          <w:b/>
          <w:bCs/>
          <w:szCs w:val="21"/>
        </w:rPr>
        <w:t>公开</w:t>
      </w:r>
      <w:r>
        <w:rPr>
          <w:rFonts w:ascii="宋体" w:hAnsi="宋体" w:cs="宋体"/>
          <w:b/>
          <w:bCs/>
          <w:szCs w:val="21"/>
        </w:rPr>
        <w:t>0</w:t>
      </w:r>
      <w:r>
        <w:rPr>
          <w:rFonts w:hint="eastAsia" w:ascii="宋体" w:hAnsi="宋体" w:cs="宋体"/>
          <w:b/>
          <w:bCs/>
          <w:szCs w:val="21"/>
        </w:rPr>
        <w:t>4表</w:t>
      </w:r>
    </w:p>
    <w:p>
      <w:pPr>
        <w:spacing w:line="340" w:lineRule="exact"/>
        <w:rPr>
          <w:rFonts w:ascii="宋体" w:hAnsi="宋体" w:cs="宋体"/>
          <w:b/>
          <w:bCs/>
          <w:szCs w:val="21"/>
        </w:rPr>
      </w:pPr>
      <w:r>
        <w:rPr>
          <w:rFonts w:hint="eastAsia" w:ascii="宋体" w:hAnsi="宋体" w:cs="宋体"/>
          <w:b/>
          <w:bCs/>
          <w:szCs w:val="21"/>
        </w:rPr>
        <w:t>编制部门：杨陵区行政审批服务局                                        金额单位：万元</w:t>
      </w:r>
    </w:p>
    <w:tbl>
      <w:tblPr>
        <w:tblStyle w:val="8"/>
        <w:tblW w:w="8860" w:type="dxa"/>
        <w:tblInd w:w="0" w:type="dxa"/>
        <w:tblLayout w:type="fixed"/>
        <w:tblCellMar>
          <w:top w:w="15" w:type="dxa"/>
          <w:left w:w="15" w:type="dxa"/>
          <w:bottom w:w="15" w:type="dxa"/>
          <w:right w:w="15" w:type="dxa"/>
        </w:tblCellMar>
      </w:tblPr>
      <w:tblGrid>
        <w:gridCol w:w="2003"/>
        <w:gridCol w:w="1554"/>
        <w:gridCol w:w="1815"/>
        <w:gridCol w:w="1230"/>
        <w:gridCol w:w="1061"/>
        <w:gridCol w:w="1197"/>
      </w:tblGrid>
      <w:tr>
        <w:tblPrEx>
          <w:tblCellMar>
            <w:top w:w="15" w:type="dxa"/>
            <w:left w:w="15" w:type="dxa"/>
            <w:bottom w:w="15" w:type="dxa"/>
            <w:right w:w="15" w:type="dxa"/>
          </w:tblCellMar>
        </w:tblPrEx>
        <w:trPr>
          <w:trHeight w:val="488" w:hRule="atLeast"/>
        </w:trPr>
        <w:tc>
          <w:tcPr>
            <w:tcW w:w="3557"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szCs w:val="21"/>
              </w:rPr>
              <w:t>收入</w:t>
            </w:r>
          </w:p>
        </w:tc>
        <w:tc>
          <w:tcPr>
            <w:tcW w:w="5303" w:type="dxa"/>
            <w:gridSpan w:val="4"/>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950"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kern w:val="0"/>
                <w:szCs w:val="21"/>
              </w:rPr>
            </w:pPr>
            <w:r>
              <w:rPr>
                <w:rFonts w:hint="eastAsia" w:ascii="宋体" w:hAnsi="宋体" w:cs="宋体"/>
                <w:b/>
                <w:color w:val="000000"/>
                <w:kern w:val="0"/>
                <w:szCs w:val="21"/>
              </w:rPr>
              <w:t>项目</w:t>
            </w:r>
          </w:p>
        </w:tc>
        <w:tc>
          <w:tcPr>
            <w:tcW w:w="155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kern w:val="0"/>
                <w:szCs w:val="21"/>
              </w:rPr>
            </w:pPr>
            <w:r>
              <w:rPr>
                <w:rFonts w:hint="eastAsia" w:ascii="宋体" w:hAnsi="宋体" w:cs="宋体"/>
                <w:b/>
                <w:color w:val="000000"/>
                <w:kern w:val="0"/>
                <w:szCs w:val="21"/>
              </w:rPr>
              <w:t>决算数</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kern w:val="0"/>
                <w:szCs w:val="21"/>
              </w:rPr>
            </w:pPr>
            <w:r>
              <w:rPr>
                <w:rFonts w:hint="eastAsia" w:ascii="宋体" w:hAnsi="宋体" w:cs="宋体"/>
                <w:b/>
                <w:color w:val="000000"/>
                <w:kern w:val="0"/>
                <w:szCs w:val="21"/>
              </w:rPr>
              <w:t>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kern w:val="0"/>
                <w:szCs w:val="21"/>
              </w:rPr>
            </w:pPr>
            <w:r>
              <w:rPr>
                <w:rFonts w:hint="eastAsia" w:ascii="宋体" w:hAnsi="宋体" w:cs="宋体"/>
                <w:b/>
                <w:color w:val="000000"/>
                <w:kern w:val="0"/>
                <w:szCs w:val="21"/>
              </w:rPr>
              <w:t>合计</w:t>
            </w:r>
          </w:p>
        </w:tc>
        <w:tc>
          <w:tcPr>
            <w:tcW w:w="106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kern w:val="0"/>
                <w:szCs w:val="21"/>
              </w:rPr>
            </w:pPr>
            <w:r>
              <w:rPr>
                <w:rFonts w:hint="eastAsia" w:ascii="宋体" w:hAnsi="宋体" w:cs="宋体"/>
                <w:b/>
                <w:color w:val="000000"/>
                <w:kern w:val="0"/>
                <w:szCs w:val="21"/>
              </w:rPr>
              <w:t>一般公共预算财政拨款</w:t>
            </w:r>
          </w:p>
        </w:tc>
        <w:tc>
          <w:tcPr>
            <w:tcW w:w="119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本年收入合计</w:t>
            </w:r>
          </w:p>
        </w:tc>
        <w:tc>
          <w:tcPr>
            <w:tcW w:w="155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b/>
                <w:bCs/>
                <w:color w:val="000000"/>
                <w:szCs w:val="21"/>
              </w:rPr>
              <w:t>82.62</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本年支出合计</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b/>
                <w:color w:val="000000"/>
                <w:kern w:val="0"/>
                <w:szCs w:val="21"/>
              </w:rPr>
            </w:pPr>
            <w:r>
              <w:rPr>
                <w:rFonts w:hint="eastAsia" w:ascii="宋体" w:cs="宋体"/>
                <w:b/>
                <w:color w:val="000000"/>
                <w:kern w:val="0"/>
                <w:szCs w:val="21"/>
              </w:rPr>
              <w:t>82.62</w:t>
            </w:r>
          </w:p>
        </w:tc>
        <w:tc>
          <w:tcPr>
            <w:tcW w:w="106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b/>
                <w:color w:val="000000"/>
                <w:kern w:val="0"/>
                <w:szCs w:val="21"/>
              </w:rPr>
            </w:pPr>
            <w:r>
              <w:rPr>
                <w:rFonts w:hint="eastAsia" w:ascii="宋体" w:cs="宋体"/>
                <w:b/>
                <w:color w:val="000000"/>
                <w:kern w:val="0"/>
                <w:szCs w:val="21"/>
              </w:rPr>
              <w:t>82.62</w:t>
            </w:r>
          </w:p>
        </w:tc>
        <w:tc>
          <w:tcPr>
            <w:tcW w:w="119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b/>
                <w:color w:val="000000"/>
                <w:kern w:val="0"/>
                <w:szCs w:val="21"/>
              </w:rPr>
            </w:pPr>
            <w:r>
              <w:rPr>
                <w:rFonts w:hint="eastAsia" w:ascii="宋体" w:cs="宋体"/>
                <w:b/>
                <w:color w:val="000000"/>
                <w:kern w:val="0"/>
                <w:szCs w:val="21"/>
              </w:rPr>
              <w:t>0.00</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color w:val="000000"/>
                <w:kern w:val="0"/>
                <w:szCs w:val="21"/>
              </w:rPr>
            </w:pPr>
            <w:r>
              <w:rPr>
                <w:rFonts w:hint="eastAsia" w:ascii="宋体" w:hAnsi="宋体" w:cs="宋体"/>
                <w:color w:val="000000"/>
                <w:kern w:val="0"/>
                <w:szCs w:val="21"/>
              </w:rPr>
              <w:t>年初财政拨款结转和结余</w:t>
            </w:r>
          </w:p>
        </w:tc>
        <w:tc>
          <w:tcPr>
            <w:tcW w:w="155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b/>
                <w:color w:val="000000"/>
                <w:kern w:val="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color w:val="000000"/>
                <w:kern w:val="0"/>
                <w:szCs w:val="21"/>
              </w:rPr>
            </w:pPr>
            <w:r>
              <w:rPr>
                <w:rFonts w:hint="eastAsia" w:ascii="宋体" w:hAnsi="宋体" w:cs="宋体"/>
                <w:color w:val="000000"/>
                <w:kern w:val="0"/>
                <w:szCs w:val="21"/>
              </w:rPr>
              <w:t>年末财政拨款</w:t>
            </w:r>
          </w:p>
          <w:p>
            <w:pPr>
              <w:spacing w:line="340" w:lineRule="exact"/>
              <w:jc w:val="center"/>
              <w:textAlignment w:val="center"/>
              <w:rPr>
                <w:rFonts w:ascii="宋体" w:cs="宋体"/>
                <w:b/>
                <w:color w:val="000000"/>
                <w:kern w:val="0"/>
                <w:szCs w:val="21"/>
              </w:rPr>
            </w:pPr>
            <w:r>
              <w:rPr>
                <w:rFonts w:hint="eastAsia" w:ascii="宋体" w:hAnsi="宋体" w:cs="宋体"/>
                <w:color w:val="000000"/>
                <w:kern w:val="0"/>
                <w:szCs w:val="21"/>
              </w:rPr>
              <w:t>结转和结余</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spacing w:line="340" w:lineRule="exact"/>
              <w:textAlignment w:val="center"/>
              <w:rPr>
                <w:rFonts w:ascii="宋体" w:cs="宋体"/>
                <w:color w:val="000000"/>
                <w:kern w:val="0"/>
                <w:szCs w:val="21"/>
              </w:rPr>
            </w:pPr>
            <w:r>
              <w:rPr>
                <w:rFonts w:hint="eastAsia" w:ascii="宋体" w:hAnsi="宋体" w:cs="宋体"/>
                <w:color w:val="000000"/>
                <w:kern w:val="0"/>
                <w:szCs w:val="21"/>
              </w:rPr>
              <w:t>一、一般公共预</w:t>
            </w:r>
          </w:p>
          <w:p>
            <w:pPr>
              <w:spacing w:line="340" w:lineRule="exact"/>
              <w:ind w:firstLine="420" w:firstLineChars="200"/>
              <w:textAlignment w:val="center"/>
              <w:rPr>
                <w:rFonts w:asci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b/>
                <w:color w:val="000000"/>
                <w:kern w:val="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spacing w:line="340" w:lineRule="exact"/>
              <w:textAlignment w:val="center"/>
              <w:rPr>
                <w:rFonts w:ascii="宋体" w:cs="宋体"/>
                <w:color w:val="000000"/>
                <w:kern w:val="0"/>
                <w:szCs w:val="21"/>
              </w:rPr>
            </w:pPr>
            <w:r>
              <w:rPr>
                <w:rFonts w:hint="eastAsia" w:ascii="宋体" w:hAnsi="宋体" w:cs="宋体"/>
                <w:color w:val="000000"/>
                <w:kern w:val="0"/>
                <w:szCs w:val="21"/>
              </w:rPr>
              <w:t>二、政府性基金预</w:t>
            </w:r>
          </w:p>
          <w:p>
            <w:pPr>
              <w:spacing w:line="340" w:lineRule="exact"/>
              <w:ind w:firstLine="420" w:firstLineChars="200"/>
              <w:textAlignment w:val="center"/>
              <w:rPr>
                <w:rFonts w:asci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b/>
                <w:color w:val="000000"/>
                <w:kern w:val="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kern w:val="0"/>
                <w:szCs w:val="21"/>
              </w:rPr>
            </w:pPr>
          </w:p>
        </w:tc>
      </w:tr>
      <w:tr>
        <w:tblPrEx>
          <w:tblCellMar>
            <w:top w:w="15" w:type="dxa"/>
            <w:left w:w="15" w:type="dxa"/>
            <w:bottom w:w="15" w:type="dxa"/>
            <w:right w:w="15" w:type="dxa"/>
          </w:tblCellMar>
        </w:tblPrEx>
        <w:trPr>
          <w:trHeight w:val="562"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kern w:val="0"/>
                <w:szCs w:val="21"/>
              </w:rPr>
            </w:pPr>
            <w:r>
              <w:rPr>
                <w:rFonts w:hint="eastAsia" w:ascii="宋体" w:hAnsi="宋体" w:cs="宋体"/>
                <w:b/>
                <w:color w:val="000000"/>
                <w:kern w:val="0"/>
                <w:szCs w:val="21"/>
              </w:rPr>
              <w:t>收入总计</w:t>
            </w:r>
          </w:p>
        </w:tc>
        <w:tc>
          <w:tcPr>
            <w:tcW w:w="155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hAnsi="宋体" w:cs="宋体"/>
                <w:b/>
                <w:bCs/>
                <w:color w:val="000000"/>
                <w:sz w:val="22"/>
                <w:szCs w:val="22"/>
              </w:rPr>
            </w:pPr>
            <w:r>
              <w:rPr>
                <w:rFonts w:hint="eastAsia" w:ascii="宋体" w:hAnsi="宋体" w:cs="宋体"/>
                <w:b/>
                <w:bCs/>
                <w:color w:val="000000"/>
                <w:kern w:val="0"/>
                <w:sz w:val="22"/>
                <w:szCs w:val="22"/>
              </w:rPr>
              <w:t>82.62</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bCs/>
                <w:color w:val="000000"/>
                <w:kern w:val="0"/>
                <w:szCs w:val="21"/>
              </w:rPr>
            </w:pPr>
            <w:r>
              <w:rPr>
                <w:rFonts w:hint="eastAsia" w:ascii="宋体" w:hAnsi="宋体" w:cs="宋体"/>
                <w:b/>
                <w:bCs/>
                <w:color w:val="000000"/>
                <w:kern w:val="0"/>
                <w:szCs w:val="21"/>
              </w:rPr>
              <w:t>支出总计</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b/>
                <w:bCs/>
                <w:color w:val="000000"/>
                <w:kern w:val="0"/>
                <w:szCs w:val="21"/>
              </w:rPr>
            </w:pPr>
            <w:r>
              <w:rPr>
                <w:rFonts w:hint="eastAsia" w:ascii="宋体" w:cs="宋体"/>
                <w:b/>
                <w:bCs/>
                <w:color w:val="000000"/>
                <w:kern w:val="0"/>
                <w:szCs w:val="21"/>
              </w:rPr>
              <w:t>82.62</w:t>
            </w:r>
          </w:p>
        </w:tc>
        <w:tc>
          <w:tcPr>
            <w:tcW w:w="106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b/>
                <w:bCs/>
                <w:color w:val="000000"/>
                <w:kern w:val="0"/>
                <w:szCs w:val="21"/>
              </w:rPr>
            </w:pPr>
            <w:r>
              <w:rPr>
                <w:rFonts w:hint="eastAsia" w:ascii="宋体" w:cs="宋体"/>
                <w:b/>
                <w:bCs/>
                <w:color w:val="000000"/>
                <w:kern w:val="0"/>
                <w:szCs w:val="21"/>
              </w:rPr>
              <w:t>82.62</w:t>
            </w:r>
          </w:p>
        </w:tc>
        <w:tc>
          <w:tcPr>
            <w:tcW w:w="119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b/>
                <w:bCs/>
                <w:color w:val="000000"/>
                <w:kern w:val="0"/>
                <w:szCs w:val="21"/>
              </w:rPr>
            </w:pPr>
            <w:r>
              <w:rPr>
                <w:rFonts w:hint="eastAsia" w:ascii="宋体" w:cs="宋体"/>
                <w:b/>
                <w:bCs/>
                <w:color w:val="000000"/>
                <w:kern w:val="0"/>
                <w:szCs w:val="21"/>
              </w:rPr>
              <w:t>0.00</w:t>
            </w:r>
          </w:p>
        </w:tc>
      </w:tr>
    </w:tbl>
    <w:p>
      <w:pPr>
        <w:spacing w:line="560" w:lineRule="exact"/>
        <w:rPr>
          <w:rFonts w:ascii="宋体" w:cs="宋体"/>
          <w:szCs w:val="21"/>
        </w:rPr>
      </w:pPr>
    </w:p>
    <w:p>
      <w:pPr>
        <w:spacing w:line="400" w:lineRule="exact"/>
        <w:jc w:val="left"/>
        <w:rPr>
          <w:rFonts w:ascii="宋体" w:hAnsi="宋体" w:cs="宋体"/>
          <w:color w:val="000000"/>
          <w:kern w:val="0"/>
          <w:szCs w:val="21"/>
        </w:rPr>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color w:val="000000"/>
          <w:kern w:val="0"/>
          <w:szCs w:val="21"/>
        </w:rPr>
        <w:t>本表金额转换为万元时，因四舍五入可能存在尾差。</w:t>
      </w:r>
    </w:p>
    <w:p>
      <w:pPr>
        <w:rPr>
          <w:rFonts w:ascii="宋体" w:hAnsi="宋体" w:cs="宋体"/>
          <w:color w:val="000000"/>
          <w:kern w:val="0"/>
          <w:szCs w:val="21"/>
        </w:rPr>
      </w:pPr>
      <w:r>
        <w:rPr>
          <w:rFonts w:hint="eastAsia" w:ascii="宋体" w:hAnsi="宋体" w:cs="宋体"/>
          <w:color w:val="000000"/>
          <w:kern w:val="0"/>
          <w:szCs w:val="21"/>
        </w:rPr>
        <w:br w:type="page"/>
      </w:r>
    </w:p>
    <w:p>
      <w:pPr>
        <w:spacing w:line="560" w:lineRule="exact"/>
        <w:jc w:val="center"/>
        <w:rPr>
          <w:rFonts w:ascii="宋体" w:cs="宋体"/>
          <w:b/>
          <w:bCs/>
          <w:sz w:val="32"/>
          <w:szCs w:val="32"/>
        </w:rPr>
      </w:pPr>
      <w:r>
        <w:rPr>
          <w:rFonts w:hint="eastAsia" w:ascii="宋体" w:hAnsi="宋体" w:cs="宋体"/>
          <w:b/>
          <w:bCs/>
          <w:sz w:val="32"/>
          <w:szCs w:val="32"/>
        </w:rPr>
        <w:t>一般公共预算财政拨款支出决算表（按功能分类科目）</w:t>
      </w:r>
    </w:p>
    <w:p>
      <w:pPr>
        <w:spacing w:line="340" w:lineRule="exact"/>
        <w:jc w:val="right"/>
        <w:rPr>
          <w:rFonts w:ascii="宋体" w:cs="宋体"/>
          <w:b/>
          <w:bCs/>
          <w:szCs w:val="21"/>
        </w:rPr>
      </w:pPr>
      <w:r>
        <w:rPr>
          <w:rFonts w:hint="eastAsia" w:ascii="宋体" w:hAnsi="宋体" w:cs="宋体"/>
          <w:b/>
          <w:bCs/>
          <w:szCs w:val="21"/>
        </w:rPr>
        <w:t>公开</w:t>
      </w:r>
      <w:r>
        <w:rPr>
          <w:rFonts w:ascii="宋体" w:hAnsi="宋体" w:cs="宋体"/>
          <w:b/>
          <w:bCs/>
          <w:szCs w:val="21"/>
        </w:rPr>
        <w:t>0</w:t>
      </w:r>
      <w:r>
        <w:rPr>
          <w:rFonts w:hint="eastAsia" w:ascii="宋体" w:hAnsi="宋体" w:cs="宋体"/>
          <w:b/>
          <w:bCs/>
          <w:szCs w:val="21"/>
        </w:rPr>
        <w:t>5表</w:t>
      </w:r>
    </w:p>
    <w:p>
      <w:pPr>
        <w:spacing w:line="340" w:lineRule="exact"/>
        <w:rPr>
          <w:rFonts w:ascii="宋体" w:hAnsi="宋体" w:cs="宋体"/>
          <w:b/>
          <w:bCs/>
          <w:szCs w:val="21"/>
        </w:rPr>
      </w:pPr>
      <w:r>
        <w:rPr>
          <w:rFonts w:hint="eastAsia" w:ascii="宋体" w:hAnsi="宋体" w:cs="宋体"/>
          <w:b/>
          <w:bCs/>
          <w:szCs w:val="21"/>
        </w:rPr>
        <w:t>编制部门：杨陵区行政审批服务局                                        金额单位：万元</w:t>
      </w:r>
    </w:p>
    <w:tbl>
      <w:tblPr>
        <w:tblStyle w:val="8"/>
        <w:tblW w:w="8777" w:type="dxa"/>
        <w:tblInd w:w="0" w:type="dxa"/>
        <w:tblLayout w:type="fixed"/>
        <w:tblCellMar>
          <w:top w:w="15" w:type="dxa"/>
          <w:left w:w="15" w:type="dxa"/>
          <w:bottom w:w="15" w:type="dxa"/>
          <w:right w:w="15" w:type="dxa"/>
        </w:tblCellMar>
      </w:tblPr>
      <w:tblGrid>
        <w:gridCol w:w="924"/>
        <w:gridCol w:w="1783"/>
        <w:gridCol w:w="987"/>
        <w:gridCol w:w="870"/>
        <w:gridCol w:w="1030"/>
        <w:gridCol w:w="1050"/>
        <w:gridCol w:w="1083"/>
        <w:gridCol w:w="1050"/>
      </w:tblGrid>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项目</w:t>
            </w:r>
          </w:p>
        </w:tc>
        <w:tc>
          <w:tcPr>
            <w:tcW w:w="987" w:type="dxa"/>
            <w:vMerge w:val="restart"/>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本年支出合计</w:t>
            </w:r>
          </w:p>
        </w:tc>
        <w:tc>
          <w:tcPr>
            <w:tcW w:w="2950" w:type="dxa"/>
            <w:gridSpan w:val="3"/>
            <w:tcBorders>
              <w:top w:val="single" w:color="000000" w:sz="4" w:space="0"/>
              <w:left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基本支出</w:t>
            </w:r>
          </w:p>
        </w:tc>
        <w:tc>
          <w:tcPr>
            <w:tcW w:w="1083" w:type="dxa"/>
            <w:vMerge w:val="restart"/>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92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功能分类科目编码</w:t>
            </w:r>
          </w:p>
        </w:tc>
        <w:tc>
          <w:tcPr>
            <w:tcW w:w="178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科目名称</w:t>
            </w: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小计</w:t>
            </w:r>
          </w:p>
        </w:tc>
        <w:tc>
          <w:tcPr>
            <w:tcW w:w="10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人员经费</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公用经费</w:t>
            </w:r>
          </w:p>
        </w:tc>
        <w:tc>
          <w:tcPr>
            <w:tcW w:w="1083"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r>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color w:val="000000"/>
                <w:szCs w:val="21"/>
              </w:rPr>
            </w:pPr>
            <w:r>
              <w:rPr>
                <w:rFonts w:hint="eastAsia" w:ascii="宋体" w:hAnsi="宋体" w:cs="宋体"/>
                <w:b/>
                <w:bCs/>
                <w:color w:val="000000"/>
                <w:kern w:val="0"/>
                <w:szCs w:val="21"/>
              </w:rPr>
              <w:t>合计</w:t>
            </w: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hAnsi="宋体" w:cs="宋体"/>
                <w:color w:val="000000"/>
                <w:sz w:val="22"/>
                <w:szCs w:val="22"/>
              </w:rPr>
            </w:pPr>
            <w:r>
              <w:rPr>
                <w:rFonts w:hint="eastAsia" w:ascii="宋体" w:hAnsi="宋体" w:cs="宋体"/>
                <w:color w:val="000000"/>
                <w:sz w:val="22"/>
                <w:szCs w:val="22"/>
              </w:rPr>
              <w:t>82.62</w:t>
            </w:r>
          </w:p>
        </w:tc>
        <w:tc>
          <w:tcPr>
            <w:tcW w:w="87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82.62</w:t>
            </w:r>
          </w:p>
        </w:tc>
        <w:tc>
          <w:tcPr>
            <w:tcW w:w="10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79.42</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3.20</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781" w:hRule="atLeast"/>
        </w:trPr>
        <w:tc>
          <w:tcPr>
            <w:tcW w:w="92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rPr>
                <w:rFonts w:ascii="宋体" w:cs="宋体"/>
                <w:color w:val="000000"/>
                <w:szCs w:val="21"/>
              </w:rPr>
            </w:pPr>
            <w:r>
              <w:rPr>
                <w:rFonts w:hint="eastAsia" w:ascii="宋体" w:hAnsi="宋体" w:cs="宋体"/>
                <w:color w:val="000000"/>
                <w:kern w:val="0"/>
                <w:sz w:val="22"/>
                <w:szCs w:val="22"/>
              </w:rPr>
              <w:t>201</w:t>
            </w:r>
          </w:p>
        </w:tc>
        <w:tc>
          <w:tcPr>
            <w:tcW w:w="178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rPr>
                <w:rFonts w:ascii="宋体" w:cs="宋体"/>
                <w:color w:val="000000"/>
                <w:szCs w:val="21"/>
              </w:rPr>
            </w:pPr>
            <w:r>
              <w:rPr>
                <w:rFonts w:hint="eastAsia" w:ascii="宋体" w:hAnsi="宋体" w:cs="宋体"/>
                <w:color w:val="000000"/>
                <w:kern w:val="0"/>
                <w:sz w:val="22"/>
                <w:szCs w:val="22"/>
              </w:rPr>
              <w:t>一般公共服务支出</w:t>
            </w: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hAnsi="宋体" w:cs="宋体"/>
                <w:color w:val="000000"/>
                <w:sz w:val="22"/>
                <w:szCs w:val="22"/>
              </w:rPr>
              <w:t>82.62</w:t>
            </w:r>
          </w:p>
        </w:tc>
        <w:tc>
          <w:tcPr>
            <w:tcW w:w="87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82.62</w:t>
            </w:r>
          </w:p>
        </w:tc>
        <w:tc>
          <w:tcPr>
            <w:tcW w:w="10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79.42</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3.20</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92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rPr>
                <w:rFonts w:ascii="宋体" w:cs="宋体"/>
                <w:color w:val="000000"/>
                <w:szCs w:val="21"/>
              </w:rPr>
            </w:pPr>
            <w:r>
              <w:rPr>
                <w:rFonts w:hint="eastAsia" w:ascii="宋体" w:hAnsi="宋体" w:cs="宋体"/>
                <w:color w:val="000000"/>
                <w:kern w:val="0"/>
                <w:sz w:val="22"/>
                <w:szCs w:val="22"/>
              </w:rPr>
              <w:t>20103</w:t>
            </w:r>
          </w:p>
        </w:tc>
        <w:tc>
          <w:tcPr>
            <w:tcW w:w="178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rPr>
                <w:rFonts w:ascii="宋体" w:cs="宋体"/>
                <w:color w:val="000000"/>
                <w:szCs w:val="21"/>
              </w:rPr>
            </w:pPr>
            <w:r>
              <w:rPr>
                <w:rFonts w:hint="eastAsia" w:ascii="宋体" w:hAnsi="宋体" w:cs="宋体"/>
                <w:color w:val="000000"/>
                <w:kern w:val="0"/>
                <w:sz w:val="22"/>
                <w:szCs w:val="22"/>
              </w:rPr>
              <w:t>政府办公厅（室）及相关机构事务</w:t>
            </w: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hAnsi="宋体" w:cs="宋体"/>
                <w:color w:val="000000"/>
                <w:sz w:val="22"/>
                <w:szCs w:val="22"/>
              </w:rPr>
              <w:t>82.62</w:t>
            </w:r>
          </w:p>
        </w:tc>
        <w:tc>
          <w:tcPr>
            <w:tcW w:w="87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82.62</w:t>
            </w:r>
          </w:p>
        </w:tc>
        <w:tc>
          <w:tcPr>
            <w:tcW w:w="10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79.42</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3.20</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781" w:hRule="atLeast"/>
        </w:trPr>
        <w:tc>
          <w:tcPr>
            <w:tcW w:w="92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rPr>
                <w:rFonts w:ascii="宋体" w:cs="宋体"/>
                <w:color w:val="000000"/>
                <w:szCs w:val="21"/>
              </w:rPr>
            </w:pPr>
            <w:r>
              <w:rPr>
                <w:rFonts w:hint="eastAsia" w:ascii="宋体" w:hAnsi="宋体" w:cs="宋体"/>
                <w:color w:val="000000"/>
                <w:kern w:val="0"/>
                <w:sz w:val="22"/>
                <w:szCs w:val="22"/>
              </w:rPr>
              <w:t>2010301</w:t>
            </w:r>
          </w:p>
        </w:tc>
        <w:tc>
          <w:tcPr>
            <w:tcW w:w="178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rPr>
                <w:rFonts w:ascii="宋体" w:cs="宋体"/>
                <w:color w:val="000000"/>
                <w:szCs w:val="21"/>
              </w:rPr>
            </w:pPr>
            <w:r>
              <w:rPr>
                <w:rFonts w:hint="eastAsia" w:ascii="宋体" w:hAnsi="宋体" w:cs="宋体"/>
                <w:color w:val="000000"/>
                <w:kern w:val="0"/>
                <w:sz w:val="22"/>
                <w:szCs w:val="22"/>
              </w:rPr>
              <w:t xml:space="preserve">  行政运行</w:t>
            </w: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28.15</w:t>
            </w:r>
          </w:p>
        </w:tc>
        <w:tc>
          <w:tcPr>
            <w:tcW w:w="87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28.15</w:t>
            </w:r>
          </w:p>
        </w:tc>
        <w:tc>
          <w:tcPr>
            <w:tcW w:w="10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24.95</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3.20</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92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rPr>
                <w:rFonts w:ascii="宋体" w:cs="宋体"/>
                <w:color w:val="000000"/>
                <w:szCs w:val="21"/>
              </w:rPr>
            </w:pPr>
            <w:r>
              <w:rPr>
                <w:rFonts w:hint="eastAsia" w:ascii="宋体" w:hAnsi="宋体" w:cs="宋体"/>
                <w:color w:val="000000"/>
                <w:kern w:val="0"/>
                <w:sz w:val="22"/>
                <w:szCs w:val="22"/>
              </w:rPr>
              <w:t>2010350</w:t>
            </w:r>
          </w:p>
        </w:tc>
        <w:tc>
          <w:tcPr>
            <w:tcW w:w="178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rPr>
                <w:rFonts w:ascii="宋体" w:cs="宋体"/>
                <w:color w:val="000000"/>
                <w:szCs w:val="21"/>
              </w:rPr>
            </w:pPr>
            <w:r>
              <w:rPr>
                <w:rFonts w:hint="eastAsia" w:ascii="宋体" w:hAnsi="宋体" w:cs="宋体"/>
                <w:color w:val="000000"/>
                <w:kern w:val="0"/>
                <w:sz w:val="22"/>
                <w:szCs w:val="22"/>
              </w:rPr>
              <w:t xml:space="preserve">  事业运行</w:t>
            </w: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54.47</w:t>
            </w:r>
          </w:p>
        </w:tc>
        <w:tc>
          <w:tcPr>
            <w:tcW w:w="87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54.47</w:t>
            </w:r>
          </w:p>
        </w:tc>
        <w:tc>
          <w:tcPr>
            <w:tcW w:w="10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54.47</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0.00</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bl>
    <w:p>
      <w:pPr>
        <w:spacing w:line="400" w:lineRule="exact"/>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p>
    <w:p>
      <w:pPr>
        <w:spacing w:line="560" w:lineRule="exact"/>
        <w:rPr>
          <w:rFonts w:ascii="宋体" w:cs="宋体"/>
          <w:b/>
          <w:bCs/>
          <w:sz w:val="32"/>
          <w:szCs w:val="32"/>
        </w:rPr>
      </w:pPr>
      <w:r>
        <w:rPr>
          <w:rFonts w:ascii="宋体" w:cs="宋体"/>
          <w:b/>
          <w:bCs/>
          <w:sz w:val="32"/>
          <w:szCs w:val="32"/>
        </w:rPr>
        <w:br w:type="page"/>
      </w:r>
    </w:p>
    <w:p>
      <w:pPr>
        <w:spacing w:line="560" w:lineRule="exact"/>
        <w:jc w:val="center"/>
        <w:rPr>
          <w:rFonts w:ascii="宋体" w:cs="宋体"/>
          <w:b/>
          <w:bCs/>
          <w:sz w:val="32"/>
          <w:szCs w:val="32"/>
        </w:rPr>
      </w:pPr>
      <w:r>
        <w:rPr>
          <w:rFonts w:hint="eastAsia" w:ascii="宋体" w:hAnsi="宋体" w:cs="宋体"/>
          <w:b/>
          <w:bCs/>
          <w:sz w:val="32"/>
          <w:szCs w:val="32"/>
        </w:rPr>
        <w:t>一般公共预算财政拨款基本支出决算表（按经济分类科目）</w:t>
      </w:r>
    </w:p>
    <w:p>
      <w:pPr>
        <w:spacing w:line="340" w:lineRule="exact"/>
        <w:jc w:val="right"/>
        <w:rPr>
          <w:rFonts w:ascii="宋体" w:cs="宋体"/>
          <w:b/>
          <w:bCs/>
          <w:szCs w:val="21"/>
        </w:rPr>
      </w:pPr>
      <w:r>
        <w:rPr>
          <w:rFonts w:hint="eastAsia" w:ascii="宋体" w:hAnsi="宋体" w:cs="宋体"/>
          <w:b/>
          <w:bCs/>
          <w:szCs w:val="21"/>
        </w:rPr>
        <w:t>公开</w:t>
      </w:r>
      <w:r>
        <w:rPr>
          <w:rFonts w:ascii="宋体" w:hAnsi="宋体" w:cs="宋体"/>
          <w:b/>
          <w:bCs/>
          <w:szCs w:val="21"/>
        </w:rPr>
        <w:t>0</w:t>
      </w:r>
      <w:r>
        <w:rPr>
          <w:rFonts w:hint="eastAsia" w:ascii="宋体" w:hAnsi="宋体" w:cs="宋体"/>
          <w:b/>
          <w:bCs/>
          <w:szCs w:val="21"/>
        </w:rPr>
        <w:t>6表</w:t>
      </w:r>
    </w:p>
    <w:p>
      <w:pPr>
        <w:spacing w:line="340" w:lineRule="exact"/>
        <w:rPr>
          <w:rFonts w:ascii="宋体" w:cs="宋体"/>
          <w:b/>
          <w:bCs/>
          <w:szCs w:val="21"/>
        </w:rPr>
      </w:pPr>
      <w:r>
        <w:rPr>
          <w:rFonts w:hint="eastAsia" w:ascii="宋体" w:hAnsi="宋体" w:cs="宋体"/>
          <w:b/>
          <w:bCs/>
          <w:szCs w:val="21"/>
        </w:rPr>
        <w:t>编制部门：杨陵区行政审批服务局                                        金额单位：万元</w:t>
      </w:r>
    </w:p>
    <w:tbl>
      <w:tblPr>
        <w:tblStyle w:val="8"/>
        <w:tblW w:w="8817" w:type="dxa"/>
        <w:tblInd w:w="0" w:type="dxa"/>
        <w:tblLayout w:type="fixed"/>
        <w:tblCellMar>
          <w:top w:w="15" w:type="dxa"/>
          <w:left w:w="15" w:type="dxa"/>
          <w:bottom w:w="15" w:type="dxa"/>
          <w:right w:w="15" w:type="dxa"/>
        </w:tblCellMar>
      </w:tblPr>
      <w:tblGrid>
        <w:gridCol w:w="974"/>
        <w:gridCol w:w="2229"/>
        <w:gridCol w:w="1659"/>
        <w:gridCol w:w="1437"/>
        <w:gridCol w:w="1363"/>
        <w:gridCol w:w="1155"/>
      </w:tblGrid>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项目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97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经济分类科目编码</w:t>
            </w:r>
          </w:p>
        </w:tc>
        <w:tc>
          <w:tcPr>
            <w:tcW w:w="222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r>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vAlign w:val="center"/>
          </w:tcPr>
          <w:p>
            <w:pPr>
              <w:spacing w:line="340" w:lineRule="exact"/>
              <w:jc w:val="right"/>
              <w:textAlignment w:val="center"/>
              <w:rPr>
                <w:rFonts w:ascii="宋体" w:hAnsi="宋体" w:cs="宋体"/>
                <w:color w:val="000000"/>
                <w:sz w:val="22"/>
                <w:szCs w:val="22"/>
              </w:rPr>
            </w:pPr>
            <w:r>
              <w:rPr>
                <w:rFonts w:hint="eastAsia" w:ascii="宋体" w:hAnsi="宋体" w:cs="宋体"/>
                <w:color w:val="000000"/>
                <w:sz w:val="22"/>
                <w:szCs w:val="22"/>
              </w:rPr>
              <w:t>82.62</w:t>
            </w:r>
          </w:p>
        </w:tc>
        <w:tc>
          <w:tcPr>
            <w:tcW w:w="1437" w:type="dxa"/>
            <w:tcBorders>
              <w:left w:val="single" w:color="000000" w:sz="4" w:space="0"/>
              <w:bottom w:val="single" w:color="000000" w:sz="4" w:space="0"/>
              <w:right w:val="single" w:color="000000" w:sz="4" w:space="0"/>
            </w:tcBorders>
            <w:vAlign w:val="center"/>
          </w:tcPr>
          <w:p>
            <w:pPr>
              <w:spacing w:line="340" w:lineRule="exact"/>
              <w:jc w:val="right"/>
              <w:textAlignment w:val="center"/>
              <w:rPr>
                <w:rFonts w:ascii="宋体" w:hAnsi="宋体" w:cs="宋体"/>
                <w:color w:val="000000"/>
                <w:sz w:val="22"/>
                <w:szCs w:val="22"/>
              </w:rPr>
            </w:pPr>
            <w:r>
              <w:rPr>
                <w:rFonts w:hint="eastAsia" w:ascii="宋体" w:hAnsi="宋体" w:cs="宋体"/>
                <w:color w:val="000000"/>
                <w:sz w:val="22"/>
                <w:szCs w:val="22"/>
              </w:rPr>
              <w:t>79.42</w:t>
            </w:r>
          </w:p>
        </w:tc>
        <w:tc>
          <w:tcPr>
            <w:tcW w:w="1363" w:type="dxa"/>
            <w:tcBorders>
              <w:left w:val="single" w:color="000000" w:sz="4" w:space="0"/>
              <w:bottom w:val="single" w:color="000000" w:sz="4" w:space="0"/>
              <w:right w:val="single" w:color="000000" w:sz="4" w:space="0"/>
            </w:tcBorders>
            <w:vAlign w:val="center"/>
          </w:tcPr>
          <w:p>
            <w:pPr>
              <w:spacing w:line="340" w:lineRule="exact"/>
              <w:jc w:val="right"/>
              <w:rPr>
                <w:rFonts w:ascii="宋体" w:cs="宋体"/>
                <w:b/>
                <w:color w:val="000000"/>
                <w:szCs w:val="21"/>
              </w:rPr>
            </w:pPr>
            <w:r>
              <w:rPr>
                <w:rFonts w:hint="eastAsia" w:ascii="宋体" w:hAnsi="宋体" w:cs="宋体"/>
                <w:color w:val="000000"/>
                <w:sz w:val="22"/>
                <w:szCs w:val="22"/>
              </w:rPr>
              <w:t>3.20</w:t>
            </w:r>
          </w:p>
        </w:tc>
        <w:tc>
          <w:tcPr>
            <w:tcW w:w="1155" w:type="dxa"/>
            <w:tcBorders>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r>
      <w:tr>
        <w:tblPrEx>
          <w:tblCellMar>
            <w:top w:w="15" w:type="dxa"/>
            <w:left w:w="15" w:type="dxa"/>
            <w:bottom w:w="15" w:type="dxa"/>
            <w:right w:w="15" w:type="dxa"/>
          </w:tblCellMar>
        </w:tblPrEx>
        <w:trPr>
          <w:trHeight w:val="434" w:hRule="atLeast"/>
        </w:trPr>
        <w:tc>
          <w:tcPr>
            <w:tcW w:w="97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rPr>
                <w:rFonts w:ascii="宋体" w:cs="宋体"/>
                <w:color w:val="000000"/>
                <w:szCs w:val="21"/>
              </w:rPr>
            </w:pPr>
            <w:r>
              <w:rPr>
                <w:rFonts w:hint="eastAsia" w:ascii="宋体" w:hAnsi="宋体" w:cs="宋体"/>
                <w:color w:val="000000"/>
                <w:kern w:val="0"/>
                <w:sz w:val="22"/>
                <w:szCs w:val="22"/>
              </w:rPr>
              <w:t>301</w:t>
            </w:r>
          </w:p>
        </w:tc>
        <w:tc>
          <w:tcPr>
            <w:tcW w:w="222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rPr>
                <w:rFonts w:ascii="宋体" w:cs="宋体"/>
                <w:color w:val="000000"/>
                <w:szCs w:val="21"/>
              </w:rPr>
            </w:pPr>
            <w:r>
              <w:rPr>
                <w:rFonts w:hint="eastAsia" w:ascii="宋体" w:hAnsi="宋体" w:cs="宋体"/>
                <w:color w:val="000000"/>
                <w:kern w:val="0"/>
                <w:sz w:val="22"/>
                <w:szCs w:val="22"/>
              </w:rPr>
              <w:t>工资福利支出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hAnsi="宋体" w:cs="宋体"/>
                <w:color w:val="000000"/>
                <w:sz w:val="22"/>
                <w:szCs w:val="22"/>
              </w:rPr>
            </w:pPr>
            <w:r>
              <w:rPr>
                <w:rFonts w:hint="eastAsia" w:ascii="宋体" w:hAnsi="宋体" w:cs="宋体"/>
                <w:color w:val="000000"/>
                <w:sz w:val="22"/>
                <w:szCs w:val="22"/>
              </w:rPr>
              <w:t>79.38</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79.38</w:t>
            </w: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974" w:type="dxa"/>
            <w:tcBorders>
              <w:top w:val="single" w:color="000000" w:sz="4" w:space="0"/>
              <w:left w:val="single" w:color="000000" w:sz="4" w:space="0"/>
              <w:bottom w:val="single" w:color="000000" w:sz="4" w:space="0"/>
              <w:right w:val="single" w:color="000000" w:sz="4" w:space="0"/>
            </w:tcBorders>
            <w:vAlign w:val="center"/>
          </w:tcPr>
          <w:p>
            <w:pPr>
              <w:spacing w:line="340" w:lineRule="exact"/>
              <w:ind w:firstLine="220" w:firstLineChars="100"/>
              <w:jc w:val="left"/>
              <w:textAlignment w:val="center"/>
              <w:rPr>
                <w:rFonts w:ascii="宋体" w:cs="宋体"/>
                <w:color w:val="000000"/>
                <w:szCs w:val="21"/>
              </w:rPr>
            </w:pPr>
            <w:r>
              <w:rPr>
                <w:rFonts w:hint="eastAsia" w:ascii="宋体" w:hAnsi="宋体" w:cs="宋体"/>
                <w:color w:val="000000"/>
                <w:kern w:val="0"/>
                <w:sz w:val="22"/>
                <w:szCs w:val="22"/>
              </w:rPr>
              <w:t>30101</w:t>
            </w:r>
          </w:p>
        </w:tc>
        <w:tc>
          <w:tcPr>
            <w:tcW w:w="222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rPr>
                <w:rFonts w:ascii="宋体" w:cs="宋体"/>
                <w:color w:val="000000"/>
                <w:szCs w:val="21"/>
              </w:rPr>
            </w:pPr>
            <w:r>
              <w:rPr>
                <w:rFonts w:hint="eastAsia" w:ascii="宋体" w:hAnsi="宋体" w:cs="宋体"/>
                <w:color w:val="000000"/>
                <w:kern w:val="0"/>
                <w:sz w:val="22"/>
                <w:szCs w:val="22"/>
              </w:rPr>
              <w:t xml:space="preserve">  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28.17</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28.17</w:t>
            </w: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974" w:type="dxa"/>
            <w:tcBorders>
              <w:top w:val="single" w:color="000000" w:sz="4" w:space="0"/>
              <w:left w:val="single" w:color="000000" w:sz="4" w:space="0"/>
              <w:bottom w:val="single" w:color="000000" w:sz="4" w:space="0"/>
              <w:right w:val="single" w:color="000000" w:sz="4" w:space="0"/>
            </w:tcBorders>
            <w:vAlign w:val="center"/>
          </w:tcPr>
          <w:p>
            <w:pPr>
              <w:spacing w:line="340" w:lineRule="exact"/>
              <w:ind w:firstLine="220" w:firstLineChars="100"/>
              <w:jc w:val="left"/>
              <w:textAlignment w:val="center"/>
              <w:rPr>
                <w:rFonts w:ascii="宋体" w:cs="宋体"/>
                <w:color w:val="000000"/>
                <w:szCs w:val="21"/>
              </w:rPr>
            </w:pPr>
            <w:r>
              <w:rPr>
                <w:rFonts w:hint="eastAsia" w:ascii="宋体" w:hAnsi="宋体" w:cs="宋体"/>
                <w:color w:val="000000"/>
                <w:kern w:val="0"/>
                <w:sz w:val="22"/>
                <w:szCs w:val="22"/>
              </w:rPr>
              <w:t>30102</w:t>
            </w:r>
          </w:p>
        </w:tc>
        <w:tc>
          <w:tcPr>
            <w:tcW w:w="222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rPr>
                <w:rFonts w:ascii="宋体" w:cs="宋体"/>
                <w:color w:val="000000"/>
                <w:szCs w:val="21"/>
              </w:rPr>
            </w:pPr>
            <w:r>
              <w:rPr>
                <w:rFonts w:hint="eastAsia" w:ascii="宋体" w:hAnsi="宋体" w:cs="宋体"/>
                <w:color w:val="000000"/>
                <w:kern w:val="0"/>
                <w:sz w:val="22"/>
                <w:szCs w:val="22"/>
              </w:rPr>
              <w:t xml:space="preserve">  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12.98</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12.98</w:t>
            </w: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974" w:type="dxa"/>
            <w:tcBorders>
              <w:top w:val="single" w:color="000000" w:sz="4" w:space="0"/>
              <w:left w:val="single" w:color="000000" w:sz="4" w:space="0"/>
              <w:bottom w:val="single" w:color="000000" w:sz="4" w:space="0"/>
              <w:right w:val="single" w:color="000000" w:sz="4" w:space="0"/>
            </w:tcBorders>
            <w:vAlign w:val="center"/>
          </w:tcPr>
          <w:p>
            <w:pPr>
              <w:spacing w:line="340" w:lineRule="exact"/>
              <w:ind w:firstLine="220" w:firstLineChars="100"/>
              <w:jc w:val="left"/>
              <w:textAlignment w:val="center"/>
              <w:rPr>
                <w:rFonts w:ascii="宋体" w:cs="宋体"/>
                <w:color w:val="000000"/>
                <w:szCs w:val="21"/>
              </w:rPr>
            </w:pPr>
            <w:r>
              <w:rPr>
                <w:rFonts w:hint="eastAsia" w:ascii="宋体" w:hAnsi="宋体" w:cs="宋体"/>
                <w:color w:val="000000"/>
                <w:kern w:val="0"/>
                <w:sz w:val="22"/>
                <w:szCs w:val="22"/>
              </w:rPr>
              <w:t>30107</w:t>
            </w:r>
          </w:p>
        </w:tc>
        <w:tc>
          <w:tcPr>
            <w:tcW w:w="222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rPr>
                <w:rFonts w:ascii="宋体" w:cs="宋体"/>
                <w:color w:val="000000"/>
                <w:szCs w:val="21"/>
              </w:rPr>
            </w:pPr>
            <w:r>
              <w:rPr>
                <w:rFonts w:hint="eastAsia" w:ascii="宋体" w:hAnsi="宋体" w:cs="宋体"/>
                <w:color w:val="000000"/>
                <w:kern w:val="0"/>
                <w:sz w:val="22"/>
                <w:szCs w:val="22"/>
              </w:rPr>
              <w:t xml:space="preserve">  绩效工资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16.84</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16.84</w:t>
            </w: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974"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30108</w:t>
            </w:r>
          </w:p>
        </w:tc>
        <w:tc>
          <w:tcPr>
            <w:tcW w:w="2229"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hAnsi="宋体" w:cs="宋体"/>
                <w:color w:val="000000"/>
                <w:szCs w:val="21"/>
              </w:rPr>
            </w:pPr>
            <w:r>
              <w:rPr>
                <w:rFonts w:hint="eastAsia" w:ascii="宋体" w:hAnsi="宋体" w:cs="宋体"/>
                <w:color w:val="000000"/>
                <w:szCs w:val="21"/>
              </w:rPr>
              <w:t>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11.57</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11.57</w:t>
            </w: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974" w:type="dxa"/>
            <w:tcBorders>
              <w:top w:val="single" w:color="000000" w:sz="4" w:space="0"/>
              <w:left w:val="single" w:color="000000" w:sz="4" w:space="0"/>
              <w:bottom w:val="single" w:color="000000" w:sz="4" w:space="0"/>
              <w:right w:val="single" w:color="000000" w:sz="4" w:space="0"/>
            </w:tcBorders>
            <w:vAlign w:val="center"/>
          </w:tcPr>
          <w:p>
            <w:pPr>
              <w:spacing w:line="340" w:lineRule="exact"/>
              <w:ind w:firstLine="220" w:firstLineChars="100"/>
              <w:jc w:val="left"/>
              <w:textAlignment w:val="center"/>
              <w:rPr>
                <w:rFonts w:ascii="宋体" w:cs="宋体"/>
                <w:color w:val="000000"/>
                <w:szCs w:val="21"/>
              </w:rPr>
            </w:pPr>
            <w:r>
              <w:rPr>
                <w:rFonts w:hint="eastAsia" w:ascii="宋体" w:hAnsi="宋体" w:cs="宋体"/>
                <w:color w:val="000000"/>
                <w:kern w:val="0"/>
                <w:sz w:val="22"/>
                <w:szCs w:val="22"/>
              </w:rPr>
              <w:t>30113</w:t>
            </w:r>
          </w:p>
        </w:tc>
        <w:tc>
          <w:tcPr>
            <w:tcW w:w="222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rPr>
                <w:rFonts w:ascii="宋体" w:cs="宋体"/>
                <w:color w:val="000000"/>
                <w:szCs w:val="21"/>
              </w:rPr>
            </w:pPr>
            <w:r>
              <w:rPr>
                <w:rFonts w:hint="eastAsia" w:ascii="宋体" w:hAnsi="宋体" w:cs="宋体"/>
                <w:color w:val="000000"/>
                <w:kern w:val="0"/>
                <w:sz w:val="22"/>
                <w:szCs w:val="22"/>
              </w:rPr>
              <w:t xml:space="preserve">  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9.82</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9.82</w:t>
            </w: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97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rPr>
                <w:rFonts w:ascii="宋体" w:cs="宋体"/>
                <w:color w:val="000000"/>
                <w:szCs w:val="21"/>
              </w:rPr>
            </w:pPr>
            <w:r>
              <w:rPr>
                <w:rFonts w:hint="eastAsia" w:ascii="宋体" w:hAnsi="宋体" w:cs="宋体"/>
                <w:color w:val="000000"/>
                <w:kern w:val="0"/>
                <w:sz w:val="22"/>
                <w:szCs w:val="22"/>
              </w:rPr>
              <w:t>302</w:t>
            </w:r>
          </w:p>
        </w:tc>
        <w:tc>
          <w:tcPr>
            <w:tcW w:w="222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rPr>
                <w:rFonts w:ascii="宋体" w:cs="宋体"/>
                <w:color w:val="000000"/>
                <w:szCs w:val="21"/>
              </w:rPr>
            </w:pPr>
            <w:r>
              <w:rPr>
                <w:rFonts w:hint="eastAsia" w:ascii="宋体" w:hAnsi="宋体" w:cs="宋体"/>
                <w:color w:val="000000"/>
                <w:kern w:val="0"/>
                <w:sz w:val="22"/>
                <w:szCs w:val="22"/>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hAnsi="宋体" w:cs="宋体"/>
                <w:color w:val="000000"/>
                <w:sz w:val="22"/>
                <w:szCs w:val="22"/>
              </w:rPr>
            </w:pPr>
            <w:r>
              <w:rPr>
                <w:rFonts w:hint="eastAsia" w:ascii="宋体" w:hAnsi="宋体" w:cs="宋体"/>
                <w:color w:val="000000"/>
                <w:sz w:val="22"/>
                <w:szCs w:val="22"/>
              </w:rPr>
              <w:t>3.20</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hAnsi="宋体" w:cs="宋体"/>
                <w:color w:val="000000"/>
                <w:sz w:val="22"/>
                <w:szCs w:val="22"/>
              </w:rPr>
            </w:pPr>
            <w:r>
              <w:rPr>
                <w:rFonts w:hint="eastAsia" w:ascii="宋体" w:hAnsi="宋体" w:cs="宋体"/>
                <w:color w:val="000000"/>
                <w:sz w:val="22"/>
                <w:szCs w:val="22"/>
              </w:rPr>
              <w:t>3.20</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974" w:type="dxa"/>
            <w:tcBorders>
              <w:top w:val="single" w:color="000000" w:sz="4" w:space="0"/>
              <w:left w:val="single" w:color="000000" w:sz="4" w:space="0"/>
              <w:bottom w:val="single" w:color="000000" w:sz="4" w:space="0"/>
              <w:right w:val="single" w:color="000000" w:sz="4" w:space="0"/>
            </w:tcBorders>
            <w:vAlign w:val="center"/>
          </w:tcPr>
          <w:p>
            <w:pPr>
              <w:spacing w:line="340" w:lineRule="exact"/>
              <w:ind w:firstLine="220" w:firstLineChars="100"/>
              <w:jc w:val="left"/>
              <w:textAlignment w:val="center"/>
              <w:rPr>
                <w:rFonts w:ascii="宋体" w:cs="宋体"/>
                <w:color w:val="000000"/>
                <w:szCs w:val="21"/>
              </w:rPr>
            </w:pPr>
            <w:r>
              <w:rPr>
                <w:rFonts w:hint="eastAsia" w:ascii="宋体" w:hAnsi="宋体" w:cs="宋体"/>
                <w:color w:val="000000"/>
                <w:kern w:val="0"/>
                <w:sz w:val="22"/>
                <w:szCs w:val="22"/>
              </w:rPr>
              <w:t>30201</w:t>
            </w:r>
          </w:p>
        </w:tc>
        <w:tc>
          <w:tcPr>
            <w:tcW w:w="222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rPr>
                <w:rFonts w:ascii="宋体" w:cs="宋体"/>
                <w:color w:val="000000"/>
                <w:szCs w:val="21"/>
              </w:rPr>
            </w:pPr>
            <w:r>
              <w:rPr>
                <w:rFonts w:hint="eastAsia" w:ascii="宋体" w:hAnsi="宋体" w:cs="宋体"/>
                <w:color w:val="000000"/>
                <w:kern w:val="0"/>
                <w:sz w:val="22"/>
                <w:szCs w:val="22"/>
              </w:rPr>
              <w:t xml:space="preserve">  办公费</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0.17</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0.17</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974" w:type="dxa"/>
            <w:tcBorders>
              <w:top w:val="single" w:color="000000" w:sz="4" w:space="0"/>
              <w:left w:val="single" w:color="000000" w:sz="4" w:space="0"/>
              <w:bottom w:val="single" w:color="000000" w:sz="4" w:space="0"/>
              <w:right w:val="single" w:color="000000" w:sz="4" w:space="0"/>
            </w:tcBorders>
            <w:vAlign w:val="center"/>
          </w:tcPr>
          <w:p>
            <w:pPr>
              <w:spacing w:line="340" w:lineRule="exact"/>
              <w:ind w:firstLine="220" w:firstLineChars="100"/>
              <w:jc w:val="left"/>
              <w:textAlignment w:val="center"/>
              <w:rPr>
                <w:rFonts w:ascii="宋体" w:cs="宋体"/>
                <w:color w:val="000000"/>
                <w:szCs w:val="21"/>
              </w:rPr>
            </w:pPr>
            <w:r>
              <w:rPr>
                <w:rFonts w:hint="eastAsia" w:ascii="宋体" w:hAnsi="宋体" w:cs="宋体"/>
                <w:color w:val="000000"/>
                <w:kern w:val="0"/>
                <w:sz w:val="22"/>
                <w:szCs w:val="22"/>
              </w:rPr>
              <w:t>30204</w:t>
            </w:r>
          </w:p>
        </w:tc>
        <w:tc>
          <w:tcPr>
            <w:tcW w:w="222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rPr>
                <w:rFonts w:ascii="宋体" w:cs="宋体"/>
                <w:color w:val="000000"/>
                <w:szCs w:val="21"/>
              </w:rPr>
            </w:pPr>
            <w:r>
              <w:rPr>
                <w:rFonts w:hint="eastAsia" w:ascii="宋体" w:hAnsi="宋体" w:cs="宋体"/>
                <w:color w:val="000000"/>
                <w:kern w:val="0"/>
                <w:sz w:val="22"/>
                <w:szCs w:val="22"/>
              </w:rPr>
              <w:t xml:space="preserve">  手续费</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0.01</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0.01</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974" w:type="dxa"/>
            <w:tcBorders>
              <w:top w:val="single" w:color="000000" w:sz="4" w:space="0"/>
              <w:left w:val="single" w:color="000000" w:sz="4" w:space="0"/>
              <w:bottom w:val="single" w:color="000000" w:sz="4" w:space="0"/>
              <w:right w:val="single" w:color="000000" w:sz="4" w:space="0"/>
            </w:tcBorders>
            <w:vAlign w:val="center"/>
          </w:tcPr>
          <w:p>
            <w:pPr>
              <w:spacing w:line="340" w:lineRule="exact"/>
              <w:ind w:firstLine="220" w:firstLineChars="100"/>
              <w:jc w:val="left"/>
              <w:textAlignment w:val="center"/>
              <w:rPr>
                <w:rFonts w:ascii="宋体" w:cs="宋体"/>
                <w:color w:val="000000"/>
                <w:szCs w:val="21"/>
              </w:rPr>
            </w:pPr>
            <w:r>
              <w:rPr>
                <w:rFonts w:hint="eastAsia" w:ascii="宋体" w:hAnsi="宋体" w:cs="宋体"/>
                <w:color w:val="000000"/>
                <w:kern w:val="0"/>
                <w:sz w:val="22"/>
                <w:szCs w:val="22"/>
              </w:rPr>
              <w:t>30207</w:t>
            </w:r>
          </w:p>
        </w:tc>
        <w:tc>
          <w:tcPr>
            <w:tcW w:w="222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rPr>
                <w:rFonts w:ascii="宋体" w:cs="宋体"/>
                <w:color w:val="000000"/>
                <w:szCs w:val="21"/>
              </w:rPr>
            </w:pPr>
            <w:r>
              <w:rPr>
                <w:rFonts w:hint="eastAsia" w:ascii="宋体" w:hAnsi="宋体" w:cs="宋体"/>
                <w:color w:val="000000"/>
                <w:kern w:val="0"/>
                <w:sz w:val="22"/>
                <w:szCs w:val="22"/>
              </w:rPr>
              <w:t xml:space="preserve">  邮电费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0.32</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0.32</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974" w:type="dxa"/>
            <w:tcBorders>
              <w:top w:val="single" w:color="000000" w:sz="4" w:space="0"/>
              <w:left w:val="single" w:color="000000" w:sz="4" w:space="0"/>
              <w:bottom w:val="single" w:color="000000" w:sz="4" w:space="0"/>
              <w:right w:val="single" w:color="000000" w:sz="4" w:space="0"/>
            </w:tcBorders>
            <w:vAlign w:val="center"/>
          </w:tcPr>
          <w:p>
            <w:pPr>
              <w:spacing w:line="340" w:lineRule="exact"/>
              <w:ind w:firstLine="220" w:firstLineChars="100"/>
              <w:jc w:val="left"/>
              <w:textAlignment w:val="center"/>
              <w:rPr>
                <w:rFonts w:ascii="宋体" w:cs="宋体"/>
                <w:color w:val="000000"/>
                <w:sz w:val="22"/>
                <w:szCs w:val="22"/>
              </w:rPr>
            </w:pPr>
            <w:r>
              <w:rPr>
                <w:rFonts w:hint="eastAsia" w:ascii="宋体" w:cs="宋体"/>
                <w:color w:val="000000"/>
                <w:sz w:val="22"/>
                <w:szCs w:val="22"/>
              </w:rPr>
              <w:t>30211</w:t>
            </w:r>
          </w:p>
        </w:tc>
        <w:tc>
          <w:tcPr>
            <w:tcW w:w="222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rPr>
                <w:rFonts w:ascii="宋体" w:cs="宋体"/>
                <w:color w:val="000000"/>
                <w:sz w:val="22"/>
                <w:szCs w:val="22"/>
              </w:rPr>
            </w:pPr>
            <w:r>
              <w:rPr>
                <w:rFonts w:hint="eastAsia" w:ascii="宋体" w:cs="宋体"/>
                <w:color w:val="000000"/>
                <w:sz w:val="22"/>
                <w:szCs w:val="22"/>
              </w:rPr>
              <w:t xml:space="preserve">  差旅费</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0.06</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0.06</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974" w:type="dxa"/>
            <w:tcBorders>
              <w:top w:val="single" w:color="000000" w:sz="4" w:space="0"/>
              <w:left w:val="single" w:color="000000" w:sz="4" w:space="0"/>
              <w:bottom w:val="single" w:color="000000" w:sz="4" w:space="0"/>
              <w:right w:val="single" w:color="000000" w:sz="4" w:space="0"/>
            </w:tcBorders>
            <w:vAlign w:val="center"/>
          </w:tcPr>
          <w:p>
            <w:pPr>
              <w:spacing w:line="340" w:lineRule="exact"/>
              <w:ind w:firstLine="220" w:firstLineChars="100"/>
              <w:jc w:val="left"/>
              <w:textAlignment w:val="center"/>
              <w:rPr>
                <w:rFonts w:ascii="宋体" w:cs="宋体"/>
                <w:color w:val="000000"/>
                <w:sz w:val="22"/>
                <w:szCs w:val="22"/>
              </w:rPr>
            </w:pPr>
            <w:r>
              <w:rPr>
                <w:rFonts w:hint="eastAsia" w:ascii="宋体" w:cs="宋体"/>
                <w:color w:val="000000"/>
                <w:sz w:val="22"/>
                <w:szCs w:val="22"/>
              </w:rPr>
              <w:t>30228</w:t>
            </w:r>
          </w:p>
        </w:tc>
        <w:tc>
          <w:tcPr>
            <w:tcW w:w="222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rPr>
                <w:rFonts w:ascii="宋体" w:cs="宋体"/>
                <w:color w:val="000000"/>
                <w:sz w:val="22"/>
                <w:szCs w:val="22"/>
              </w:rPr>
            </w:pPr>
            <w:r>
              <w:rPr>
                <w:rFonts w:hint="eastAsia" w:ascii="宋体" w:cs="宋体"/>
                <w:color w:val="000000"/>
                <w:sz w:val="22"/>
                <w:szCs w:val="22"/>
              </w:rPr>
              <w:t xml:space="preserve">  工会经费</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1.97</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1.97</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974" w:type="dxa"/>
            <w:tcBorders>
              <w:top w:val="single" w:color="000000" w:sz="4" w:space="0"/>
              <w:left w:val="single" w:color="000000" w:sz="4" w:space="0"/>
              <w:bottom w:val="single" w:color="000000" w:sz="4" w:space="0"/>
              <w:right w:val="single" w:color="000000" w:sz="4" w:space="0"/>
            </w:tcBorders>
            <w:vAlign w:val="center"/>
          </w:tcPr>
          <w:p>
            <w:pPr>
              <w:spacing w:line="340" w:lineRule="exact"/>
              <w:ind w:firstLine="220" w:firstLineChars="100"/>
              <w:jc w:val="left"/>
              <w:textAlignment w:val="center"/>
              <w:rPr>
                <w:rFonts w:ascii="宋体" w:cs="宋体"/>
                <w:color w:val="000000"/>
                <w:kern w:val="0"/>
                <w:szCs w:val="21"/>
              </w:rPr>
            </w:pPr>
            <w:r>
              <w:rPr>
                <w:rFonts w:hint="eastAsia" w:ascii="宋体" w:hAnsi="宋体" w:cs="宋体"/>
                <w:color w:val="000000"/>
                <w:kern w:val="0"/>
                <w:sz w:val="22"/>
                <w:szCs w:val="22"/>
              </w:rPr>
              <w:t>30239</w:t>
            </w:r>
          </w:p>
        </w:tc>
        <w:tc>
          <w:tcPr>
            <w:tcW w:w="222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rPr>
                <w:rFonts w:ascii="宋体" w:cs="宋体"/>
                <w:color w:val="000000"/>
                <w:szCs w:val="21"/>
              </w:rPr>
            </w:pPr>
            <w:r>
              <w:rPr>
                <w:rFonts w:hint="eastAsia" w:ascii="宋体" w:hAnsi="宋体" w:cs="宋体"/>
                <w:color w:val="000000"/>
                <w:kern w:val="0"/>
                <w:sz w:val="22"/>
                <w:szCs w:val="22"/>
              </w:rPr>
              <w:t xml:space="preserve">  其他交通费用</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0.60</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cs="宋体"/>
                <w:color w:val="000000"/>
                <w:szCs w:val="21"/>
              </w:rPr>
            </w:pPr>
            <w:r>
              <w:rPr>
                <w:rFonts w:hint="eastAsia" w:ascii="宋体" w:cs="宋体"/>
                <w:color w:val="000000"/>
                <w:szCs w:val="21"/>
              </w:rPr>
              <w:t>0.60</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444" w:hRule="atLeast"/>
        </w:trPr>
        <w:tc>
          <w:tcPr>
            <w:tcW w:w="974" w:type="dxa"/>
            <w:tcBorders>
              <w:top w:val="single" w:color="000000" w:sz="4" w:space="0"/>
              <w:left w:val="single" w:color="000000" w:sz="4" w:space="0"/>
              <w:bottom w:val="single" w:color="000000" w:sz="4" w:space="0"/>
              <w:right w:val="single" w:color="000000" w:sz="4" w:space="0"/>
            </w:tcBorders>
            <w:vAlign w:val="center"/>
          </w:tcPr>
          <w:p>
            <w:pPr>
              <w:spacing w:line="340" w:lineRule="exact"/>
              <w:ind w:firstLine="220" w:firstLineChars="100"/>
              <w:jc w:val="left"/>
              <w:textAlignment w:val="center"/>
              <w:rPr>
                <w:rFonts w:ascii="宋体" w:cs="宋体"/>
                <w:color w:val="000000"/>
                <w:kern w:val="0"/>
                <w:szCs w:val="21"/>
              </w:rPr>
            </w:pPr>
            <w:r>
              <w:rPr>
                <w:rFonts w:hint="eastAsia" w:ascii="宋体" w:hAnsi="宋体" w:cs="宋体"/>
                <w:color w:val="000000"/>
                <w:kern w:val="0"/>
                <w:sz w:val="22"/>
                <w:szCs w:val="22"/>
              </w:rPr>
              <w:t>30299</w:t>
            </w:r>
          </w:p>
        </w:tc>
        <w:tc>
          <w:tcPr>
            <w:tcW w:w="222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center"/>
              <w:rPr>
                <w:rFonts w:ascii="宋体" w:cs="宋体"/>
                <w:color w:val="000000"/>
                <w:szCs w:val="21"/>
              </w:rPr>
            </w:pPr>
            <w:r>
              <w:rPr>
                <w:rFonts w:hint="eastAsia" w:ascii="宋体" w:hAnsi="宋体" w:cs="宋体"/>
                <w:color w:val="000000"/>
                <w:kern w:val="0"/>
                <w:sz w:val="22"/>
                <w:szCs w:val="22"/>
              </w:rPr>
              <w:t xml:space="preserve">  其他商品和服务支出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hAnsi="宋体" w:cs="宋体"/>
                <w:color w:val="000000"/>
                <w:sz w:val="22"/>
                <w:szCs w:val="22"/>
              </w:rPr>
            </w:pPr>
            <w:r>
              <w:rPr>
                <w:rFonts w:hint="eastAsia" w:ascii="宋体" w:hAnsi="宋体" w:cs="宋体"/>
                <w:color w:val="000000"/>
                <w:sz w:val="22"/>
                <w:szCs w:val="22"/>
              </w:rPr>
              <w:t>0.07</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hAnsi="宋体" w:cs="宋体"/>
                <w:color w:val="000000"/>
                <w:sz w:val="22"/>
                <w:szCs w:val="22"/>
              </w:rPr>
            </w:pPr>
            <w:r>
              <w:rPr>
                <w:rFonts w:hint="eastAsia" w:ascii="宋体" w:hAnsi="宋体" w:cs="宋体"/>
                <w:color w:val="000000"/>
                <w:sz w:val="22"/>
                <w:szCs w:val="22"/>
              </w:rPr>
              <w:t>0.07</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444" w:hRule="atLeast"/>
        </w:trPr>
        <w:tc>
          <w:tcPr>
            <w:tcW w:w="97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303</w:t>
            </w:r>
          </w:p>
        </w:tc>
        <w:tc>
          <w:tcPr>
            <w:tcW w:w="222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对个人和家庭的补助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hAnsi="宋体" w:cs="宋体"/>
                <w:color w:val="000000"/>
                <w:sz w:val="22"/>
                <w:szCs w:val="22"/>
              </w:rPr>
            </w:pPr>
            <w:r>
              <w:rPr>
                <w:rFonts w:hint="eastAsia" w:ascii="宋体" w:hAnsi="宋体" w:cs="宋体"/>
                <w:color w:val="000000"/>
                <w:sz w:val="22"/>
                <w:szCs w:val="22"/>
              </w:rPr>
              <w:t>0.04</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r>
              <w:rPr>
                <w:rFonts w:hint="eastAsia" w:ascii="宋体" w:cs="宋体"/>
                <w:color w:val="000000"/>
                <w:szCs w:val="21"/>
              </w:rPr>
              <w:t>0.04</w:t>
            </w: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hAnsi="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444" w:hRule="atLeast"/>
        </w:trPr>
        <w:tc>
          <w:tcPr>
            <w:tcW w:w="974"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hAnsi="宋体" w:cs="宋体"/>
                <w:color w:val="000000"/>
                <w:szCs w:val="21"/>
              </w:rPr>
            </w:pPr>
            <w:r>
              <w:rPr>
                <w:rFonts w:hint="eastAsia" w:ascii="宋体" w:hAnsi="宋体" w:cs="宋体"/>
                <w:color w:val="000000"/>
                <w:szCs w:val="21"/>
              </w:rPr>
              <w:t>30309</w:t>
            </w:r>
          </w:p>
        </w:tc>
        <w:tc>
          <w:tcPr>
            <w:tcW w:w="2229"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hAnsi="宋体" w:cs="宋体"/>
                <w:color w:val="000000"/>
                <w:szCs w:val="21"/>
              </w:rPr>
            </w:pPr>
            <w:r>
              <w:rPr>
                <w:rFonts w:hint="eastAsia" w:ascii="宋体" w:hAnsi="宋体" w:cs="宋体"/>
                <w:color w:val="000000"/>
                <w:szCs w:val="21"/>
              </w:rPr>
              <w:t>奖励金</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hAnsi="宋体" w:cs="宋体"/>
                <w:color w:val="000000"/>
                <w:sz w:val="22"/>
                <w:szCs w:val="22"/>
              </w:rPr>
            </w:pPr>
            <w:r>
              <w:rPr>
                <w:rFonts w:hint="eastAsia" w:ascii="宋体" w:hAnsi="宋体" w:cs="宋体"/>
                <w:color w:val="000000"/>
                <w:sz w:val="22"/>
                <w:szCs w:val="22"/>
              </w:rPr>
              <w:t>0.04</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r>
              <w:rPr>
                <w:rFonts w:hint="eastAsia" w:ascii="宋体" w:cs="宋体"/>
                <w:color w:val="000000"/>
                <w:szCs w:val="21"/>
              </w:rPr>
              <w:t>0.04</w:t>
            </w: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textAlignment w:val="center"/>
              <w:rPr>
                <w:rFonts w:ascii="宋体" w:hAnsi="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bl>
    <w:p>
      <w:pPr>
        <w:spacing w:line="400" w:lineRule="exact"/>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pPr>
        <w:spacing w:line="560" w:lineRule="exact"/>
        <w:jc w:val="center"/>
        <w:rPr>
          <w:rFonts w:ascii="宋体" w:cs="宋体"/>
          <w:b/>
          <w:bCs/>
          <w:sz w:val="32"/>
          <w:szCs w:val="32"/>
        </w:rPr>
      </w:pPr>
      <w:r>
        <w:rPr>
          <w:rFonts w:ascii="宋体" w:cs="宋体"/>
          <w:b/>
          <w:bCs/>
          <w:sz w:val="32"/>
          <w:szCs w:val="32"/>
        </w:rPr>
        <w:br w:type="page"/>
      </w:r>
      <w:r>
        <w:rPr>
          <w:rFonts w:hint="eastAsia" w:ascii="宋体" w:hAnsi="宋体" w:cs="宋体"/>
          <w:b/>
          <w:bCs/>
          <w:sz w:val="32"/>
          <w:szCs w:val="32"/>
        </w:rPr>
        <w:t>一般公共预算财政拨款“三公”经费</w:t>
      </w:r>
    </w:p>
    <w:p>
      <w:pPr>
        <w:spacing w:line="560" w:lineRule="exact"/>
        <w:jc w:val="center"/>
        <w:rPr>
          <w:rFonts w:ascii="宋体" w:cs="宋体"/>
          <w:b/>
          <w:bCs/>
          <w:sz w:val="32"/>
          <w:szCs w:val="32"/>
        </w:rPr>
      </w:pPr>
      <w:r>
        <w:rPr>
          <w:rFonts w:hint="eastAsia" w:ascii="宋体" w:hAnsi="宋体" w:cs="宋体"/>
          <w:b/>
          <w:bCs/>
          <w:sz w:val="32"/>
          <w:szCs w:val="32"/>
        </w:rPr>
        <w:t>及会议费、培训费支出决算表</w:t>
      </w:r>
    </w:p>
    <w:p>
      <w:pPr>
        <w:spacing w:line="340" w:lineRule="exact"/>
        <w:jc w:val="right"/>
        <w:rPr>
          <w:rFonts w:ascii="宋体" w:cs="宋体"/>
          <w:b/>
          <w:bCs/>
          <w:szCs w:val="21"/>
        </w:rPr>
      </w:pPr>
      <w:r>
        <w:rPr>
          <w:rFonts w:hint="eastAsia" w:ascii="宋体" w:hAnsi="宋体" w:cs="宋体"/>
          <w:b/>
          <w:bCs/>
          <w:szCs w:val="21"/>
        </w:rPr>
        <w:t>公开</w:t>
      </w:r>
      <w:r>
        <w:rPr>
          <w:rFonts w:ascii="宋体" w:hAnsi="宋体" w:cs="宋体"/>
          <w:b/>
          <w:bCs/>
          <w:szCs w:val="21"/>
        </w:rPr>
        <w:t>0</w:t>
      </w:r>
      <w:r>
        <w:rPr>
          <w:rFonts w:hint="eastAsia" w:ascii="宋体" w:hAnsi="宋体" w:cs="宋体"/>
          <w:b/>
          <w:bCs/>
          <w:szCs w:val="21"/>
        </w:rPr>
        <w:t>7表</w:t>
      </w:r>
    </w:p>
    <w:p>
      <w:pPr>
        <w:spacing w:line="340" w:lineRule="exact"/>
        <w:rPr>
          <w:rFonts w:ascii="宋体" w:cs="宋体"/>
          <w:b/>
          <w:bCs/>
          <w:szCs w:val="21"/>
        </w:rPr>
      </w:pPr>
      <w:r>
        <w:rPr>
          <w:rFonts w:hint="eastAsia" w:ascii="宋体" w:hAnsi="宋体" w:cs="宋体"/>
          <w:b/>
          <w:bCs/>
          <w:szCs w:val="21"/>
        </w:rPr>
        <w:t>编制部门：杨陵区行政审批服务局                                        金额单位：万元</w:t>
      </w:r>
    </w:p>
    <w:tbl>
      <w:tblPr>
        <w:tblStyle w:val="8"/>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Cs/>
                <w:color w:val="000000"/>
                <w:szCs w:val="21"/>
              </w:rPr>
            </w:pPr>
            <w:r>
              <w:rPr>
                <w:rFonts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Cs/>
                <w:color w:val="000000"/>
                <w:szCs w:val="21"/>
              </w:rPr>
            </w:pPr>
            <w:r>
              <w:rPr>
                <w:rFonts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Cs/>
                <w:color w:val="000000"/>
                <w:szCs w:val="21"/>
              </w:rPr>
            </w:pPr>
            <w:r>
              <w:rPr>
                <w:rFonts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Cs/>
                <w:color w:val="000000"/>
                <w:szCs w:val="21"/>
              </w:rPr>
            </w:pPr>
            <w:r>
              <w:rPr>
                <w:rFonts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Cs/>
                <w:color w:val="000000"/>
                <w:szCs w:val="21"/>
              </w:rPr>
            </w:pPr>
            <w:r>
              <w:rPr>
                <w:rFonts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Cs/>
                <w:color w:val="000000"/>
                <w:szCs w:val="21"/>
              </w:rPr>
            </w:pPr>
            <w:r>
              <w:rPr>
                <w:rFonts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Cs/>
                <w:color w:val="000000"/>
                <w:szCs w:val="21"/>
              </w:rPr>
            </w:pPr>
            <w:r>
              <w:rPr>
                <w:rFonts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Cs/>
                <w:color w:val="000000"/>
                <w:szCs w:val="21"/>
              </w:rPr>
            </w:pPr>
            <w:r>
              <w:rPr>
                <w:rFonts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111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99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77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111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99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77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r>
    </w:tbl>
    <w:p>
      <w:pPr>
        <w:spacing w:line="400" w:lineRule="exact"/>
        <w:jc w:val="left"/>
      </w:pPr>
      <w:r>
        <w:rPr>
          <w:rFonts w:hint="eastAsia" w:ascii="宋体" w:hAnsi="宋体" w:cs="宋体"/>
          <w:szCs w:val="21"/>
        </w:rPr>
        <w:t>注：本表反映部门本年度一般公共预算财政拨款“三公”经费、会议费、培训费的预算数和实际支出。预算数为调整预算数。</w:t>
      </w:r>
      <w:r>
        <w:rPr>
          <w:rFonts w:hint="eastAsia" w:ascii="宋体" w:hAnsi="宋体" w:cs="宋体"/>
          <w:color w:val="000000"/>
          <w:kern w:val="0"/>
          <w:szCs w:val="21"/>
        </w:rPr>
        <w:t>本表金额转换为万元时，因四舍五入可能存在尾差。</w:t>
      </w:r>
    </w:p>
    <w:p>
      <w:pPr>
        <w:spacing w:line="560" w:lineRule="exact"/>
        <w:rPr>
          <w:rFonts w:ascii="宋体" w:cs="宋体"/>
          <w:szCs w:val="21"/>
        </w:rPr>
      </w:pPr>
    </w:p>
    <w:p>
      <w:pPr>
        <w:spacing w:line="560" w:lineRule="exact"/>
        <w:jc w:val="center"/>
        <w:rPr>
          <w:rFonts w:ascii="宋体" w:cs="宋体"/>
          <w:b/>
          <w:bCs/>
          <w:sz w:val="32"/>
          <w:szCs w:val="32"/>
        </w:rPr>
      </w:pPr>
      <w:r>
        <w:rPr>
          <w:rFonts w:ascii="宋体" w:cs="宋体"/>
          <w:b/>
          <w:bCs/>
          <w:sz w:val="32"/>
          <w:szCs w:val="32"/>
        </w:rPr>
        <w:br w:type="page"/>
      </w:r>
      <w:r>
        <w:rPr>
          <w:rFonts w:hint="eastAsia" w:ascii="宋体" w:hAnsi="宋体" w:cs="宋体"/>
          <w:b/>
          <w:bCs/>
          <w:sz w:val="32"/>
          <w:szCs w:val="32"/>
        </w:rPr>
        <w:t>政府性基金预算财政拨款收入支出决算表</w:t>
      </w:r>
    </w:p>
    <w:p>
      <w:pPr>
        <w:spacing w:line="340" w:lineRule="exact"/>
        <w:jc w:val="right"/>
        <w:rPr>
          <w:rFonts w:ascii="宋体" w:cs="宋体"/>
          <w:b/>
          <w:bCs/>
          <w:szCs w:val="21"/>
        </w:rPr>
      </w:pPr>
      <w:r>
        <w:rPr>
          <w:rFonts w:hint="eastAsia" w:ascii="宋体" w:hAnsi="宋体" w:cs="宋体"/>
          <w:b/>
          <w:bCs/>
          <w:szCs w:val="21"/>
        </w:rPr>
        <w:t>公开</w:t>
      </w:r>
      <w:r>
        <w:rPr>
          <w:rFonts w:ascii="宋体" w:hAnsi="宋体" w:cs="宋体"/>
          <w:b/>
          <w:bCs/>
          <w:szCs w:val="21"/>
        </w:rPr>
        <w:t>08</w:t>
      </w:r>
      <w:r>
        <w:rPr>
          <w:rFonts w:hint="eastAsia" w:ascii="宋体" w:hAnsi="宋体" w:cs="宋体"/>
          <w:b/>
          <w:bCs/>
          <w:szCs w:val="21"/>
        </w:rPr>
        <w:t>表</w:t>
      </w:r>
    </w:p>
    <w:p>
      <w:pPr>
        <w:spacing w:line="340" w:lineRule="exact"/>
        <w:rPr>
          <w:rFonts w:ascii="宋体" w:cs="宋体"/>
          <w:b/>
          <w:bCs/>
          <w:szCs w:val="21"/>
        </w:rPr>
      </w:pPr>
      <w:r>
        <w:rPr>
          <w:rFonts w:hint="eastAsia" w:ascii="宋体" w:hAnsi="宋体" w:cs="宋体"/>
          <w:b/>
          <w:bCs/>
          <w:szCs w:val="21"/>
        </w:rPr>
        <w:t>编制部门：杨陵区行政审批服务局                                        金额单位：万元</w:t>
      </w:r>
    </w:p>
    <w:tbl>
      <w:tblPr>
        <w:tblStyle w:val="8"/>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项目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asci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spacing w:line="340" w:lineRule="exact"/>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spacing w:line="340" w:lineRule="exact"/>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spacing w:line="340" w:lineRule="exact"/>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right"/>
              <w:rPr>
                <w:rFonts w:ascii="宋体" w:cs="宋体"/>
                <w:color w:val="000000"/>
                <w:szCs w:val="21"/>
              </w:rPr>
            </w:pPr>
          </w:p>
        </w:tc>
      </w:tr>
    </w:tbl>
    <w:p>
      <w:pPr>
        <w:spacing w:line="400" w:lineRule="exact"/>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spacing w:line="560" w:lineRule="exact"/>
        <w:rPr>
          <w:rFonts w:ascii="宋体" w:cs="宋体"/>
          <w:szCs w:val="21"/>
        </w:rPr>
      </w:pPr>
    </w:p>
    <w:p>
      <w:pPr>
        <w:spacing w:line="560" w:lineRule="exact"/>
        <w:jc w:val="center"/>
        <w:rPr>
          <w:rFonts w:ascii="黑体" w:hAnsi="宋体" w:eastAsia="黑体"/>
          <w:color w:val="000000"/>
          <w:kern w:val="0"/>
          <w:sz w:val="44"/>
          <w:szCs w:val="44"/>
        </w:rPr>
      </w:pPr>
      <w:r>
        <w:rPr>
          <w:rFonts w:ascii="黑体" w:hAnsi="宋体" w:eastAsia="黑体"/>
          <w:color w:val="000000"/>
          <w:kern w:val="0"/>
          <w:sz w:val="44"/>
          <w:szCs w:val="44"/>
        </w:rPr>
        <w:br w:type="page"/>
      </w:r>
      <w:r>
        <w:rPr>
          <w:rFonts w:hint="eastAsia" w:ascii="黑体" w:hAnsi="宋体" w:eastAsia="黑体"/>
          <w:color w:val="000000"/>
          <w:kern w:val="0"/>
          <w:sz w:val="44"/>
          <w:szCs w:val="44"/>
        </w:rPr>
        <w:t>第三部分</w:t>
      </w:r>
      <w:r>
        <w:rPr>
          <w:rFonts w:ascii="黑体" w:hAnsi="宋体" w:eastAsia="黑体"/>
          <w:color w:val="000000"/>
          <w:kern w:val="0"/>
          <w:sz w:val="44"/>
          <w:szCs w:val="44"/>
        </w:rPr>
        <w:t xml:space="preserve"> 2019 </w:t>
      </w:r>
      <w:r>
        <w:rPr>
          <w:rFonts w:hint="eastAsia" w:ascii="黑体" w:hAnsi="宋体" w:eastAsia="黑体"/>
          <w:color w:val="000000"/>
          <w:kern w:val="0"/>
          <w:sz w:val="44"/>
          <w:szCs w:val="44"/>
        </w:rPr>
        <w:t>年部门决算情况说明</w:t>
      </w:r>
    </w:p>
    <w:p>
      <w:pPr>
        <w:spacing w:line="560" w:lineRule="exact"/>
        <w:rPr>
          <w:rFonts w:ascii="黑体" w:hAnsi="宋体" w:eastAsia="黑体"/>
          <w:color w:val="000000"/>
          <w:kern w:val="0"/>
          <w:sz w:val="44"/>
          <w:szCs w:val="44"/>
        </w:rPr>
      </w:pPr>
    </w:p>
    <w:p>
      <w:pPr>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一、收入支出决算总体情况说明</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2019年收入</w:t>
      </w:r>
      <w:r>
        <w:rPr>
          <w:rFonts w:hint="eastAsia" w:ascii="仿宋_GB2312" w:hAnsi="仿宋" w:eastAsia="仿宋_GB2312"/>
          <w:sz w:val="32"/>
          <w:szCs w:val="32"/>
          <w:u w:val="none"/>
          <w:lang w:val="en-US" w:eastAsia="zh-CN"/>
        </w:rPr>
        <w:t>92.7</w:t>
      </w:r>
      <w:r>
        <w:rPr>
          <w:rFonts w:hint="eastAsia" w:ascii="仿宋_GB2312" w:hAnsi="仿宋" w:eastAsia="仿宋_GB2312"/>
          <w:sz w:val="32"/>
          <w:szCs w:val="32"/>
          <w:u w:val="none"/>
        </w:rPr>
        <w:t>万元，支出</w:t>
      </w:r>
      <w:r>
        <w:rPr>
          <w:rFonts w:hint="eastAsia" w:ascii="仿宋_GB2312" w:hAnsi="仿宋" w:eastAsia="仿宋_GB2312"/>
          <w:sz w:val="32"/>
          <w:szCs w:val="32"/>
          <w:u w:val="none"/>
          <w:lang w:val="en-US" w:eastAsia="zh-CN"/>
        </w:rPr>
        <w:t>92.7</w:t>
      </w:r>
      <w:r>
        <w:rPr>
          <w:rFonts w:hint="eastAsia" w:ascii="仿宋_GB2312" w:hAnsi="仿宋" w:eastAsia="仿宋_GB2312"/>
          <w:sz w:val="32"/>
          <w:szCs w:val="32"/>
        </w:rPr>
        <w:t>万元。由于本单位为机构改革新增单位，2018年无决算数据，因此无法与上年数据比较。</w:t>
      </w:r>
    </w:p>
    <w:p>
      <w:pPr>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二、收入决算情况说明</w:t>
      </w:r>
    </w:p>
    <w:p>
      <w:pPr>
        <w:spacing w:line="560" w:lineRule="exact"/>
        <w:ind w:firstLine="640" w:firstLineChars="200"/>
        <w:jc w:val="left"/>
      </w:pP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1045845</wp:posOffset>
            </wp:positionH>
            <wp:positionV relativeFrom="paragraph">
              <wp:posOffset>1096010</wp:posOffset>
            </wp:positionV>
            <wp:extent cx="3328035" cy="2413000"/>
            <wp:effectExtent l="4445" t="4445" r="7620" b="825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ascii="仿宋_GB2312" w:hAnsi="宋体" w:eastAsia="仿宋_GB2312" w:cs="仿宋_GB2312"/>
          <w:color w:val="000000"/>
          <w:kern w:val="0"/>
          <w:sz w:val="32"/>
          <w:szCs w:val="32"/>
        </w:rPr>
        <w:t>2019</w:t>
      </w:r>
      <w:r>
        <w:rPr>
          <w:rFonts w:hint="eastAsia" w:ascii="仿宋_GB2312" w:hAnsi="宋体" w:eastAsia="仿宋_GB2312" w:cs="仿宋_GB2312"/>
          <w:color w:val="000000"/>
          <w:kern w:val="0"/>
          <w:sz w:val="32"/>
          <w:szCs w:val="32"/>
        </w:rPr>
        <w:t>年收入合计92.70万元，其中：财政拨款收入82.62万元，占89.12</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；事业收入0万元，占0%；经营收入0万元，占0%；其他收入10.09万元，占10.88</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spacing w:line="560" w:lineRule="exact"/>
        <w:ind w:firstLine="640" w:firstLineChars="200"/>
        <w:jc w:val="left"/>
        <w:rPr>
          <w:rFonts w:ascii="黑体" w:hAnsi="黑体" w:eastAsia="黑体"/>
          <w:color w:val="000000"/>
          <w:kern w:val="0"/>
          <w:sz w:val="32"/>
          <w:szCs w:val="32"/>
        </w:rPr>
      </w:pPr>
    </w:p>
    <w:p>
      <w:pPr>
        <w:spacing w:line="560" w:lineRule="exact"/>
        <w:ind w:firstLine="640" w:firstLineChars="200"/>
        <w:jc w:val="left"/>
        <w:rPr>
          <w:rFonts w:ascii="黑体" w:hAnsi="黑体" w:eastAsia="黑体"/>
        </w:rPr>
      </w:pPr>
      <w:r>
        <w:rPr>
          <w:rFonts w:hint="eastAsia" w:ascii="黑体" w:hAnsi="黑体" w:eastAsia="黑体"/>
          <w:color w:val="000000"/>
          <w:kern w:val="0"/>
          <w:sz w:val="32"/>
          <w:szCs w:val="32"/>
        </w:rPr>
        <w:t>三、支出决算情况说明</w:t>
      </w:r>
    </w:p>
    <w:p>
      <w:pPr>
        <w:spacing w:line="560" w:lineRule="exact"/>
        <w:ind w:firstLine="640" w:firstLineChars="200"/>
        <w:jc w:val="left"/>
      </w:pPr>
      <w:r>
        <w:rPr>
          <w:rFonts w:ascii="仿宋_GB2312" w:hAnsi="宋体" w:eastAsia="仿宋_GB2312" w:cs="仿宋_GB2312"/>
          <w:color w:val="000000"/>
          <w:kern w:val="0"/>
          <w:sz w:val="32"/>
          <w:szCs w:val="32"/>
        </w:rPr>
        <w:t>2019</w:t>
      </w:r>
      <w:r>
        <w:rPr>
          <w:rFonts w:hint="eastAsia" w:ascii="仿宋_GB2312" w:hAnsi="宋体" w:eastAsia="仿宋_GB2312" w:cs="仿宋_GB2312"/>
          <w:color w:val="000000"/>
          <w:kern w:val="0"/>
          <w:sz w:val="32"/>
          <w:szCs w:val="32"/>
        </w:rPr>
        <w:t>年支出合计92.70万元，其中：基本支出82.62万元，占98.12</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；项目支出10.09万元，占10.88</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；经营支出0万元，占0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spacing w:line="560" w:lineRule="exact"/>
        <w:ind w:firstLine="640" w:firstLineChars="200"/>
        <w:jc w:val="left"/>
        <w:rPr>
          <w:rFonts w:ascii="黑体" w:hAnsi="黑体" w:eastAsia="黑体"/>
          <w:color w:val="000000"/>
          <w:kern w:val="0"/>
          <w:sz w:val="32"/>
          <w:szCs w:val="32"/>
        </w:rPr>
      </w:pPr>
      <w:r>
        <w:rPr>
          <w:rFonts w:hint="eastAsia" w:ascii="仿宋_GB2312" w:hAnsi="仿宋_GB2312" w:eastAsia="仿宋_GB2312" w:cs="仿宋_GB2312"/>
          <w:sz w:val="32"/>
          <w:szCs w:val="32"/>
        </w:rPr>
        <w:drawing>
          <wp:anchor distT="0" distB="0" distL="114300" distR="114300" simplePos="0" relativeHeight="251663360" behindDoc="0" locked="0" layoutInCell="1" allowOverlap="1">
            <wp:simplePos x="0" y="0"/>
            <wp:positionH relativeFrom="column">
              <wp:posOffset>1075055</wp:posOffset>
            </wp:positionH>
            <wp:positionV relativeFrom="paragraph">
              <wp:posOffset>64770</wp:posOffset>
            </wp:positionV>
            <wp:extent cx="3308350" cy="2407285"/>
            <wp:effectExtent l="4445" t="4445" r="14605" b="13970"/>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黑体" w:hAnsi="黑体" w:eastAsia="黑体"/>
          <w:color w:val="000000"/>
          <w:kern w:val="0"/>
          <w:sz w:val="32"/>
          <w:szCs w:val="32"/>
        </w:rPr>
        <w:t>四、财政拨款收入支出决算总体情况说明</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2019年财政拨款收入、支出总计82.62万元。因属机构改革新增单位，因此无法与上年数据比较。</w:t>
      </w:r>
    </w:p>
    <w:p>
      <w:pPr>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五、一般公共预算财政拨款支出决算情况说明</w:t>
      </w:r>
    </w:p>
    <w:p>
      <w:pPr>
        <w:spacing w:line="560" w:lineRule="exact"/>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（一）财政拨款支出决算总体情况说明。</w:t>
      </w:r>
    </w:p>
    <w:p>
      <w:pPr>
        <w:spacing w:line="560" w:lineRule="exact"/>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 xml:space="preserve">2019 </w:t>
      </w:r>
      <w:r>
        <w:rPr>
          <w:rFonts w:hint="eastAsia" w:ascii="仿宋_GB2312" w:hAnsi="宋体" w:eastAsia="仿宋_GB2312" w:cs="仿宋_GB2312"/>
          <w:color w:val="000000"/>
          <w:kern w:val="0"/>
          <w:sz w:val="32"/>
          <w:szCs w:val="32"/>
        </w:rPr>
        <w:t>年财政拨款支出82.62万元，占本年支出合计的89.88</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hint="eastAsia" w:ascii="仿宋_GB2312" w:hAnsi="仿宋_GB2312" w:eastAsia="仿宋_GB2312" w:cs="仿宋_GB2312"/>
          <w:sz w:val="32"/>
          <w:szCs w:val="32"/>
        </w:rPr>
        <w:t>因属机构改革新增单位，因此无法与上年数据比较。</w:t>
      </w:r>
    </w:p>
    <w:p>
      <w:pPr>
        <w:spacing w:line="560" w:lineRule="exact"/>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（二）财政拨款支出决算具体情况说明。</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2019 年财政拨款支出82.62万元，完成年初预算的100%（原因为我局属机构改革新增单位，2019年未做预算）。按照政府功能分类科目分，其中：</w:t>
      </w:r>
    </w:p>
    <w:p>
      <w:pPr>
        <w:spacing w:line="560" w:lineRule="exact"/>
        <w:ind w:firstLine="643" w:firstLineChars="200"/>
        <w:jc w:val="left"/>
      </w:pPr>
      <w:r>
        <w:rPr>
          <w:rFonts w:ascii="仿宋_GB2312" w:hAnsi="宋体" w:eastAsia="仿宋_GB2312" w:cs="仿宋_GB2312"/>
          <w:b/>
          <w:color w:val="000000"/>
          <w:kern w:val="0"/>
          <w:sz w:val="32"/>
          <w:szCs w:val="32"/>
        </w:rPr>
        <w:t>1.</w:t>
      </w:r>
      <w:r>
        <w:rPr>
          <w:rFonts w:hint="eastAsia" w:ascii="仿宋_GB2312" w:hAnsi="宋体" w:eastAsia="仿宋_GB2312" w:cs="仿宋_GB2312"/>
          <w:b/>
          <w:color w:val="000000"/>
          <w:kern w:val="0"/>
          <w:sz w:val="32"/>
          <w:szCs w:val="32"/>
        </w:rPr>
        <w:t>一般公共服务支出（类）政府办公厅（室）及相关机构事务（款）行政运行（项）。</w:t>
      </w:r>
    </w:p>
    <w:p>
      <w:pPr>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支出决算为28.15万元，完成年初预算的100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，主要原因是</w:t>
      </w:r>
      <w:r>
        <w:rPr>
          <w:rFonts w:hint="eastAsia" w:ascii="仿宋_GB2312" w:hAnsi="仿宋_GB2312" w:eastAsia="仿宋_GB2312" w:cs="仿宋_GB2312"/>
          <w:sz w:val="32"/>
          <w:szCs w:val="32"/>
        </w:rPr>
        <w:t>我局属机构改革新增单位，2019年未做预算。</w:t>
      </w:r>
    </w:p>
    <w:p>
      <w:pPr>
        <w:spacing w:line="560" w:lineRule="exact"/>
        <w:ind w:firstLine="643" w:firstLineChars="200"/>
        <w:jc w:val="left"/>
      </w:pPr>
      <w:r>
        <w:rPr>
          <w:rFonts w:ascii="仿宋_GB2312" w:hAnsi="宋体" w:eastAsia="仿宋_GB2312" w:cs="仿宋_GB2312"/>
          <w:b/>
          <w:color w:val="000000"/>
          <w:kern w:val="0"/>
          <w:sz w:val="32"/>
          <w:szCs w:val="32"/>
        </w:rPr>
        <w:t>1.</w:t>
      </w:r>
      <w:r>
        <w:rPr>
          <w:rFonts w:hint="eastAsia" w:ascii="仿宋_GB2312" w:hAnsi="宋体" w:eastAsia="仿宋_GB2312" w:cs="仿宋_GB2312"/>
          <w:b/>
          <w:color w:val="000000"/>
          <w:kern w:val="0"/>
          <w:sz w:val="32"/>
          <w:szCs w:val="32"/>
        </w:rPr>
        <w:t>一般公共服务支出（类）政府办公厅（室）及相关机构事务（款）事业运行（项）。</w:t>
      </w:r>
    </w:p>
    <w:p>
      <w:pPr>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支出决算为54.47万元，完成年初预算的100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，主要原因是</w:t>
      </w:r>
      <w:r>
        <w:rPr>
          <w:rFonts w:hint="eastAsia" w:ascii="仿宋_GB2312" w:hAnsi="仿宋_GB2312" w:eastAsia="仿宋_GB2312" w:cs="仿宋_GB2312"/>
          <w:sz w:val="32"/>
          <w:szCs w:val="32"/>
        </w:rPr>
        <w:t>我局属机构改革新增单位，2019年未做预算。</w:t>
      </w:r>
    </w:p>
    <w:p>
      <w:pPr>
        <w:spacing w:line="560" w:lineRule="exact"/>
        <w:ind w:firstLine="640" w:firstLineChars="200"/>
        <w:rPr>
          <w:rFonts w:ascii="仿宋_GB2312" w:hAnsi="仿宋" w:eastAsia="仿宋_GB2312"/>
          <w:sz w:val="32"/>
          <w:szCs w:val="32"/>
        </w:rPr>
      </w:pPr>
      <w:r>
        <w:rPr>
          <w:rFonts w:hint="eastAsia" w:ascii="黑体" w:hAnsi="黑体" w:eastAsia="黑体"/>
          <w:color w:val="000000"/>
          <w:kern w:val="0"/>
          <w:sz w:val="32"/>
          <w:szCs w:val="32"/>
        </w:rPr>
        <w:t>六、一般公共预算财政拨款基本支出决算情况说明</w:t>
      </w:r>
    </w:p>
    <w:p>
      <w:pPr>
        <w:spacing w:line="560" w:lineRule="exact"/>
        <w:ind w:firstLine="620" w:firstLineChars="200"/>
        <w:jc w:val="left"/>
        <w:rPr>
          <w:rFonts w:ascii="仿宋_GB2312" w:hAnsi="仿宋_GB2312" w:eastAsia="仿宋_GB2312" w:cs="仿宋_GB2312"/>
          <w:color w:val="000000"/>
          <w:kern w:val="0"/>
          <w:sz w:val="31"/>
          <w:szCs w:val="31"/>
        </w:rPr>
      </w:pPr>
      <w:r>
        <w:rPr>
          <w:rFonts w:ascii="仿宋_GB2312" w:hAnsi="仿宋_GB2312" w:eastAsia="仿宋_GB2312" w:cs="仿宋_GB2312"/>
          <w:color w:val="000000"/>
          <w:kern w:val="0"/>
          <w:sz w:val="31"/>
          <w:szCs w:val="31"/>
        </w:rPr>
        <w:t>2019</w:t>
      </w:r>
      <w:r>
        <w:rPr>
          <w:rFonts w:hint="eastAsia" w:ascii="仿宋_GB2312" w:hAnsi="仿宋_GB2312" w:eastAsia="仿宋_GB2312" w:cs="仿宋_GB2312"/>
          <w:color w:val="000000"/>
          <w:kern w:val="0"/>
          <w:sz w:val="31"/>
          <w:szCs w:val="31"/>
        </w:rPr>
        <w:t>年一般公共预算财政拨款基本支出82.62万元，包括：人员经费支出79.42万元和公用经费支出3.20万元。</w:t>
      </w:r>
    </w:p>
    <w:p>
      <w:pPr>
        <w:spacing w:line="560" w:lineRule="exact"/>
        <w:ind w:firstLine="643"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b/>
          <w:bCs/>
          <w:color w:val="000000"/>
          <w:kern w:val="0"/>
          <w:sz w:val="32"/>
          <w:szCs w:val="32"/>
        </w:rPr>
        <w:t>人员经费</w:t>
      </w:r>
      <w:r>
        <w:rPr>
          <w:rFonts w:hint="eastAsia" w:ascii="仿宋_GB2312" w:hAnsi="宋体" w:eastAsia="仿宋_GB2312" w:cs="仿宋_GB2312"/>
          <w:color w:val="000000"/>
          <w:kern w:val="0"/>
          <w:sz w:val="32"/>
          <w:szCs w:val="32"/>
        </w:rPr>
        <w:t>79.42万元，主要包括：</w:t>
      </w:r>
      <w:r>
        <w:rPr>
          <w:rFonts w:ascii="仿宋_GB2312" w:hAnsi="宋体" w:eastAsia="仿宋_GB2312" w:cs="仿宋_GB2312"/>
          <w:color w:val="000000"/>
          <w:kern w:val="0"/>
          <w:sz w:val="32"/>
          <w:szCs w:val="32"/>
        </w:rPr>
        <w:t>基本工资</w:t>
      </w:r>
      <w:r>
        <w:rPr>
          <w:rFonts w:hint="eastAsia" w:ascii="仿宋_GB2312" w:hAnsi="宋体" w:eastAsia="仿宋_GB2312" w:cs="仿宋_GB2312"/>
          <w:color w:val="000000"/>
          <w:kern w:val="0"/>
          <w:sz w:val="32"/>
          <w:szCs w:val="32"/>
        </w:rPr>
        <w:t>28.17万元；津贴补贴12.98万元；绩效工资16.84万元；机关事业单位基本养老保险缴费11.57万元；住房公积金9.82万元；奖励金0.04万元。</w:t>
      </w:r>
    </w:p>
    <w:p>
      <w:pPr>
        <w:spacing w:line="560" w:lineRule="exact"/>
        <w:ind w:firstLine="643"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b/>
          <w:bCs/>
          <w:color w:val="000000"/>
          <w:kern w:val="0"/>
          <w:sz w:val="32"/>
          <w:szCs w:val="32"/>
        </w:rPr>
        <w:t>公用经费</w:t>
      </w:r>
      <w:r>
        <w:rPr>
          <w:rFonts w:hint="eastAsia" w:ascii="仿宋_GB2312" w:hAnsi="宋体" w:eastAsia="仿宋_GB2312" w:cs="仿宋_GB2312"/>
          <w:color w:val="000000"/>
          <w:kern w:val="0"/>
          <w:sz w:val="32"/>
          <w:szCs w:val="32"/>
        </w:rPr>
        <w:t>3.20万元，主要包括：</w:t>
      </w:r>
      <w:r>
        <w:rPr>
          <w:rFonts w:ascii="仿宋_GB2312" w:hAnsi="宋体" w:eastAsia="仿宋_GB2312" w:cs="仿宋_GB2312"/>
          <w:color w:val="000000"/>
          <w:kern w:val="0"/>
          <w:sz w:val="32"/>
          <w:szCs w:val="32"/>
        </w:rPr>
        <w:t>办公费</w:t>
      </w:r>
      <w:r>
        <w:rPr>
          <w:rFonts w:hint="eastAsia" w:ascii="仿宋_GB2312" w:hAnsi="宋体" w:eastAsia="仿宋_GB2312" w:cs="仿宋_GB2312"/>
          <w:color w:val="000000"/>
          <w:kern w:val="0"/>
          <w:sz w:val="32"/>
          <w:szCs w:val="32"/>
        </w:rPr>
        <w:t>0.17万元；印刷费0.01万元；邮电费0.32万元；差旅费0.06万元；工会经费1.97万元；其他交通费0.60万元；其他商品和服务支出0.07万元。</w:t>
      </w:r>
    </w:p>
    <w:p>
      <w:pPr>
        <w:spacing w:line="560" w:lineRule="exact"/>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七、一般公共预算财政拨款“三公”经费及会议费、培训费支出决算情况说明</w:t>
      </w:r>
    </w:p>
    <w:p>
      <w:pPr>
        <w:spacing w:line="560" w:lineRule="exact"/>
        <w:ind w:firstLine="643" w:firstLineChars="200"/>
        <w:jc w:val="left"/>
      </w:pPr>
      <w:r>
        <w:rPr>
          <w:rFonts w:hint="eastAsia" w:ascii="楷体_GB2312" w:hAnsi="宋体" w:eastAsia="楷体_GB2312" w:cs="楷体_GB2312"/>
          <w:b/>
          <w:color w:val="000000"/>
          <w:kern w:val="0"/>
          <w:sz w:val="32"/>
          <w:szCs w:val="32"/>
        </w:rPr>
        <w:t>（一）“三公”经费财政拨款支出决算总体情况说明。</w:t>
      </w:r>
    </w:p>
    <w:p>
      <w:pPr>
        <w:spacing w:line="560" w:lineRule="exact"/>
        <w:ind w:firstLine="640" w:firstLineChars="200"/>
        <w:jc w:val="left"/>
      </w:pPr>
      <w:r>
        <w:rPr>
          <w:rFonts w:ascii="仿宋_GB2312" w:hAnsi="宋体" w:eastAsia="仿宋_GB2312" w:cs="仿宋_GB2312"/>
          <w:color w:val="000000"/>
          <w:kern w:val="0"/>
          <w:sz w:val="32"/>
          <w:szCs w:val="32"/>
        </w:rPr>
        <w:t>2019</w:t>
      </w:r>
      <w:r>
        <w:rPr>
          <w:rFonts w:hint="eastAsia" w:ascii="仿宋_GB2312" w:hAnsi="宋体" w:eastAsia="仿宋_GB2312" w:cs="仿宋_GB2312"/>
          <w:color w:val="000000"/>
          <w:kern w:val="0"/>
          <w:sz w:val="32"/>
          <w:szCs w:val="32"/>
        </w:rPr>
        <w:t>年“三公”经费财政拨款支出预算为0万元，支出决算为0万元，完成预算的100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spacing w:line="560" w:lineRule="exact"/>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（二）“三公”经费财政拨款支出决算具体情况说明。</w:t>
      </w:r>
    </w:p>
    <w:p>
      <w:pPr>
        <w:spacing w:line="560" w:lineRule="exact"/>
        <w:ind w:firstLine="640" w:firstLineChars="200"/>
        <w:jc w:val="left"/>
      </w:pPr>
      <w:r>
        <w:rPr>
          <w:rFonts w:ascii="仿宋_GB2312" w:hAnsi="宋体" w:eastAsia="仿宋_GB2312" w:cs="仿宋_GB2312"/>
          <w:color w:val="000000"/>
          <w:kern w:val="0"/>
          <w:sz w:val="32"/>
          <w:szCs w:val="32"/>
        </w:rPr>
        <w:t>2019</w:t>
      </w:r>
      <w:r>
        <w:rPr>
          <w:rFonts w:hint="eastAsia" w:ascii="仿宋_GB2312" w:hAnsi="宋体" w:eastAsia="仿宋_GB2312" w:cs="仿宋_GB2312"/>
          <w:color w:val="000000"/>
          <w:kern w:val="0"/>
          <w:sz w:val="32"/>
          <w:szCs w:val="32"/>
        </w:rPr>
        <w:t>年“三公”经费财政拨款支出决算中，因公出国（境）费支出决算0万元，占0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；公务用车购置费支出0万元，占0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；公务用车运行</w:t>
      </w:r>
      <w:r>
        <w:rPr>
          <w:rFonts w:hint="eastAsia" w:ascii="仿宋_GB2312" w:hAnsi="仿宋" w:eastAsia="仿宋_GB2312"/>
          <w:sz w:val="32"/>
          <w:szCs w:val="32"/>
        </w:rPr>
        <w:t>维护</w:t>
      </w:r>
      <w:r>
        <w:rPr>
          <w:rFonts w:hint="eastAsia" w:ascii="仿宋_GB2312" w:hAnsi="宋体" w:eastAsia="仿宋_GB2312" w:cs="仿宋_GB2312"/>
          <w:color w:val="000000"/>
          <w:kern w:val="0"/>
          <w:sz w:val="32"/>
          <w:szCs w:val="32"/>
        </w:rPr>
        <w:t>费支出决算0万元，占0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；公务接待费支出决算0万元，占0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。具体情况如下：</w:t>
      </w:r>
    </w:p>
    <w:p>
      <w:pPr>
        <w:spacing w:line="560" w:lineRule="exact"/>
        <w:ind w:firstLine="643" w:firstLineChars="200"/>
        <w:rPr>
          <w:rFonts w:ascii="仿宋_GB2312" w:hAnsi="仿宋" w:eastAsia="仿宋_GB2312"/>
          <w:b/>
          <w:bCs/>
          <w:sz w:val="32"/>
          <w:szCs w:val="32"/>
        </w:rPr>
      </w:pPr>
      <w:r>
        <w:rPr>
          <w:rFonts w:ascii="仿宋_GB2312" w:hAnsi="仿宋" w:eastAsia="仿宋_GB2312"/>
          <w:b/>
          <w:bCs/>
          <w:sz w:val="32"/>
          <w:szCs w:val="32"/>
        </w:rPr>
        <w:t>1.</w:t>
      </w:r>
      <w:r>
        <w:rPr>
          <w:rFonts w:hint="eastAsia" w:ascii="仿宋_GB2312" w:hAnsi="仿宋" w:eastAsia="仿宋_GB2312"/>
          <w:b/>
          <w:bCs/>
          <w:sz w:val="32"/>
          <w:szCs w:val="32"/>
        </w:rPr>
        <w:t>因公出国（境）支出情况说明。</w:t>
      </w:r>
    </w:p>
    <w:p>
      <w:pPr>
        <w:spacing w:line="560" w:lineRule="exact"/>
        <w:ind w:firstLine="640" w:firstLineChars="200"/>
        <w:jc w:val="left"/>
      </w:pPr>
      <w:r>
        <w:rPr>
          <w:rFonts w:ascii="仿宋_GB2312" w:hAnsi="仿宋" w:eastAsia="仿宋_GB2312"/>
          <w:sz w:val="32"/>
          <w:szCs w:val="32"/>
        </w:rPr>
        <w:t>2019</w:t>
      </w:r>
      <w:r>
        <w:rPr>
          <w:rFonts w:hint="eastAsia" w:ascii="仿宋_GB2312" w:hAnsi="仿宋" w:eastAsia="仿宋_GB2312"/>
          <w:sz w:val="32"/>
          <w:szCs w:val="32"/>
        </w:rPr>
        <w:t>年因公出国（境）团组</w:t>
      </w:r>
      <w:r>
        <w:rPr>
          <w:rFonts w:hint="eastAsia" w:ascii="仿宋_GB2312" w:hAnsi="仿宋_GB2312" w:eastAsia="仿宋_GB2312" w:cs="仿宋_GB2312"/>
          <w:sz w:val="32"/>
          <w:szCs w:val="32"/>
        </w:rPr>
        <w:t>0个，0人次，</w:t>
      </w:r>
      <w:r>
        <w:rPr>
          <w:rFonts w:hint="eastAsia" w:ascii="仿宋_GB2312" w:hAnsi="宋体" w:eastAsia="仿宋_GB2312" w:cs="仿宋_GB2312"/>
          <w:color w:val="000000"/>
          <w:kern w:val="0"/>
          <w:sz w:val="32"/>
          <w:szCs w:val="32"/>
        </w:rPr>
        <w:t>预算为0万元，支出决算为0万元，完成预算的100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spacing w:line="560" w:lineRule="exact"/>
        <w:ind w:firstLine="643" w:firstLineChars="200"/>
        <w:rPr>
          <w:rFonts w:ascii="仿宋_GB2312" w:hAnsi="仿宋" w:eastAsia="仿宋_GB2312"/>
          <w:b/>
          <w:bCs/>
          <w:sz w:val="32"/>
          <w:szCs w:val="32"/>
        </w:rPr>
      </w:pPr>
      <w:r>
        <w:rPr>
          <w:rFonts w:ascii="仿宋_GB2312" w:hAnsi="仿宋" w:eastAsia="仿宋_GB2312"/>
          <w:b/>
          <w:bCs/>
          <w:sz w:val="32"/>
          <w:szCs w:val="32"/>
        </w:rPr>
        <w:t>2.</w:t>
      </w:r>
      <w:r>
        <w:rPr>
          <w:rFonts w:hint="eastAsia" w:ascii="仿宋_GB2312" w:hAnsi="仿宋" w:eastAsia="仿宋_GB2312"/>
          <w:b/>
          <w:bCs/>
          <w:sz w:val="32"/>
          <w:szCs w:val="32"/>
        </w:rPr>
        <w:t>公务用车购置费用支出情况说明。</w:t>
      </w:r>
    </w:p>
    <w:p>
      <w:pPr>
        <w:spacing w:line="560" w:lineRule="exact"/>
        <w:ind w:firstLine="640" w:firstLineChars="200"/>
        <w:jc w:val="left"/>
      </w:pPr>
      <w:r>
        <w:rPr>
          <w:rFonts w:ascii="仿宋_GB2312" w:hAnsi="仿宋" w:eastAsia="仿宋_GB2312"/>
          <w:sz w:val="32"/>
          <w:szCs w:val="32"/>
        </w:rPr>
        <w:t>2019</w:t>
      </w:r>
      <w:r>
        <w:rPr>
          <w:rFonts w:hint="eastAsia" w:ascii="仿宋_GB2312" w:hAnsi="仿宋" w:eastAsia="仿宋_GB2312"/>
          <w:sz w:val="32"/>
          <w:szCs w:val="32"/>
        </w:rPr>
        <w:t>年购置车辆</w:t>
      </w:r>
      <w:r>
        <w:rPr>
          <w:rFonts w:hint="eastAsia" w:ascii="仿宋_GB2312" w:hAnsi="仿宋_GB2312" w:eastAsia="仿宋_GB2312" w:cs="仿宋_GB2312"/>
          <w:sz w:val="32"/>
          <w:szCs w:val="32"/>
        </w:rPr>
        <w:t>0台，</w:t>
      </w:r>
      <w:r>
        <w:rPr>
          <w:rFonts w:hint="eastAsia" w:ascii="仿宋_GB2312" w:hAnsi="宋体" w:eastAsia="仿宋_GB2312" w:cs="仿宋_GB2312"/>
          <w:color w:val="000000"/>
          <w:kern w:val="0"/>
          <w:sz w:val="32"/>
          <w:szCs w:val="32"/>
        </w:rPr>
        <w:t>预算为0万元，支出决算为0万元</w:t>
      </w:r>
      <w:r>
        <w:rPr>
          <w:rFonts w:hint="eastAsia" w:ascii="仿宋_GB2312" w:hAnsi="仿宋_GB2312" w:eastAsia="仿宋_GB2312" w:cs="仿宋_GB2312"/>
          <w:sz w:val="32"/>
          <w:szCs w:val="32"/>
        </w:rPr>
        <w:t>0</w:t>
      </w:r>
      <w:r>
        <w:rPr>
          <w:rFonts w:hint="eastAsia" w:ascii="仿宋_GB2312" w:hAnsi="宋体" w:eastAsia="仿宋_GB2312" w:cs="仿宋_GB2312"/>
          <w:color w:val="000000"/>
          <w:kern w:val="0"/>
          <w:sz w:val="32"/>
          <w:szCs w:val="32"/>
        </w:rPr>
        <w:t>，完成预算的100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spacing w:line="560" w:lineRule="exact"/>
        <w:ind w:firstLine="643" w:firstLineChars="200"/>
        <w:rPr>
          <w:rFonts w:ascii="仿宋_GB2312" w:hAnsi="仿宋" w:eastAsia="仿宋_GB2312"/>
          <w:b/>
          <w:bCs/>
          <w:sz w:val="32"/>
          <w:szCs w:val="32"/>
        </w:rPr>
      </w:pPr>
      <w:r>
        <w:rPr>
          <w:rFonts w:ascii="仿宋_GB2312" w:hAnsi="仿宋" w:eastAsia="仿宋_GB2312"/>
          <w:b/>
          <w:bCs/>
          <w:sz w:val="32"/>
          <w:szCs w:val="32"/>
        </w:rPr>
        <w:t>3.</w:t>
      </w:r>
      <w:r>
        <w:rPr>
          <w:rFonts w:hint="eastAsia" w:ascii="仿宋_GB2312" w:hAnsi="仿宋" w:eastAsia="仿宋_GB2312"/>
          <w:b/>
          <w:bCs/>
          <w:sz w:val="32"/>
          <w:szCs w:val="32"/>
        </w:rPr>
        <w:t>公务用车运行维护费用支出情况说明。</w:t>
      </w:r>
    </w:p>
    <w:p>
      <w:pPr>
        <w:spacing w:line="560" w:lineRule="exact"/>
        <w:ind w:firstLine="640" w:firstLineChars="200"/>
        <w:jc w:val="left"/>
        <w:rPr>
          <w:rFonts w:ascii="仿宋_GB2312" w:hAnsi="宋体" w:eastAsia="仿宋_GB2312" w:cs="仿宋_GB2312"/>
          <w:color w:val="000000"/>
          <w:kern w:val="0"/>
          <w:sz w:val="32"/>
          <w:szCs w:val="32"/>
        </w:rPr>
      </w:pPr>
      <w:r>
        <w:rPr>
          <w:rFonts w:ascii="仿宋_GB2312" w:hAnsi="仿宋" w:eastAsia="仿宋_GB2312"/>
          <w:sz w:val="32"/>
          <w:szCs w:val="32"/>
        </w:rPr>
        <w:t>2019</w:t>
      </w:r>
      <w:r>
        <w:rPr>
          <w:rFonts w:hint="eastAsia" w:ascii="仿宋_GB2312" w:hAnsi="仿宋" w:eastAsia="仿宋_GB2312"/>
          <w:sz w:val="32"/>
          <w:szCs w:val="32"/>
        </w:rPr>
        <w:t>年</w:t>
      </w:r>
      <w:r>
        <w:rPr>
          <w:rFonts w:hint="eastAsia" w:ascii="仿宋_GB2312" w:hAnsi="仿宋_GB2312" w:eastAsia="仿宋_GB2312" w:cs="仿宋_GB2312"/>
          <w:sz w:val="32"/>
          <w:szCs w:val="32"/>
        </w:rPr>
        <w:t>公务用车运行维护费</w:t>
      </w:r>
      <w:r>
        <w:rPr>
          <w:rFonts w:hint="eastAsia" w:ascii="仿宋_GB2312" w:hAnsi="宋体" w:eastAsia="仿宋_GB2312" w:cs="仿宋_GB2312"/>
          <w:color w:val="000000"/>
          <w:kern w:val="0"/>
          <w:sz w:val="32"/>
          <w:szCs w:val="32"/>
        </w:rPr>
        <w:t>预算为0万元，支出决算为0万元</w:t>
      </w:r>
      <w:r>
        <w:rPr>
          <w:rFonts w:hint="eastAsia" w:ascii="仿宋_GB2312" w:hAnsi="仿宋_GB2312" w:eastAsia="仿宋_GB2312" w:cs="仿宋_GB2312"/>
          <w:sz w:val="32"/>
          <w:szCs w:val="32"/>
        </w:rPr>
        <w:t>0</w:t>
      </w:r>
      <w:r>
        <w:rPr>
          <w:rFonts w:hint="eastAsia" w:ascii="仿宋_GB2312" w:hAnsi="宋体" w:eastAsia="仿宋_GB2312" w:cs="仿宋_GB2312"/>
          <w:color w:val="000000"/>
          <w:kern w:val="0"/>
          <w:sz w:val="32"/>
          <w:szCs w:val="32"/>
        </w:rPr>
        <w:t>，完成预算的100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spacing w:line="560" w:lineRule="exact"/>
        <w:ind w:firstLine="643" w:firstLineChars="200"/>
        <w:rPr>
          <w:rFonts w:ascii="仿宋_GB2312" w:hAnsi="仿宋" w:eastAsia="仿宋_GB2312"/>
          <w:sz w:val="32"/>
          <w:szCs w:val="32"/>
        </w:rPr>
      </w:pPr>
      <w:r>
        <w:rPr>
          <w:rFonts w:ascii="仿宋_GB2312" w:hAnsi="仿宋" w:eastAsia="仿宋_GB2312"/>
          <w:b/>
          <w:bCs/>
          <w:sz w:val="32"/>
          <w:szCs w:val="32"/>
        </w:rPr>
        <w:t>4.</w:t>
      </w:r>
      <w:r>
        <w:rPr>
          <w:rFonts w:hint="eastAsia" w:ascii="仿宋_GB2312" w:hAnsi="仿宋" w:eastAsia="仿宋_GB2312"/>
          <w:b/>
          <w:bCs/>
          <w:sz w:val="32"/>
          <w:szCs w:val="32"/>
        </w:rPr>
        <w:t>公务接待费支出情况说明。</w:t>
      </w:r>
    </w:p>
    <w:p>
      <w:pPr>
        <w:spacing w:line="560" w:lineRule="exact"/>
        <w:ind w:firstLine="640" w:firstLineChars="200"/>
        <w:jc w:val="left"/>
        <w:rPr>
          <w:rFonts w:ascii="仿宋_GB2312" w:hAnsi="宋体" w:eastAsia="仿宋_GB2312" w:cs="仿宋_GB2312"/>
          <w:color w:val="000000"/>
          <w:kern w:val="0"/>
          <w:sz w:val="32"/>
          <w:szCs w:val="32"/>
        </w:rPr>
      </w:pPr>
      <w:r>
        <w:rPr>
          <w:rFonts w:ascii="仿宋_GB2312" w:hAnsi="仿宋" w:eastAsia="仿宋_GB2312"/>
          <w:sz w:val="32"/>
          <w:szCs w:val="32"/>
        </w:rPr>
        <w:t>2019</w:t>
      </w:r>
      <w:r>
        <w:rPr>
          <w:rFonts w:hint="eastAsia" w:ascii="仿宋_GB2312" w:hAnsi="仿宋" w:eastAsia="仿宋_GB2312"/>
          <w:sz w:val="32"/>
          <w:szCs w:val="32"/>
        </w:rPr>
        <w:t>年公务接待</w:t>
      </w:r>
      <w:r>
        <w:rPr>
          <w:rFonts w:hint="eastAsia" w:ascii="仿宋_GB2312" w:hAnsi="仿宋_GB2312" w:eastAsia="仿宋_GB2312" w:cs="仿宋_GB2312"/>
          <w:sz w:val="32"/>
          <w:szCs w:val="32"/>
        </w:rPr>
        <w:t>0批次，0人次，</w:t>
      </w:r>
      <w:r>
        <w:rPr>
          <w:rFonts w:hint="eastAsia" w:ascii="仿宋_GB2312" w:hAnsi="宋体" w:eastAsia="仿宋_GB2312" w:cs="仿宋_GB2312"/>
          <w:color w:val="000000"/>
          <w:kern w:val="0"/>
          <w:sz w:val="32"/>
          <w:szCs w:val="32"/>
        </w:rPr>
        <w:t>预算为0万元，支出决算为0万元，完成预算的100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spacing w:line="560" w:lineRule="exact"/>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（三）培训费支出情况说明。</w:t>
      </w:r>
    </w:p>
    <w:p>
      <w:pPr>
        <w:spacing w:line="560" w:lineRule="exact"/>
        <w:ind w:firstLine="640" w:firstLineChars="200"/>
        <w:jc w:val="left"/>
        <w:rPr>
          <w:rFonts w:ascii="仿宋_GB2312" w:hAnsi="宋体" w:eastAsia="仿宋_GB2312" w:cs="仿宋_GB2312"/>
          <w:color w:val="000000"/>
          <w:kern w:val="0"/>
          <w:sz w:val="32"/>
          <w:szCs w:val="32"/>
        </w:rPr>
      </w:pPr>
      <w:r>
        <w:rPr>
          <w:rFonts w:ascii="仿宋_GB2312" w:hAnsi="仿宋" w:eastAsia="仿宋_GB2312"/>
          <w:sz w:val="32"/>
          <w:szCs w:val="32"/>
        </w:rPr>
        <w:t>2019</w:t>
      </w:r>
      <w:r>
        <w:rPr>
          <w:rFonts w:hint="eastAsia" w:ascii="仿宋_GB2312" w:hAnsi="仿宋" w:eastAsia="仿宋_GB2312"/>
          <w:sz w:val="32"/>
          <w:szCs w:val="32"/>
        </w:rPr>
        <w:t>年</w:t>
      </w:r>
      <w:r>
        <w:rPr>
          <w:rFonts w:hint="eastAsia" w:ascii="仿宋_GB2312" w:hAnsi="仿宋_GB2312" w:eastAsia="仿宋_GB2312" w:cs="仿宋_GB2312"/>
          <w:sz w:val="32"/>
          <w:szCs w:val="32"/>
        </w:rPr>
        <w:t>培训费</w:t>
      </w:r>
      <w:r>
        <w:rPr>
          <w:rFonts w:hint="eastAsia" w:ascii="仿宋_GB2312" w:hAnsi="宋体" w:eastAsia="仿宋_GB2312" w:cs="仿宋_GB2312"/>
          <w:color w:val="000000"/>
          <w:kern w:val="0"/>
          <w:sz w:val="32"/>
          <w:szCs w:val="32"/>
        </w:rPr>
        <w:t>预算为0万元，支出决算为0万元，完成预算的100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spacing w:line="560" w:lineRule="exact"/>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（四）会议费支出情况说明。</w:t>
      </w:r>
    </w:p>
    <w:p>
      <w:pPr>
        <w:spacing w:line="560" w:lineRule="exact"/>
        <w:ind w:firstLine="640" w:firstLineChars="200"/>
        <w:jc w:val="left"/>
        <w:rPr>
          <w:rFonts w:ascii="仿宋_GB2312" w:hAnsi="宋体" w:eastAsia="仿宋_GB2312" w:cs="仿宋_GB2312"/>
          <w:color w:val="000000"/>
          <w:kern w:val="0"/>
          <w:sz w:val="32"/>
          <w:szCs w:val="32"/>
        </w:rPr>
      </w:pPr>
      <w:r>
        <w:rPr>
          <w:rFonts w:ascii="仿宋_GB2312" w:hAnsi="仿宋" w:eastAsia="仿宋_GB2312"/>
          <w:sz w:val="32"/>
          <w:szCs w:val="32"/>
        </w:rPr>
        <w:t>2019</w:t>
      </w:r>
      <w:r>
        <w:rPr>
          <w:rFonts w:hint="eastAsia" w:ascii="仿宋_GB2312" w:hAnsi="仿宋" w:eastAsia="仿宋_GB2312"/>
          <w:sz w:val="32"/>
          <w:szCs w:val="32"/>
        </w:rPr>
        <w:t>年</w:t>
      </w:r>
      <w:r>
        <w:rPr>
          <w:rFonts w:hint="eastAsia" w:ascii="仿宋_GB2312" w:hAnsi="仿宋_GB2312" w:eastAsia="仿宋_GB2312" w:cs="仿宋_GB2312"/>
          <w:sz w:val="32"/>
          <w:szCs w:val="32"/>
        </w:rPr>
        <w:t>会议费</w:t>
      </w:r>
      <w:r>
        <w:rPr>
          <w:rFonts w:hint="eastAsia" w:ascii="仿宋_GB2312" w:hAnsi="宋体" w:eastAsia="仿宋_GB2312" w:cs="仿宋_GB2312"/>
          <w:color w:val="000000"/>
          <w:kern w:val="0"/>
          <w:sz w:val="32"/>
          <w:szCs w:val="32"/>
        </w:rPr>
        <w:t>预算为0万元，支出决算为0万元，完成预算的100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spacing w:line="560" w:lineRule="exact"/>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八、政府性基金预算财政拨款收入支出情况说明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本部门无政府性基金决算收支，并已公开空表。</w:t>
      </w:r>
    </w:p>
    <w:p>
      <w:pPr>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九、国有资本经营财政拨款收入支出情况说明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本部门无国有资本经营决算拨款收支。</w:t>
      </w:r>
    </w:p>
    <w:p>
      <w:pPr>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十、预算绩效情况说明</w:t>
      </w:r>
    </w:p>
    <w:p>
      <w:pPr>
        <w:spacing w:line="560" w:lineRule="exact"/>
        <w:ind w:left="1281" w:leftChars="304" w:hanging="643" w:hanging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（一）预算绩效管理工作开展情况说明。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color w:val="000000"/>
          <w:kern w:val="0"/>
          <w:sz w:val="31"/>
          <w:szCs w:val="31"/>
        </w:rPr>
        <w:t>我部门属</w:t>
      </w:r>
      <w:r>
        <w:rPr>
          <w:rFonts w:hint="eastAsia" w:ascii="仿宋_GB2312" w:hAnsi="仿宋" w:eastAsia="仿宋_GB2312"/>
          <w:sz w:val="32"/>
          <w:szCs w:val="32"/>
        </w:rPr>
        <w:t>2019年机构改革新成立单位，因此未编预算绩效目标。</w:t>
      </w:r>
      <w:r>
        <w:rPr>
          <w:rFonts w:hint="eastAsia" w:ascii="仿宋_GB2312" w:hAnsi="仿宋_GB2312" w:eastAsia="仿宋_GB2312" w:cs="仿宋_GB2312"/>
          <w:sz w:val="32"/>
          <w:szCs w:val="32"/>
        </w:rPr>
        <w:t>根据预算绩效管理要求，本部门组织对2019年一般公共预算项目支出全面开展绩效自评，其中，一级项目1个，二级项目0个，共涉及资金10.09万元，占一般公共预算项目支出总额的10.88%。</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部门决算中项目绩效自评结果。</w:t>
      </w:r>
    </w:p>
    <w:p>
      <w:pPr>
        <w:widowControl/>
        <w:ind w:firstLine="620" w:firstLineChars="200"/>
        <w:jc w:val="left"/>
        <w:rPr>
          <w:rFonts w:ascii="仿宋_GB2312" w:hAnsi="仿宋_GB2312" w:eastAsia="仿宋_GB2312" w:cs="仿宋_GB2312"/>
          <w:color w:val="000000"/>
          <w:kern w:val="0"/>
          <w:sz w:val="31"/>
          <w:szCs w:val="31"/>
        </w:rPr>
      </w:pPr>
      <w:r>
        <w:rPr>
          <w:rFonts w:ascii="仿宋_GB2312" w:hAnsi="仿宋_GB2312" w:eastAsia="仿宋_GB2312" w:cs="仿宋_GB2312"/>
          <w:color w:val="000000"/>
          <w:kern w:val="0"/>
          <w:sz w:val="31"/>
          <w:szCs w:val="31"/>
        </w:rPr>
        <w:t>项目绩效自评综述：</w:t>
      </w:r>
      <w:r>
        <w:rPr>
          <w:rFonts w:hint="eastAsia" w:ascii="仿宋_GB2312" w:hAnsi="仿宋_GB2312" w:eastAsia="仿宋_GB2312" w:cs="仿宋_GB2312"/>
          <w:color w:val="000000"/>
          <w:kern w:val="0"/>
          <w:sz w:val="31"/>
          <w:szCs w:val="31"/>
        </w:rPr>
        <w:t>我局属</w:t>
      </w:r>
      <w:r>
        <w:rPr>
          <w:rFonts w:hint="eastAsia" w:ascii="仿宋_GB2312" w:hAnsi="仿宋" w:eastAsia="仿宋_GB2312"/>
          <w:sz w:val="32"/>
          <w:szCs w:val="32"/>
        </w:rPr>
        <w:t>2019年机构改革新成立单位，因此未编预算绩效目标</w:t>
      </w:r>
      <w:r>
        <w:rPr>
          <w:rFonts w:ascii="仿宋_GB2312" w:hAnsi="仿宋_GB2312" w:eastAsia="仿宋_GB2312" w:cs="仿宋_GB2312"/>
          <w:color w:val="000000"/>
          <w:kern w:val="0"/>
          <w:sz w:val="31"/>
          <w:szCs w:val="31"/>
        </w:rPr>
        <w:t>，项目自评得分</w:t>
      </w:r>
      <w:r>
        <w:rPr>
          <w:rFonts w:hint="eastAsia" w:ascii="仿宋_GB2312" w:hAnsi="仿宋_GB2312" w:eastAsia="仿宋_GB2312" w:cs="仿宋_GB2312"/>
          <w:color w:val="000000"/>
          <w:kern w:val="0"/>
          <w:sz w:val="31"/>
          <w:szCs w:val="31"/>
        </w:rPr>
        <w:t>100</w:t>
      </w:r>
      <w:r>
        <w:rPr>
          <w:rFonts w:ascii="仿宋_GB2312" w:hAnsi="仿宋_GB2312" w:eastAsia="仿宋_GB2312" w:cs="仿宋_GB2312"/>
          <w:color w:val="000000"/>
          <w:kern w:val="0"/>
          <w:sz w:val="31"/>
          <w:szCs w:val="31"/>
        </w:rPr>
        <w:t>分。项目全年执行数</w:t>
      </w:r>
      <w:r>
        <w:rPr>
          <w:rFonts w:hint="eastAsia" w:ascii="仿宋_GB2312" w:hAnsi="仿宋_GB2312" w:eastAsia="仿宋_GB2312" w:cs="仿宋_GB2312"/>
          <w:color w:val="000000"/>
          <w:kern w:val="0"/>
          <w:sz w:val="31"/>
          <w:szCs w:val="31"/>
        </w:rPr>
        <w:t>10.09</w:t>
      </w:r>
      <w:r>
        <w:rPr>
          <w:rFonts w:ascii="仿宋_GB2312" w:hAnsi="仿宋_GB2312" w:eastAsia="仿宋_GB2312" w:cs="仿宋_GB2312"/>
          <w:color w:val="000000"/>
          <w:kern w:val="0"/>
          <w:sz w:val="31"/>
          <w:szCs w:val="31"/>
        </w:rPr>
        <w:t>万元，完成</w:t>
      </w:r>
      <w:r>
        <w:rPr>
          <w:rFonts w:hint="eastAsia" w:ascii="仿宋_GB2312" w:hAnsi="仿宋_GB2312" w:eastAsia="仿宋_GB2312" w:cs="仿宋_GB2312"/>
          <w:color w:val="000000"/>
          <w:kern w:val="0"/>
          <w:sz w:val="31"/>
          <w:szCs w:val="31"/>
        </w:rPr>
        <w:t>率100</w:t>
      </w:r>
      <w:r>
        <w:rPr>
          <w:rFonts w:ascii="仿宋_GB2312" w:hAnsi="仿宋_GB2312" w:eastAsia="仿宋_GB2312" w:cs="仿宋_GB2312"/>
          <w:color w:val="000000"/>
          <w:kern w:val="0"/>
          <w:sz w:val="31"/>
          <w:szCs w:val="31"/>
        </w:rPr>
        <w:t>%。主要产出和效果：</w:t>
      </w:r>
      <w:r>
        <w:rPr>
          <w:rFonts w:hint="eastAsia" w:ascii="仿宋_GB2312" w:hAnsi="仿宋_GB2312" w:eastAsia="仿宋_GB2312" w:cs="仿宋_GB2312"/>
          <w:color w:val="000000"/>
          <w:kern w:val="0"/>
          <w:sz w:val="31"/>
          <w:szCs w:val="31"/>
        </w:rPr>
        <w:t>通过实施一系列项目，促进了行政审批服务项目建设的整体进度和合理布局，不断推动审批服务高质量发展。</w:t>
      </w:r>
    </w:p>
    <w:p>
      <w:pPr>
        <w:pStyle w:val="2"/>
        <w:rPr>
          <w:color w:val="000000"/>
          <w:kern w:val="0"/>
          <w:sz w:val="31"/>
          <w:szCs w:val="31"/>
        </w:rPr>
      </w:pPr>
    </w:p>
    <w:p>
      <w:pPr>
        <w:rPr>
          <w:rFonts w:ascii="仿宋_GB2312" w:hAnsi="仿宋_GB2312" w:eastAsia="仿宋_GB2312" w:cs="仿宋_GB2312"/>
          <w:color w:val="000000"/>
          <w:kern w:val="0"/>
          <w:sz w:val="31"/>
          <w:szCs w:val="31"/>
        </w:rPr>
      </w:pPr>
      <w:r>
        <w:rPr>
          <w:rFonts w:ascii="仿宋_GB2312" w:hAnsi="仿宋_GB2312" w:eastAsia="仿宋_GB2312" w:cs="仿宋_GB2312"/>
          <w:color w:val="000000"/>
          <w:kern w:val="0"/>
          <w:sz w:val="31"/>
          <w:szCs w:val="31"/>
        </w:rPr>
        <w:br w:type="page"/>
      </w:r>
    </w:p>
    <w:p>
      <w:pPr>
        <w:rPr>
          <w:rFonts w:ascii="仿宋_GB2312" w:hAnsi="仿宋_GB2312" w:eastAsia="仿宋_GB2312" w:cs="仿宋_GB2312"/>
          <w:color w:val="000000"/>
          <w:kern w:val="0"/>
          <w:sz w:val="31"/>
          <w:szCs w:val="31"/>
        </w:rPr>
      </w:pPr>
      <w:r>
        <w:rPr>
          <w:rFonts w:ascii="楷体" w:hAnsi="楷体" w:eastAsia="楷体" w:cs="楷体"/>
          <w:sz w:val="32"/>
          <w:szCs w:val="32"/>
        </w:rPr>
        <w:drawing>
          <wp:inline distT="0" distB="0" distL="114300" distR="114300">
            <wp:extent cx="5991225" cy="6096000"/>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991225" cy="6096000"/>
                    </a:xfrm>
                    <a:prstGeom prst="rect">
                      <a:avLst/>
                    </a:prstGeom>
                    <a:noFill/>
                    <a:ln>
                      <a:noFill/>
                    </a:ln>
                  </pic:spPr>
                </pic:pic>
              </a:graphicData>
            </a:graphic>
          </wp:inline>
        </w:drawing>
      </w:r>
    </w:p>
    <w:p>
      <w:pPr>
        <w:rPr>
          <w:rFonts w:ascii="仿宋_GB2312" w:hAnsi="仿宋_GB2312" w:eastAsia="仿宋_GB2312" w:cs="仿宋_GB2312"/>
          <w:color w:val="000000"/>
          <w:kern w:val="0"/>
          <w:sz w:val="31"/>
          <w:szCs w:val="31"/>
        </w:rPr>
      </w:pPr>
    </w:p>
    <w:p>
      <w:pPr>
        <w:rPr>
          <w:rFonts w:ascii="仿宋_GB2312" w:hAnsi="仿宋_GB2312" w:eastAsia="仿宋_GB2312" w:cs="仿宋_GB2312"/>
          <w:color w:val="000000"/>
          <w:kern w:val="0"/>
          <w:sz w:val="31"/>
          <w:szCs w:val="31"/>
        </w:rPr>
        <w:sectPr>
          <w:headerReference r:id="rId3" w:type="default"/>
          <w:footerReference r:id="rId4" w:type="default"/>
          <w:pgSz w:w="11906" w:h="16838"/>
          <w:pgMar w:top="1984" w:right="1587" w:bottom="2098" w:left="1474" w:header="851" w:footer="992" w:gutter="0"/>
          <w:cols w:space="0" w:num="1"/>
          <w:docGrid w:type="lines" w:linePitch="315" w:charSpace="0"/>
        </w:sectPr>
      </w:pPr>
    </w:p>
    <w:tbl>
      <w:tblPr>
        <w:tblStyle w:val="8"/>
        <w:tblW w:w="13835" w:type="dxa"/>
        <w:jc w:val="center"/>
        <w:tblLayout w:type="fixed"/>
        <w:tblCellMar>
          <w:top w:w="0" w:type="dxa"/>
          <w:left w:w="0" w:type="dxa"/>
          <w:bottom w:w="0" w:type="dxa"/>
          <w:right w:w="0" w:type="dxa"/>
        </w:tblCellMar>
      </w:tblPr>
      <w:tblGrid>
        <w:gridCol w:w="523"/>
        <w:gridCol w:w="703"/>
        <w:gridCol w:w="569"/>
        <w:gridCol w:w="374"/>
        <w:gridCol w:w="2634"/>
        <w:gridCol w:w="3142"/>
        <w:gridCol w:w="1360"/>
        <w:gridCol w:w="690"/>
        <w:gridCol w:w="680"/>
        <w:gridCol w:w="610"/>
        <w:gridCol w:w="1360"/>
        <w:gridCol w:w="1190"/>
      </w:tblGrid>
      <w:tr>
        <w:tblPrEx>
          <w:tblCellMar>
            <w:top w:w="0" w:type="dxa"/>
            <w:left w:w="0" w:type="dxa"/>
            <w:bottom w:w="0" w:type="dxa"/>
            <w:right w:w="0" w:type="dxa"/>
          </w:tblCellMar>
        </w:tblPrEx>
        <w:trPr>
          <w:trHeight w:val="765" w:hRule="atLeast"/>
          <w:jc w:val="center"/>
        </w:trPr>
        <w:tc>
          <w:tcPr>
            <w:tcW w:w="13835" w:type="dxa"/>
            <w:gridSpan w:val="12"/>
            <w:tcBorders>
              <w:top w:val="nil"/>
              <w:left w:val="nil"/>
              <w:bottom w:val="nil"/>
              <w:right w:val="nil"/>
            </w:tcBorders>
            <w:shd w:val="clear" w:color="auto" w:fill="auto"/>
            <w:tcMar>
              <w:top w:w="10" w:type="dxa"/>
              <w:left w:w="10" w:type="dxa"/>
              <w:right w:w="10" w:type="dxa"/>
            </w:tcMar>
            <w:vAlign w:val="center"/>
          </w:tcPr>
          <w:p>
            <w:pPr>
              <w:widowControl/>
              <w:spacing w:line="340" w:lineRule="exact"/>
              <w:jc w:val="center"/>
              <w:textAlignment w:val="center"/>
              <w:rPr>
                <w:rFonts w:ascii="黑体" w:hAnsi="宋体" w:eastAsia="黑体"/>
                <w:color w:val="000000"/>
                <w:sz w:val="40"/>
                <w:szCs w:val="40"/>
              </w:rPr>
            </w:pPr>
            <w:r>
              <w:rPr>
                <w:rFonts w:hint="eastAsia" w:ascii="黑体" w:hAnsi="宋体" w:eastAsia="黑体"/>
                <w:color w:val="000000"/>
                <w:kern w:val="0"/>
                <w:sz w:val="36"/>
                <w:szCs w:val="36"/>
              </w:rPr>
              <w:t>部门整体支出绩效自评表</w:t>
            </w:r>
            <w:r>
              <w:rPr>
                <w:rFonts w:hint="eastAsia" w:ascii="黑体" w:hAnsi="宋体" w:eastAsia="黑体"/>
                <w:color w:val="000000"/>
                <w:kern w:val="0"/>
                <w:sz w:val="40"/>
                <w:szCs w:val="40"/>
              </w:rPr>
              <w:br w:type="textWrapping"/>
            </w:r>
            <w:r>
              <w:rPr>
                <w:rStyle w:val="17"/>
                <w:rFonts w:hint="default"/>
              </w:rPr>
              <w:t>（2019年度）</w:t>
            </w:r>
          </w:p>
        </w:tc>
      </w:tr>
      <w:tr>
        <w:tblPrEx>
          <w:tblCellMar>
            <w:top w:w="0" w:type="dxa"/>
            <w:left w:w="0" w:type="dxa"/>
            <w:bottom w:w="0" w:type="dxa"/>
            <w:right w:w="0" w:type="dxa"/>
          </w:tblCellMar>
        </w:tblPrEx>
        <w:trPr>
          <w:trHeight w:val="450" w:hRule="atLeast"/>
          <w:jc w:val="center"/>
        </w:trPr>
        <w:tc>
          <w:tcPr>
            <w:tcW w:w="4803" w:type="dxa"/>
            <w:gridSpan w:val="5"/>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填报单位:杨陵区行政审批服务局</w:t>
            </w:r>
          </w:p>
        </w:tc>
        <w:tc>
          <w:tcPr>
            <w:tcW w:w="3142" w:type="dxa"/>
            <w:tcBorders>
              <w:top w:val="nil"/>
              <w:left w:val="nil"/>
              <w:bottom w:val="nil"/>
              <w:right w:val="nil"/>
            </w:tcBorders>
            <w:shd w:val="clear" w:color="auto" w:fill="auto"/>
            <w:tcMar>
              <w:top w:w="10" w:type="dxa"/>
              <w:left w:w="10" w:type="dxa"/>
              <w:right w:w="10"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自评得分：97</w:t>
            </w:r>
          </w:p>
        </w:tc>
        <w:tc>
          <w:tcPr>
            <w:tcW w:w="1360" w:type="dxa"/>
            <w:tcBorders>
              <w:top w:val="nil"/>
              <w:left w:val="nil"/>
              <w:bottom w:val="nil"/>
              <w:right w:val="nil"/>
            </w:tcBorders>
            <w:shd w:val="clear" w:color="auto" w:fill="auto"/>
            <w:tcMar>
              <w:top w:w="10" w:type="dxa"/>
              <w:left w:w="10" w:type="dxa"/>
              <w:right w:w="10" w:type="dxa"/>
            </w:tcMar>
            <w:vAlign w:val="center"/>
          </w:tcPr>
          <w:p>
            <w:pPr>
              <w:jc w:val="center"/>
              <w:rPr>
                <w:rFonts w:ascii="仿宋_GB2312" w:hAnsi="宋体" w:eastAsia="仿宋_GB2312" w:cs="仿宋_GB2312"/>
                <w:color w:val="000000"/>
                <w:sz w:val="24"/>
              </w:rPr>
            </w:pPr>
          </w:p>
        </w:tc>
        <w:tc>
          <w:tcPr>
            <w:tcW w:w="690" w:type="dxa"/>
            <w:tcBorders>
              <w:top w:val="nil"/>
              <w:left w:val="nil"/>
              <w:bottom w:val="nil"/>
              <w:right w:val="nil"/>
            </w:tcBorders>
            <w:shd w:val="clear" w:color="auto" w:fill="auto"/>
            <w:tcMar>
              <w:top w:w="10" w:type="dxa"/>
              <w:left w:w="10" w:type="dxa"/>
              <w:right w:w="10" w:type="dxa"/>
            </w:tcMar>
            <w:vAlign w:val="center"/>
          </w:tcPr>
          <w:p>
            <w:pPr>
              <w:jc w:val="center"/>
              <w:rPr>
                <w:rFonts w:ascii="仿宋_GB2312" w:hAnsi="宋体" w:eastAsia="仿宋_GB2312" w:cs="仿宋_GB2312"/>
                <w:color w:val="000000"/>
                <w:sz w:val="24"/>
              </w:rPr>
            </w:pPr>
          </w:p>
        </w:tc>
        <w:tc>
          <w:tcPr>
            <w:tcW w:w="680" w:type="dxa"/>
            <w:tcBorders>
              <w:top w:val="nil"/>
              <w:left w:val="nil"/>
              <w:bottom w:val="nil"/>
              <w:right w:val="nil"/>
            </w:tcBorders>
            <w:shd w:val="clear" w:color="auto" w:fill="auto"/>
            <w:tcMar>
              <w:top w:w="10" w:type="dxa"/>
              <w:left w:w="10" w:type="dxa"/>
              <w:right w:w="10" w:type="dxa"/>
            </w:tcMar>
            <w:vAlign w:val="center"/>
          </w:tcPr>
          <w:p>
            <w:pPr>
              <w:jc w:val="center"/>
              <w:rPr>
                <w:rFonts w:ascii="仿宋_GB2312" w:hAnsi="宋体" w:eastAsia="仿宋_GB2312" w:cs="仿宋_GB2312"/>
                <w:color w:val="000000"/>
                <w:sz w:val="24"/>
              </w:rPr>
            </w:pPr>
          </w:p>
        </w:tc>
        <w:tc>
          <w:tcPr>
            <w:tcW w:w="610" w:type="dxa"/>
            <w:tcBorders>
              <w:top w:val="nil"/>
              <w:left w:val="nil"/>
              <w:bottom w:val="nil"/>
              <w:right w:val="nil"/>
            </w:tcBorders>
            <w:shd w:val="clear" w:color="auto" w:fill="auto"/>
            <w:tcMar>
              <w:top w:w="10" w:type="dxa"/>
              <w:left w:w="10" w:type="dxa"/>
              <w:right w:w="10" w:type="dxa"/>
            </w:tcMar>
            <w:vAlign w:val="center"/>
          </w:tcPr>
          <w:p>
            <w:pPr>
              <w:jc w:val="center"/>
              <w:rPr>
                <w:rFonts w:ascii="仿宋_GB2312" w:hAnsi="宋体" w:eastAsia="仿宋_GB2312" w:cs="仿宋_GB2312"/>
                <w:color w:val="000000"/>
                <w:sz w:val="24"/>
              </w:rPr>
            </w:pPr>
          </w:p>
        </w:tc>
        <w:tc>
          <w:tcPr>
            <w:tcW w:w="1360" w:type="dxa"/>
            <w:tcBorders>
              <w:top w:val="nil"/>
              <w:left w:val="nil"/>
              <w:bottom w:val="nil"/>
              <w:right w:val="nil"/>
            </w:tcBorders>
            <w:shd w:val="clear" w:color="auto" w:fill="auto"/>
            <w:noWrap/>
            <w:tcMar>
              <w:top w:w="10" w:type="dxa"/>
              <w:left w:w="10" w:type="dxa"/>
              <w:right w:w="10" w:type="dxa"/>
            </w:tcMar>
            <w:vAlign w:val="center"/>
          </w:tcPr>
          <w:p>
            <w:pPr>
              <w:rPr>
                <w:rFonts w:ascii="宋体" w:hAnsi="宋体" w:cs="宋体"/>
                <w:color w:val="000000"/>
                <w:sz w:val="24"/>
              </w:rPr>
            </w:pPr>
          </w:p>
        </w:tc>
        <w:tc>
          <w:tcPr>
            <w:tcW w:w="1190" w:type="dxa"/>
            <w:tcBorders>
              <w:top w:val="nil"/>
              <w:left w:val="nil"/>
              <w:bottom w:val="nil"/>
              <w:right w:val="nil"/>
            </w:tcBorders>
            <w:shd w:val="clear" w:color="auto" w:fill="auto"/>
            <w:noWrap/>
            <w:tcMar>
              <w:top w:w="10" w:type="dxa"/>
              <w:left w:w="10" w:type="dxa"/>
              <w:right w:w="10"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1500" w:hRule="atLeast"/>
          <w:jc w:val="center"/>
        </w:trPr>
        <w:tc>
          <w:tcPr>
            <w:tcW w:w="4803"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rPr>
              <w:t>（一）简要概述部门职能与职责。</w:t>
            </w:r>
          </w:p>
        </w:tc>
        <w:tc>
          <w:tcPr>
            <w:tcW w:w="9032"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textAlignment w:val="center"/>
              <w:rPr>
                <w:rFonts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rPr>
              <w:t>贯彻执行《行政许可法》和相关法律法规，落实行政审批制度改革政策,协调相关部门对区级行政许可(审批)事项和政务服务事项清单进行动态调整和承接，推动“放管服”改革工作。 负责集中办理投资项目、市场管理、社会事务、住建交通城管、生态环境、应急管理、农林水务等方面行政审批事项的办理和政务服务，组织有关部门进行踏勘验收、技术论证和社会听证工作，并对行为结果和行政性收费承担相应法律责任。负责对行政审批、政务服务事项进行流程再造，环节优化、压缩时限，并对办理情况进行跟踪督办;协调有关部门解决行政审批、政务服务事项办理中存在的相关问题。负贵网上办事大厅和实体大厅“线上线下”政务服务平台的建设和管理工作;负责中介服务机构办理事项的规范、管理和监督。</w:t>
            </w:r>
          </w:p>
        </w:tc>
      </w:tr>
      <w:tr>
        <w:tblPrEx>
          <w:tblCellMar>
            <w:top w:w="0" w:type="dxa"/>
            <w:left w:w="0" w:type="dxa"/>
            <w:bottom w:w="0" w:type="dxa"/>
            <w:right w:w="0" w:type="dxa"/>
          </w:tblCellMar>
        </w:tblPrEx>
        <w:trPr>
          <w:trHeight w:val="520" w:hRule="atLeast"/>
          <w:jc w:val="center"/>
        </w:trPr>
        <w:tc>
          <w:tcPr>
            <w:tcW w:w="4803"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rPr>
              <w:t>（二）简要概述部门支出情况，按活动内容分类。</w:t>
            </w:r>
          </w:p>
        </w:tc>
        <w:tc>
          <w:tcPr>
            <w:tcW w:w="9032"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textAlignment w:val="center"/>
              <w:rPr>
                <w:rFonts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rPr>
              <w:t>2019年部门支出合计92.70万元。其中：工资福利支出79.38万元，占85.63%；商品和服务支出8.66万元，占9.34%；对个人和家庭的补助0.04万元，占0.04%；资本性支出4.63万元，占4.99%。</w:t>
            </w:r>
          </w:p>
        </w:tc>
      </w:tr>
      <w:tr>
        <w:tblPrEx>
          <w:tblCellMar>
            <w:top w:w="0" w:type="dxa"/>
            <w:left w:w="0" w:type="dxa"/>
            <w:bottom w:w="0" w:type="dxa"/>
            <w:right w:w="0" w:type="dxa"/>
          </w:tblCellMar>
        </w:tblPrEx>
        <w:trPr>
          <w:trHeight w:val="290" w:hRule="atLeast"/>
          <w:jc w:val="center"/>
        </w:trPr>
        <w:tc>
          <w:tcPr>
            <w:tcW w:w="4803"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rPr>
              <w:t>（三）简要概述当年省委省政府下达的重点工作。</w:t>
            </w:r>
          </w:p>
        </w:tc>
        <w:tc>
          <w:tcPr>
            <w:tcW w:w="9032"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rPr>
                <w:rFonts w:ascii="仿宋_GB2312" w:hAnsi="宋体" w:eastAsia="仿宋_GB2312" w:cs="仿宋_GB2312"/>
                <w:color w:val="000000"/>
                <w:sz w:val="16"/>
                <w:szCs w:val="16"/>
              </w:rPr>
            </w:pPr>
          </w:p>
        </w:tc>
      </w:tr>
      <w:tr>
        <w:tblPrEx>
          <w:tblCellMar>
            <w:top w:w="0" w:type="dxa"/>
            <w:left w:w="0" w:type="dxa"/>
            <w:bottom w:w="0" w:type="dxa"/>
            <w:right w:w="0" w:type="dxa"/>
          </w:tblCellMar>
        </w:tblPrEx>
        <w:trPr>
          <w:trHeight w:val="505"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b/>
                <w:color w:val="000000"/>
                <w:sz w:val="16"/>
                <w:szCs w:val="16"/>
              </w:rPr>
            </w:pPr>
            <w:r>
              <w:rPr>
                <w:rFonts w:hint="eastAsia" w:ascii="楷体_GB2312" w:hAnsi="宋体" w:eastAsia="楷体_GB2312" w:cs="楷体_GB2312"/>
                <w:b/>
                <w:color w:val="000000"/>
                <w:kern w:val="0"/>
                <w:sz w:val="16"/>
                <w:szCs w:val="16"/>
              </w:rPr>
              <w:t>一级</w:t>
            </w:r>
            <w:r>
              <w:rPr>
                <w:rFonts w:hint="eastAsia" w:ascii="楷体_GB2312" w:hAnsi="宋体" w:eastAsia="楷体_GB2312" w:cs="楷体_GB2312"/>
                <w:b/>
                <w:color w:val="000000"/>
                <w:kern w:val="0"/>
                <w:sz w:val="16"/>
                <w:szCs w:val="16"/>
              </w:rPr>
              <w:br w:type="textWrapping"/>
            </w:r>
            <w:r>
              <w:rPr>
                <w:rFonts w:hint="eastAsia" w:ascii="楷体_GB2312" w:hAnsi="宋体" w:eastAsia="楷体_GB2312" w:cs="楷体_GB2312"/>
                <w:b/>
                <w:color w:val="000000"/>
                <w:kern w:val="0"/>
                <w:sz w:val="16"/>
                <w:szCs w:val="16"/>
              </w:rPr>
              <w:t>指标</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b/>
                <w:color w:val="000000"/>
                <w:sz w:val="16"/>
                <w:szCs w:val="16"/>
              </w:rPr>
            </w:pPr>
            <w:r>
              <w:rPr>
                <w:rFonts w:hint="eastAsia" w:ascii="楷体_GB2312" w:hAnsi="宋体" w:eastAsia="楷体_GB2312" w:cs="楷体_GB2312"/>
                <w:b/>
                <w:color w:val="000000"/>
                <w:kern w:val="0"/>
                <w:sz w:val="16"/>
                <w:szCs w:val="16"/>
              </w:rPr>
              <w:t>二级</w:t>
            </w:r>
            <w:r>
              <w:rPr>
                <w:rFonts w:hint="eastAsia" w:ascii="楷体_GB2312" w:hAnsi="宋体" w:eastAsia="楷体_GB2312" w:cs="楷体_GB2312"/>
                <w:b/>
                <w:color w:val="000000"/>
                <w:kern w:val="0"/>
                <w:sz w:val="16"/>
                <w:szCs w:val="16"/>
              </w:rPr>
              <w:br w:type="textWrapping"/>
            </w:r>
            <w:r>
              <w:rPr>
                <w:rFonts w:hint="eastAsia" w:ascii="楷体_GB2312" w:hAnsi="宋体" w:eastAsia="楷体_GB2312" w:cs="楷体_GB2312"/>
                <w:b/>
                <w:color w:val="000000"/>
                <w:kern w:val="0"/>
                <w:sz w:val="16"/>
                <w:szCs w:val="16"/>
              </w:rPr>
              <w:t>指标</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b/>
                <w:color w:val="000000"/>
                <w:sz w:val="16"/>
                <w:szCs w:val="16"/>
              </w:rPr>
            </w:pPr>
            <w:r>
              <w:rPr>
                <w:rFonts w:hint="eastAsia" w:ascii="楷体_GB2312" w:hAnsi="宋体" w:eastAsia="楷体_GB2312" w:cs="楷体_GB2312"/>
                <w:b/>
                <w:color w:val="000000"/>
                <w:kern w:val="0"/>
                <w:sz w:val="16"/>
                <w:szCs w:val="16"/>
              </w:rPr>
              <w:t>三级指标</w:t>
            </w:r>
          </w:p>
        </w:tc>
        <w:tc>
          <w:tcPr>
            <w:tcW w:w="3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b/>
                <w:color w:val="000000"/>
                <w:sz w:val="16"/>
                <w:szCs w:val="16"/>
              </w:rPr>
            </w:pPr>
            <w:r>
              <w:rPr>
                <w:rFonts w:hint="eastAsia" w:ascii="楷体_GB2312" w:hAnsi="宋体" w:eastAsia="楷体_GB2312" w:cs="楷体_GB2312"/>
                <w:b/>
                <w:color w:val="000000"/>
                <w:kern w:val="0"/>
                <w:sz w:val="16"/>
                <w:szCs w:val="16"/>
              </w:rPr>
              <w:t>分值</w:t>
            </w:r>
          </w:p>
        </w:tc>
        <w:tc>
          <w:tcPr>
            <w:tcW w:w="26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b/>
                <w:color w:val="000000"/>
                <w:sz w:val="16"/>
                <w:szCs w:val="16"/>
              </w:rPr>
            </w:pPr>
            <w:r>
              <w:rPr>
                <w:rFonts w:hint="eastAsia" w:ascii="楷体_GB2312" w:hAnsi="宋体" w:eastAsia="楷体_GB2312" w:cs="楷体_GB2312"/>
                <w:b/>
                <w:color w:val="000000"/>
                <w:kern w:val="0"/>
                <w:sz w:val="16"/>
                <w:szCs w:val="16"/>
              </w:rPr>
              <w:t>指标说明</w:t>
            </w:r>
          </w:p>
        </w:tc>
        <w:tc>
          <w:tcPr>
            <w:tcW w:w="31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b/>
                <w:color w:val="000000"/>
                <w:sz w:val="16"/>
                <w:szCs w:val="16"/>
              </w:rPr>
            </w:pPr>
            <w:r>
              <w:rPr>
                <w:rFonts w:hint="eastAsia" w:ascii="楷体_GB2312" w:hAnsi="宋体" w:eastAsia="楷体_GB2312" w:cs="楷体_GB2312"/>
                <w:b/>
                <w:color w:val="000000"/>
                <w:kern w:val="0"/>
                <w:sz w:val="16"/>
                <w:szCs w:val="16"/>
              </w:rPr>
              <w:t>评分标准</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b/>
                <w:color w:val="000000"/>
                <w:sz w:val="16"/>
                <w:szCs w:val="16"/>
              </w:rPr>
            </w:pPr>
            <w:r>
              <w:rPr>
                <w:rFonts w:hint="eastAsia" w:ascii="楷体_GB2312" w:hAnsi="宋体" w:eastAsia="楷体_GB2312" w:cs="楷体_GB2312"/>
                <w:b/>
                <w:color w:val="000000"/>
                <w:kern w:val="0"/>
                <w:sz w:val="16"/>
                <w:szCs w:val="16"/>
              </w:rPr>
              <w:t>指标值计算公式和数据获取方式</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b/>
                <w:color w:val="000000"/>
                <w:sz w:val="16"/>
                <w:szCs w:val="16"/>
              </w:rPr>
            </w:pPr>
            <w:r>
              <w:rPr>
                <w:rFonts w:hint="eastAsia" w:ascii="楷体_GB2312" w:hAnsi="宋体" w:eastAsia="楷体_GB2312" w:cs="楷体_GB2312"/>
                <w:b/>
                <w:color w:val="000000"/>
                <w:kern w:val="0"/>
                <w:sz w:val="16"/>
                <w:szCs w:val="16"/>
              </w:rPr>
              <w:t>年初目标值</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b/>
                <w:color w:val="000000"/>
                <w:sz w:val="16"/>
                <w:szCs w:val="16"/>
              </w:rPr>
            </w:pPr>
            <w:r>
              <w:rPr>
                <w:rFonts w:hint="eastAsia" w:ascii="楷体_GB2312" w:hAnsi="宋体" w:eastAsia="楷体_GB2312" w:cs="楷体_GB2312"/>
                <w:b/>
                <w:color w:val="000000"/>
                <w:kern w:val="0"/>
                <w:sz w:val="16"/>
                <w:szCs w:val="16"/>
              </w:rPr>
              <w:t>实际完成值</w:t>
            </w:r>
          </w:p>
        </w:tc>
        <w:tc>
          <w:tcPr>
            <w:tcW w:w="6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b/>
                <w:color w:val="000000"/>
                <w:sz w:val="16"/>
                <w:szCs w:val="16"/>
              </w:rPr>
            </w:pPr>
            <w:r>
              <w:rPr>
                <w:rFonts w:hint="eastAsia" w:ascii="楷体_GB2312" w:hAnsi="宋体" w:eastAsia="楷体_GB2312" w:cs="楷体_GB2312"/>
                <w:b/>
                <w:color w:val="000000"/>
                <w:kern w:val="0"/>
                <w:sz w:val="16"/>
                <w:szCs w:val="16"/>
              </w:rPr>
              <w:t>得分</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仿宋_GB2312" w:hAnsi="宋体" w:eastAsia="仿宋_GB2312" w:cs="仿宋_GB2312"/>
                <w:b/>
                <w:color w:val="000000"/>
                <w:sz w:val="16"/>
                <w:szCs w:val="16"/>
              </w:rPr>
            </w:pPr>
            <w:r>
              <w:rPr>
                <w:rFonts w:hint="eastAsia" w:ascii="仿宋_GB2312" w:hAnsi="宋体" w:eastAsia="仿宋_GB2312" w:cs="仿宋_GB2312"/>
                <w:b/>
                <w:color w:val="000000"/>
                <w:kern w:val="0"/>
                <w:sz w:val="16"/>
                <w:szCs w:val="16"/>
              </w:rPr>
              <w:t>未完成原因分析与改进措施</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仿宋_GB2312" w:hAnsi="宋体" w:eastAsia="仿宋_GB2312" w:cs="仿宋_GB2312"/>
                <w:b/>
                <w:color w:val="000000"/>
                <w:sz w:val="16"/>
                <w:szCs w:val="16"/>
              </w:rPr>
            </w:pPr>
            <w:r>
              <w:rPr>
                <w:rFonts w:hint="eastAsia" w:ascii="仿宋_GB2312" w:hAnsi="宋体" w:eastAsia="仿宋_GB2312" w:cs="仿宋_GB2312"/>
                <w:b/>
                <w:color w:val="000000"/>
                <w:kern w:val="0"/>
                <w:sz w:val="16"/>
                <w:szCs w:val="16"/>
              </w:rPr>
              <w:t>绩效指标分析与建议</w:t>
            </w:r>
          </w:p>
        </w:tc>
      </w:tr>
      <w:tr>
        <w:tblPrEx>
          <w:tblCellMar>
            <w:top w:w="0" w:type="dxa"/>
            <w:left w:w="0" w:type="dxa"/>
            <w:bottom w:w="0" w:type="dxa"/>
            <w:right w:w="0" w:type="dxa"/>
          </w:tblCellMar>
        </w:tblPrEx>
        <w:trPr>
          <w:trHeight w:val="1640" w:hRule="atLeast"/>
          <w:jc w:val="center"/>
        </w:trPr>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textDirection w:val="tbRlV"/>
            <w:vAlign w:val="center"/>
          </w:tcPr>
          <w:p>
            <w:pPr>
              <w:widowControl/>
              <w:spacing w:line="240" w:lineRule="exact"/>
              <w:jc w:val="center"/>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投入</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预算执行（25分）</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预算</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完成率</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（10分）</w:t>
            </w:r>
          </w:p>
        </w:tc>
        <w:tc>
          <w:tcPr>
            <w:tcW w:w="3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10</w:t>
            </w:r>
          </w:p>
        </w:tc>
        <w:tc>
          <w:tcPr>
            <w:tcW w:w="26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预算完成率=（预算完成数/预算数）×100%，用以反映和考核部门（单位）预算完成程度。</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预算完成数：部门（单位）本年度实际完成的预算数。</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预算数：财政部门批复的本年度部门（单位）预算数。</w:t>
            </w:r>
          </w:p>
        </w:tc>
        <w:tc>
          <w:tcPr>
            <w:tcW w:w="31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预算完成率＝100%的，得10分。</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预算完成率≥95%的，得9分。</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预算完成率在90%（含）和95%之间，得8分。</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预算完成率在85%（含）和90%之间，得7分。</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预算完成率在80%（含）和85%之间，得6分。</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预算完成率在70%（含）和80%之间，得4分。</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预算完成率＜70%的，得0分。</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获取方式：2019年部门决算数据</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rPr>
                <w:rFonts w:ascii="楷体_GB2312" w:hAnsi="宋体" w:eastAsia="楷体_GB2312" w:cs="楷体_GB2312"/>
                <w:color w:val="000000"/>
                <w:sz w:val="16"/>
                <w:szCs w:val="16"/>
              </w:rPr>
            </w:pPr>
            <w:r>
              <w:rPr>
                <w:rFonts w:hint="eastAsia" w:ascii="楷体_GB2312" w:hAnsi="宋体" w:eastAsia="楷体_GB2312" w:cs="楷体_GB2312"/>
                <w:color w:val="000000"/>
                <w:sz w:val="16"/>
                <w:szCs w:val="16"/>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≥95%</w:t>
            </w:r>
          </w:p>
        </w:tc>
        <w:tc>
          <w:tcPr>
            <w:tcW w:w="6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9</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rPr>
                <w:rFonts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rPr>
              <w:t>本部门为2019年3月机构改革时新成立单位，人大已完成全区预算批复，本部门无2019年预算。</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rPr>
                <w:rFonts w:ascii="仿宋_GB2312" w:hAnsi="宋体" w:eastAsia="仿宋_GB2312" w:cs="仿宋_GB2312"/>
                <w:color w:val="000000"/>
                <w:sz w:val="16"/>
                <w:szCs w:val="16"/>
              </w:rPr>
            </w:pPr>
          </w:p>
        </w:tc>
      </w:tr>
      <w:tr>
        <w:tblPrEx>
          <w:tblCellMar>
            <w:top w:w="0" w:type="dxa"/>
            <w:left w:w="0" w:type="dxa"/>
            <w:bottom w:w="0" w:type="dxa"/>
            <w:right w:w="0" w:type="dxa"/>
          </w:tblCellMar>
        </w:tblPrEx>
        <w:trPr>
          <w:trHeight w:val="90"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textDirection w:val="tbRlV"/>
            <w:vAlign w:val="center"/>
          </w:tcPr>
          <w:p>
            <w:pPr>
              <w:widowControl/>
              <w:spacing w:line="240" w:lineRule="exact"/>
              <w:jc w:val="center"/>
              <w:rPr>
                <w:rFonts w:ascii="楷体_GB2312" w:hAnsi="宋体" w:eastAsia="楷体_GB2312" w:cs="楷体_GB2312"/>
                <w:color w:val="000000"/>
                <w:sz w:val="16"/>
                <w:szCs w:val="16"/>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rPr>
                <w:rFonts w:ascii="楷体_GB2312" w:hAnsi="宋体" w:eastAsia="楷体_GB2312" w:cs="楷体_GB2312"/>
                <w:color w:val="000000"/>
                <w:sz w:val="16"/>
                <w:szCs w:val="16"/>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预算调整率</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（5分）</w:t>
            </w:r>
          </w:p>
        </w:tc>
        <w:tc>
          <w:tcPr>
            <w:tcW w:w="3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5</w:t>
            </w:r>
          </w:p>
        </w:tc>
        <w:tc>
          <w:tcPr>
            <w:tcW w:w="26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预算调整率=（预算调整数/预算数）×100%，用以反映和考核部门（单位）预算的调整程度。</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预算调整数：部门（单位）在本年度内涉及预算的追加、追减或结构调整的资金总和（因落实国家政策、发生不可抗力、上级部门或本级党委政府临时交办而产生的调整除外）。</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预算包括一般公共预算与政府性基金预算。</w:t>
            </w:r>
          </w:p>
        </w:tc>
        <w:tc>
          <w:tcPr>
            <w:tcW w:w="31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预算调整率绝对值≤5%，得5分。</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预算调整率绝对值＞5%的，每增加0.1个百分点扣0.1分，扣完为止。</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获取方式：2019年部门决算数据</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rPr>
                <w:rFonts w:ascii="楷体_GB2312" w:hAnsi="宋体" w:eastAsia="楷体_GB2312" w:cs="楷体_GB2312"/>
                <w:color w:val="000000"/>
                <w:sz w:val="16"/>
                <w:szCs w:val="16"/>
              </w:rPr>
            </w:pPr>
            <w:r>
              <w:rPr>
                <w:rFonts w:hint="eastAsia" w:ascii="楷体_GB2312" w:hAnsi="宋体" w:eastAsia="楷体_GB2312" w:cs="楷体_GB2312"/>
                <w:color w:val="000000"/>
                <w:sz w:val="16"/>
                <w:szCs w:val="16"/>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＞5%</w:t>
            </w:r>
          </w:p>
        </w:tc>
        <w:tc>
          <w:tcPr>
            <w:tcW w:w="6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4</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textAlignment w:val="center"/>
              <w:rPr>
                <w:rFonts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rPr>
              <w:t>原因是：本部门为2019年3月机构改革时新成立单位，人大已完成全区预算批复，本部门无2019年预算。</w:t>
            </w:r>
            <w:r>
              <w:rPr>
                <w:rFonts w:hint="eastAsia" w:ascii="仿宋_GB2312" w:hAnsi="宋体" w:eastAsia="仿宋_GB2312" w:cs="仿宋_GB2312"/>
                <w:color w:val="000000"/>
                <w:kern w:val="0"/>
                <w:sz w:val="16"/>
                <w:szCs w:val="16"/>
              </w:rPr>
              <w:br w:type="textWrapping"/>
            </w:r>
            <w:r>
              <w:rPr>
                <w:rFonts w:hint="eastAsia" w:ascii="仿宋_GB2312" w:hAnsi="宋体" w:eastAsia="仿宋_GB2312" w:cs="仿宋_GB2312"/>
                <w:color w:val="000000"/>
                <w:kern w:val="0"/>
                <w:sz w:val="16"/>
                <w:szCs w:val="16"/>
              </w:rPr>
              <w:t>改进措施：提高部门预算编制的科学性。</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textAlignment w:val="center"/>
              <w:rPr>
                <w:rFonts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rPr>
              <w:t>组织培训学习，提高预算编制精准度。</w:t>
            </w:r>
          </w:p>
        </w:tc>
      </w:tr>
      <w:tr>
        <w:tblPrEx>
          <w:tblCellMar>
            <w:top w:w="0" w:type="dxa"/>
            <w:left w:w="0" w:type="dxa"/>
            <w:bottom w:w="0" w:type="dxa"/>
            <w:right w:w="0" w:type="dxa"/>
          </w:tblCellMar>
        </w:tblPrEx>
        <w:trPr>
          <w:trHeight w:val="980"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b/>
                <w:color w:val="000000"/>
                <w:sz w:val="16"/>
                <w:szCs w:val="16"/>
              </w:rPr>
            </w:pPr>
            <w:r>
              <w:rPr>
                <w:rFonts w:hint="eastAsia" w:ascii="楷体_GB2312" w:hAnsi="宋体" w:eastAsia="楷体_GB2312" w:cs="楷体_GB2312"/>
                <w:b/>
                <w:color w:val="000000"/>
                <w:kern w:val="0"/>
                <w:sz w:val="16"/>
                <w:szCs w:val="16"/>
              </w:rPr>
              <w:t>一级</w:t>
            </w:r>
            <w:r>
              <w:rPr>
                <w:rFonts w:hint="eastAsia" w:ascii="楷体_GB2312" w:hAnsi="宋体" w:eastAsia="楷体_GB2312" w:cs="楷体_GB2312"/>
                <w:b/>
                <w:color w:val="000000"/>
                <w:kern w:val="0"/>
                <w:sz w:val="16"/>
                <w:szCs w:val="16"/>
              </w:rPr>
              <w:br w:type="textWrapping"/>
            </w:r>
            <w:r>
              <w:rPr>
                <w:rFonts w:hint="eastAsia" w:ascii="楷体_GB2312" w:hAnsi="宋体" w:eastAsia="楷体_GB2312" w:cs="楷体_GB2312"/>
                <w:b/>
                <w:color w:val="000000"/>
                <w:kern w:val="0"/>
                <w:sz w:val="16"/>
                <w:szCs w:val="16"/>
              </w:rPr>
              <w:t>指标</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b/>
                <w:color w:val="000000"/>
                <w:sz w:val="16"/>
                <w:szCs w:val="16"/>
              </w:rPr>
            </w:pPr>
            <w:r>
              <w:rPr>
                <w:rFonts w:hint="eastAsia" w:ascii="楷体_GB2312" w:hAnsi="宋体" w:eastAsia="楷体_GB2312" w:cs="楷体_GB2312"/>
                <w:b/>
                <w:color w:val="000000"/>
                <w:kern w:val="0"/>
                <w:sz w:val="16"/>
                <w:szCs w:val="16"/>
              </w:rPr>
              <w:t>二级</w:t>
            </w:r>
            <w:r>
              <w:rPr>
                <w:rFonts w:hint="eastAsia" w:ascii="楷体_GB2312" w:hAnsi="宋体" w:eastAsia="楷体_GB2312" w:cs="楷体_GB2312"/>
                <w:b/>
                <w:color w:val="000000"/>
                <w:kern w:val="0"/>
                <w:sz w:val="16"/>
                <w:szCs w:val="16"/>
              </w:rPr>
              <w:br w:type="textWrapping"/>
            </w:r>
            <w:r>
              <w:rPr>
                <w:rFonts w:hint="eastAsia" w:ascii="楷体_GB2312" w:hAnsi="宋体" w:eastAsia="楷体_GB2312" w:cs="楷体_GB2312"/>
                <w:b/>
                <w:color w:val="000000"/>
                <w:kern w:val="0"/>
                <w:sz w:val="16"/>
                <w:szCs w:val="16"/>
              </w:rPr>
              <w:t>指标</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b/>
                <w:color w:val="000000"/>
                <w:sz w:val="16"/>
                <w:szCs w:val="16"/>
              </w:rPr>
            </w:pPr>
            <w:r>
              <w:rPr>
                <w:rFonts w:hint="eastAsia" w:ascii="楷体_GB2312" w:hAnsi="宋体" w:eastAsia="楷体_GB2312" w:cs="楷体_GB2312"/>
                <w:b/>
                <w:color w:val="000000"/>
                <w:kern w:val="0"/>
                <w:sz w:val="16"/>
                <w:szCs w:val="16"/>
              </w:rPr>
              <w:t>三级指标</w:t>
            </w:r>
          </w:p>
        </w:tc>
        <w:tc>
          <w:tcPr>
            <w:tcW w:w="3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b/>
                <w:color w:val="000000"/>
                <w:sz w:val="16"/>
                <w:szCs w:val="16"/>
              </w:rPr>
            </w:pPr>
            <w:r>
              <w:rPr>
                <w:rFonts w:hint="eastAsia" w:ascii="楷体_GB2312" w:hAnsi="宋体" w:eastAsia="楷体_GB2312" w:cs="楷体_GB2312"/>
                <w:b/>
                <w:color w:val="000000"/>
                <w:kern w:val="0"/>
                <w:sz w:val="16"/>
                <w:szCs w:val="16"/>
              </w:rPr>
              <w:t>分值</w:t>
            </w:r>
          </w:p>
        </w:tc>
        <w:tc>
          <w:tcPr>
            <w:tcW w:w="26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b/>
                <w:color w:val="000000"/>
                <w:sz w:val="16"/>
                <w:szCs w:val="16"/>
              </w:rPr>
            </w:pPr>
            <w:r>
              <w:rPr>
                <w:rFonts w:hint="eastAsia" w:ascii="楷体_GB2312" w:hAnsi="宋体" w:eastAsia="楷体_GB2312" w:cs="楷体_GB2312"/>
                <w:b/>
                <w:color w:val="000000"/>
                <w:kern w:val="0"/>
                <w:sz w:val="16"/>
                <w:szCs w:val="16"/>
              </w:rPr>
              <w:t>指标说明</w:t>
            </w:r>
          </w:p>
        </w:tc>
        <w:tc>
          <w:tcPr>
            <w:tcW w:w="31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b/>
                <w:color w:val="000000"/>
                <w:sz w:val="16"/>
                <w:szCs w:val="16"/>
              </w:rPr>
            </w:pPr>
            <w:r>
              <w:rPr>
                <w:rFonts w:hint="eastAsia" w:ascii="楷体_GB2312" w:hAnsi="宋体" w:eastAsia="楷体_GB2312" w:cs="楷体_GB2312"/>
                <w:b/>
                <w:color w:val="000000"/>
                <w:kern w:val="0"/>
                <w:sz w:val="16"/>
                <w:szCs w:val="16"/>
              </w:rPr>
              <w:t>评分标准</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b/>
                <w:color w:val="000000"/>
                <w:sz w:val="16"/>
                <w:szCs w:val="16"/>
              </w:rPr>
            </w:pPr>
            <w:r>
              <w:rPr>
                <w:rFonts w:hint="eastAsia" w:ascii="楷体_GB2312" w:hAnsi="宋体" w:eastAsia="楷体_GB2312" w:cs="楷体_GB2312"/>
                <w:b/>
                <w:color w:val="000000"/>
                <w:kern w:val="0"/>
                <w:sz w:val="16"/>
                <w:szCs w:val="16"/>
              </w:rPr>
              <w:t>指标值计算公式和数据获取方式</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b/>
                <w:color w:val="000000"/>
                <w:sz w:val="16"/>
                <w:szCs w:val="16"/>
              </w:rPr>
            </w:pPr>
            <w:r>
              <w:rPr>
                <w:rFonts w:hint="eastAsia" w:ascii="楷体_GB2312" w:hAnsi="宋体" w:eastAsia="楷体_GB2312" w:cs="楷体_GB2312"/>
                <w:b/>
                <w:color w:val="000000"/>
                <w:kern w:val="0"/>
                <w:sz w:val="16"/>
                <w:szCs w:val="16"/>
              </w:rPr>
              <w:t>年初目标值</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b/>
                <w:color w:val="000000"/>
                <w:sz w:val="16"/>
                <w:szCs w:val="16"/>
              </w:rPr>
            </w:pPr>
            <w:r>
              <w:rPr>
                <w:rFonts w:hint="eastAsia" w:ascii="楷体_GB2312" w:hAnsi="宋体" w:eastAsia="楷体_GB2312" w:cs="楷体_GB2312"/>
                <w:b/>
                <w:color w:val="000000"/>
                <w:kern w:val="0"/>
                <w:sz w:val="16"/>
                <w:szCs w:val="16"/>
              </w:rPr>
              <w:t>实际完成值</w:t>
            </w:r>
          </w:p>
        </w:tc>
        <w:tc>
          <w:tcPr>
            <w:tcW w:w="6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b/>
                <w:color w:val="000000"/>
                <w:sz w:val="16"/>
                <w:szCs w:val="16"/>
              </w:rPr>
            </w:pPr>
            <w:r>
              <w:rPr>
                <w:rFonts w:hint="eastAsia" w:ascii="楷体_GB2312" w:hAnsi="宋体" w:eastAsia="楷体_GB2312" w:cs="楷体_GB2312"/>
                <w:b/>
                <w:color w:val="000000"/>
                <w:kern w:val="0"/>
                <w:sz w:val="16"/>
                <w:szCs w:val="16"/>
              </w:rPr>
              <w:t>得分</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仿宋_GB2312" w:hAnsi="宋体" w:eastAsia="仿宋_GB2312" w:cs="仿宋_GB2312"/>
                <w:b/>
                <w:color w:val="000000"/>
                <w:sz w:val="16"/>
                <w:szCs w:val="16"/>
              </w:rPr>
            </w:pPr>
            <w:r>
              <w:rPr>
                <w:rFonts w:hint="eastAsia" w:ascii="仿宋_GB2312" w:hAnsi="宋体" w:eastAsia="仿宋_GB2312" w:cs="仿宋_GB2312"/>
                <w:b/>
                <w:color w:val="000000"/>
                <w:kern w:val="0"/>
                <w:sz w:val="16"/>
                <w:szCs w:val="16"/>
              </w:rPr>
              <w:t>未完成原因分析与改进措施</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仿宋_GB2312" w:hAnsi="宋体" w:eastAsia="仿宋_GB2312" w:cs="仿宋_GB2312"/>
                <w:b/>
                <w:color w:val="000000"/>
                <w:sz w:val="16"/>
                <w:szCs w:val="16"/>
              </w:rPr>
            </w:pPr>
            <w:r>
              <w:rPr>
                <w:rFonts w:hint="eastAsia" w:ascii="仿宋_GB2312" w:hAnsi="宋体" w:eastAsia="仿宋_GB2312" w:cs="仿宋_GB2312"/>
                <w:b/>
                <w:color w:val="000000"/>
                <w:kern w:val="0"/>
                <w:sz w:val="16"/>
                <w:szCs w:val="16"/>
              </w:rPr>
              <w:t>绩效指标分析与建议</w:t>
            </w:r>
          </w:p>
        </w:tc>
      </w:tr>
      <w:tr>
        <w:tblPrEx>
          <w:tblCellMar>
            <w:top w:w="0" w:type="dxa"/>
            <w:left w:w="0" w:type="dxa"/>
            <w:bottom w:w="0" w:type="dxa"/>
            <w:right w:w="0" w:type="dxa"/>
          </w:tblCellMar>
        </w:tblPrEx>
        <w:trPr>
          <w:trHeight w:val="2600" w:hRule="atLeast"/>
          <w:jc w:val="center"/>
        </w:trPr>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textDirection w:val="tbRlV"/>
            <w:vAlign w:val="center"/>
          </w:tcPr>
          <w:p>
            <w:pPr>
              <w:widowControl/>
              <w:spacing w:line="240" w:lineRule="exact"/>
              <w:jc w:val="center"/>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投入</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预算执行（25分）</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支出进度率</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（5分）</w:t>
            </w:r>
          </w:p>
        </w:tc>
        <w:tc>
          <w:tcPr>
            <w:tcW w:w="3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5</w:t>
            </w:r>
          </w:p>
        </w:tc>
        <w:tc>
          <w:tcPr>
            <w:tcW w:w="26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支出进度率=（实际支出/支出预算）×100%，用以反映和考核部门（单位）预算执行的及时性和均衡性程度。</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半年支出进度＝部门上半年实际支出/（上年结余结转+本年部门预算安排+上半年执行中追加追减）*100%。</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前三季度支出进度＝部门前三季度实际支出/（上年结余结转+本年部门预算安排+前三季度执行中追加追减）*100%。</w:t>
            </w:r>
          </w:p>
        </w:tc>
        <w:tc>
          <w:tcPr>
            <w:tcW w:w="31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半年进度：进度率≥45%，得2分；进度率在40%（含）和45%之间，得1分；进度率＜40%，得0分。</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前三季度进度：进度率≥75%，得3分；进度率在60%（含）和75%之间，得2分；进度率＜60%，得0分。</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半年进度：</w:t>
            </w:r>
            <w:r>
              <w:rPr>
                <w:rStyle w:val="18"/>
                <w:rFonts w:hint="default" w:hAnsi="宋体"/>
              </w:rPr>
              <w:t>（19.67/46.35 ）×100%；</w:t>
            </w:r>
            <w:r>
              <w:rPr>
                <w:rStyle w:val="19"/>
                <w:rFonts w:hint="default" w:hAnsi="宋体"/>
                <w:sz w:val="16"/>
                <w:szCs w:val="16"/>
              </w:rPr>
              <w:br w:type="textWrapping"/>
            </w:r>
            <w:r>
              <w:rPr>
                <w:rStyle w:val="19"/>
                <w:rFonts w:hint="default" w:hAnsi="宋体"/>
                <w:sz w:val="16"/>
                <w:szCs w:val="16"/>
              </w:rPr>
              <w:t>前三季度进度：</w:t>
            </w:r>
            <w:r>
              <w:rPr>
                <w:rStyle w:val="18"/>
                <w:rFonts w:hint="default" w:hAnsi="宋体"/>
              </w:rPr>
              <w:t>（54.26/69.53）×100%；</w:t>
            </w:r>
            <w:r>
              <w:rPr>
                <w:rStyle w:val="18"/>
                <w:rFonts w:hint="default" w:hAnsi="宋体"/>
              </w:rPr>
              <w:br w:type="textWrapping"/>
            </w:r>
            <w:r>
              <w:rPr>
                <w:rStyle w:val="19"/>
                <w:rFonts w:hint="default" w:hAnsi="宋体"/>
                <w:sz w:val="16"/>
                <w:szCs w:val="16"/>
              </w:rPr>
              <w:t>获取方式：集中支付系统</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right"/>
              <w:rPr>
                <w:rFonts w:ascii="楷体_GB2312" w:hAnsi="宋体" w:eastAsia="楷体_GB2312" w:cs="楷体_GB2312"/>
                <w:color w:val="000000"/>
                <w:sz w:val="16"/>
                <w:szCs w:val="16"/>
              </w:rPr>
            </w:pPr>
            <w:r>
              <w:rPr>
                <w:rFonts w:hint="eastAsia" w:ascii="楷体_GB2312" w:hAnsi="宋体" w:eastAsia="楷体_GB2312" w:cs="楷体_GB2312"/>
                <w:color w:val="000000"/>
                <w:sz w:val="16"/>
                <w:szCs w:val="16"/>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righ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半年进度42.01%</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前三季度进度78.04%</w:t>
            </w:r>
          </w:p>
        </w:tc>
        <w:tc>
          <w:tcPr>
            <w:tcW w:w="6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righ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4</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rPr>
                <w:rFonts w:ascii="仿宋_GB2312" w:hAnsi="宋体" w:eastAsia="仿宋_GB2312" w:cs="仿宋_GB2312"/>
                <w:color w:val="000000"/>
                <w:sz w:val="16"/>
                <w:szCs w:val="16"/>
              </w:rPr>
            </w:pPr>
            <w:r>
              <w:rPr>
                <w:rFonts w:hint="eastAsia" w:ascii="仿宋_GB2312" w:hAnsi="宋体" w:eastAsia="仿宋_GB2312" w:cs="仿宋_GB2312"/>
                <w:color w:val="000000"/>
                <w:sz w:val="16"/>
                <w:szCs w:val="16"/>
              </w:rPr>
              <w:t>半年进度未完成原因：</w:t>
            </w:r>
            <w:r>
              <w:rPr>
                <w:rFonts w:hint="eastAsia" w:ascii="仿宋_GB2312" w:hAnsi="宋体" w:eastAsia="仿宋_GB2312" w:cs="仿宋_GB2312"/>
                <w:color w:val="000000"/>
                <w:kern w:val="0"/>
                <w:sz w:val="16"/>
                <w:szCs w:val="16"/>
              </w:rPr>
              <w:t>本部门为2019年3月机构改革时新成立单位，账务暂时不能使用。</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rPr>
                <w:rFonts w:ascii="仿宋_GB2312" w:hAnsi="宋体" w:eastAsia="仿宋_GB2312" w:cs="仿宋_GB2312"/>
                <w:color w:val="000000"/>
                <w:sz w:val="16"/>
                <w:szCs w:val="16"/>
              </w:rPr>
            </w:pPr>
          </w:p>
        </w:tc>
      </w:tr>
      <w:tr>
        <w:tblPrEx>
          <w:tblCellMar>
            <w:top w:w="0" w:type="dxa"/>
            <w:left w:w="0" w:type="dxa"/>
            <w:bottom w:w="0" w:type="dxa"/>
            <w:right w:w="0" w:type="dxa"/>
          </w:tblCellMar>
        </w:tblPrEx>
        <w:trPr>
          <w:trHeight w:val="1530"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textDirection w:val="tbRlV"/>
            <w:vAlign w:val="center"/>
          </w:tcPr>
          <w:p>
            <w:pPr>
              <w:widowControl/>
              <w:spacing w:line="240" w:lineRule="exact"/>
              <w:jc w:val="center"/>
              <w:rPr>
                <w:rFonts w:ascii="楷体_GB2312" w:hAnsi="宋体" w:eastAsia="楷体_GB2312" w:cs="楷体_GB2312"/>
                <w:color w:val="000000"/>
                <w:sz w:val="16"/>
                <w:szCs w:val="16"/>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rPr>
                <w:rFonts w:ascii="楷体_GB2312" w:hAnsi="宋体" w:eastAsia="楷体_GB2312" w:cs="楷体_GB2312"/>
                <w:color w:val="000000"/>
                <w:sz w:val="16"/>
                <w:szCs w:val="16"/>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预算编制准确率（5分）</w:t>
            </w:r>
          </w:p>
        </w:tc>
        <w:tc>
          <w:tcPr>
            <w:tcW w:w="3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5</w:t>
            </w:r>
          </w:p>
        </w:tc>
        <w:tc>
          <w:tcPr>
            <w:tcW w:w="26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部门预算中除财政拨款外的其他收入预算与决算差异率。</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预算编制准确率＝其他收入决算数/其他收入预算数×100%-100%。</w:t>
            </w:r>
          </w:p>
        </w:tc>
        <w:tc>
          <w:tcPr>
            <w:tcW w:w="31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预算编制准确率≤20%，得5分。</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预算编制准确率在20%和40%（含）之间，得3分。</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预算编制准确率＞40%，得0分。</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rPr>
                <w:rFonts w:ascii="楷体_GB2312" w:hAnsi="宋体" w:eastAsia="楷体_GB2312" w:cs="楷体_GB2312"/>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right"/>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100%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righ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100%</w:t>
            </w:r>
          </w:p>
        </w:tc>
        <w:tc>
          <w:tcPr>
            <w:tcW w:w="6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righ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5</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rPr>
                <w:rFonts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rPr>
              <w:t>其他收入为不可预见的收入，未列入部门预算，今后将重视对其他收入的估计。</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textAlignment w:val="center"/>
              <w:rPr>
                <w:rFonts w:ascii="仿宋_GB2312" w:hAnsi="宋体" w:eastAsia="仿宋_GB2312" w:cs="仿宋_GB2312"/>
                <w:color w:val="000000"/>
                <w:sz w:val="16"/>
                <w:szCs w:val="16"/>
              </w:rPr>
            </w:pPr>
            <w:r>
              <w:rPr>
                <w:rFonts w:hint="eastAsia" w:ascii="仿宋_GB2312" w:hAnsi="宋体" w:eastAsia="仿宋_GB2312" w:cs="仿宋_GB2312"/>
                <w:color w:val="000000"/>
                <w:sz w:val="16"/>
                <w:szCs w:val="16"/>
              </w:rPr>
              <w:t>其他收入预算为0时，公示不成立。</w:t>
            </w:r>
          </w:p>
        </w:tc>
      </w:tr>
      <w:tr>
        <w:tblPrEx>
          <w:tblCellMar>
            <w:top w:w="0" w:type="dxa"/>
            <w:left w:w="0" w:type="dxa"/>
            <w:bottom w:w="0" w:type="dxa"/>
            <w:right w:w="0" w:type="dxa"/>
          </w:tblCellMar>
        </w:tblPrEx>
        <w:trPr>
          <w:trHeight w:val="1160" w:hRule="atLeast"/>
          <w:jc w:val="center"/>
        </w:trPr>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textDirection w:val="tbRlV"/>
            <w:vAlign w:val="center"/>
          </w:tcPr>
          <w:p>
            <w:pPr>
              <w:widowControl/>
              <w:spacing w:line="240" w:lineRule="exact"/>
              <w:jc w:val="center"/>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过程</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预算管理（15分）</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“三公经费”控制率</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（5分）</w:t>
            </w:r>
          </w:p>
        </w:tc>
        <w:tc>
          <w:tcPr>
            <w:tcW w:w="3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5</w:t>
            </w:r>
          </w:p>
        </w:tc>
        <w:tc>
          <w:tcPr>
            <w:tcW w:w="26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“三公经费”控制率=（“三公经费”实际支出数/“三公经费”预算安排数）×100%，用以反映和考核部门（单位）对“三公经费”的实际控制程度。</w:t>
            </w:r>
          </w:p>
        </w:tc>
        <w:tc>
          <w:tcPr>
            <w:tcW w:w="31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三公经费控制率 ≤100%，得5分，每增加0.1个百分点扣0.5分，扣完为止。</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“三公经费”实际支出数为0，获取方式2019年部门决算数据。</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right"/>
              <w:rPr>
                <w:rFonts w:ascii="楷体_GB2312" w:hAnsi="宋体" w:eastAsia="楷体_GB2312" w:cs="楷体_GB2312"/>
                <w:color w:val="000000"/>
                <w:sz w:val="16"/>
                <w:szCs w:val="16"/>
              </w:rPr>
            </w:pPr>
            <w:r>
              <w:rPr>
                <w:rFonts w:hint="eastAsia" w:ascii="楷体_GB2312" w:hAnsi="宋体" w:eastAsia="楷体_GB2312" w:cs="楷体_GB2312"/>
                <w:color w:val="000000"/>
                <w:sz w:val="16"/>
                <w:szCs w:val="16"/>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righ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0</w:t>
            </w:r>
          </w:p>
        </w:tc>
        <w:tc>
          <w:tcPr>
            <w:tcW w:w="6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righ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5</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rPr>
                <w:rFonts w:ascii="仿宋_GB2312" w:hAnsi="宋体" w:eastAsia="仿宋_GB2312" w:cs="仿宋_GB2312"/>
                <w:color w:val="000000"/>
                <w:sz w:val="16"/>
                <w:szCs w:val="16"/>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rPr>
                <w:rFonts w:ascii="仿宋_GB2312" w:hAnsi="宋体" w:eastAsia="仿宋_GB2312" w:cs="仿宋_GB2312"/>
                <w:color w:val="000000"/>
                <w:sz w:val="16"/>
                <w:szCs w:val="16"/>
              </w:rPr>
            </w:pPr>
          </w:p>
        </w:tc>
      </w:tr>
      <w:tr>
        <w:tblPrEx>
          <w:tblCellMar>
            <w:top w:w="0" w:type="dxa"/>
            <w:left w:w="0" w:type="dxa"/>
            <w:bottom w:w="0" w:type="dxa"/>
            <w:right w:w="0" w:type="dxa"/>
          </w:tblCellMar>
        </w:tblPrEx>
        <w:trPr>
          <w:trHeight w:val="1780"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textDirection w:val="tbRlV"/>
            <w:vAlign w:val="center"/>
          </w:tcPr>
          <w:p>
            <w:pPr>
              <w:widowControl/>
              <w:spacing w:line="240" w:lineRule="exact"/>
              <w:jc w:val="center"/>
              <w:rPr>
                <w:rFonts w:ascii="楷体_GB2312" w:hAnsi="宋体" w:eastAsia="楷体_GB2312" w:cs="楷体_GB2312"/>
                <w:color w:val="000000"/>
                <w:sz w:val="16"/>
                <w:szCs w:val="16"/>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rPr>
                <w:rFonts w:ascii="楷体_GB2312" w:hAnsi="宋体" w:eastAsia="楷体_GB2312" w:cs="楷体_GB2312"/>
                <w:color w:val="000000"/>
                <w:sz w:val="16"/>
                <w:szCs w:val="16"/>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资产管理规范性</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（5分）</w:t>
            </w:r>
          </w:p>
        </w:tc>
        <w:tc>
          <w:tcPr>
            <w:tcW w:w="3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5</w:t>
            </w:r>
          </w:p>
        </w:tc>
        <w:tc>
          <w:tcPr>
            <w:tcW w:w="26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部门（单位）资产管理是否规范，用以反映和考核部门（单位）资产管理情况。</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1.新增资产配置按预算执行。</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2.资产有偿使用、处置按规定程序审批。</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3.资产收益及时、足额上缴财政。</w:t>
            </w:r>
          </w:p>
        </w:tc>
        <w:tc>
          <w:tcPr>
            <w:tcW w:w="31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全部符合5分，有1项不符扣2分,扣完为止。</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rPr>
                <w:rFonts w:ascii="楷体_GB2312" w:hAnsi="宋体" w:eastAsia="楷体_GB2312" w:cs="楷体_GB2312"/>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全部符合</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全部符合</w:t>
            </w:r>
          </w:p>
        </w:tc>
        <w:tc>
          <w:tcPr>
            <w:tcW w:w="6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righ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5</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exact"/>
              <w:rPr>
                <w:rFonts w:ascii="宋体" w:hAnsi="宋体" w:cs="宋体"/>
                <w:color w:val="000000"/>
                <w:sz w:val="16"/>
                <w:szCs w:val="16"/>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exact"/>
              <w:rPr>
                <w:rFonts w:ascii="宋体" w:hAnsi="宋体" w:cs="宋体"/>
                <w:color w:val="000000"/>
                <w:sz w:val="16"/>
                <w:szCs w:val="16"/>
              </w:rPr>
            </w:pPr>
          </w:p>
        </w:tc>
      </w:tr>
      <w:tr>
        <w:tblPrEx>
          <w:tblCellMar>
            <w:top w:w="0" w:type="dxa"/>
            <w:left w:w="0" w:type="dxa"/>
            <w:bottom w:w="0" w:type="dxa"/>
            <w:right w:w="0" w:type="dxa"/>
          </w:tblCellMar>
        </w:tblPrEx>
        <w:trPr>
          <w:trHeight w:val="795"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b/>
                <w:color w:val="000000"/>
                <w:sz w:val="16"/>
                <w:szCs w:val="16"/>
              </w:rPr>
            </w:pPr>
            <w:r>
              <w:rPr>
                <w:rFonts w:hint="eastAsia" w:ascii="楷体_GB2312" w:hAnsi="宋体" w:eastAsia="楷体_GB2312" w:cs="楷体_GB2312"/>
                <w:b/>
                <w:color w:val="000000"/>
                <w:kern w:val="0"/>
                <w:sz w:val="16"/>
                <w:szCs w:val="16"/>
              </w:rPr>
              <w:t>一级</w:t>
            </w:r>
            <w:r>
              <w:rPr>
                <w:rFonts w:hint="eastAsia" w:ascii="楷体_GB2312" w:hAnsi="宋体" w:eastAsia="楷体_GB2312" w:cs="楷体_GB2312"/>
                <w:b/>
                <w:color w:val="000000"/>
                <w:kern w:val="0"/>
                <w:sz w:val="16"/>
                <w:szCs w:val="16"/>
              </w:rPr>
              <w:br w:type="textWrapping"/>
            </w:r>
            <w:r>
              <w:rPr>
                <w:rFonts w:hint="eastAsia" w:ascii="楷体_GB2312" w:hAnsi="宋体" w:eastAsia="楷体_GB2312" w:cs="楷体_GB2312"/>
                <w:b/>
                <w:color w:val="000000"/>
                <w:kern w:val="0"/>
                <w:sz w:val="16"/>
                <w:szCs w:val="16"/>
              </w:rPr>
              <w:t>指标</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b/>
                <w:color w:val="000000"/>
                <w:sz w:val="16"/>
                <w:szCs w:val="16"/>
              </w:rPr>
            </w:pPr>
            <w:r>
              <w:rPr>
                <w:rFonts w:hint="eastAsia" w:ascii="楷体_GB2312" w:hAnsi="宋体" w:eastAsia="楷体_GB2312" w:cs="楷体_GB2312"/>
                <w:b/>
                <w:color w:val="000000"/>
                <w:kern w:val="0"/>
                <w:sz w:val="16"/>
                <w:szCs w:val="16"/>
              </w:rPr>
              <w:t>二级</w:t>
            </w:r>
            <w:r>
              <w:rPr>
                <w:rFonts w:hint="eastAsia" w:ascii="楷体_GB2312" w:hAnsi="宋体" w:eastAsia="楷体_GB2312" w:cs="楷体_GB2312"/>
                <w:b/>
                <w:color w:val="000000"/>
                <w:kern w:val="0"/>
                <w:sz w:val="16"/>
                <w:szCs w:val="16"/>
              </w:rPr>
              <w:br w:type="textWrapping"/>
            </w:r>
            <w:r>
              <w:rPr>
                <w:rFonts w:hint="eastAsia" w:ascii="楷体_GB2312" w:hAnsi="宋体" w:eastAsia="楷体_GB2312" w:cs="楷体_GB2312"/>
                <w:b/>
                <w:color w:val="000000"/>
                <w:kern w:val="0"/>
                <w:sz w:val="16"/>
                <w:szCs w:val="16"/>
              </w:rPr>
              <w:t>指标</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b/>
                <w:color w:val="000000"/>
                <w:sz w:val="16"/>
                <w:szCs w:val="16"/>
              </w:rPr>
            </w:pPr>
            <w:r>
              <w:rPr>
                <w:rFonts w:hint="eastAsia" w:ascii="楷体_GB2312" w:hAnsi="宋体" w:eastAsia="楷体_GB2312" w:cs="楷体_GB2312"/>
                <w:b/>
                <w:color w:val="000000"/>
                <w:kern w:val="0"/>
                <w:sz w:val="16"/>
                <w:szCs w:val="16"/>
              </w:rPr>
              <w:t>三级指标</w:t>
            </w:r>
          </w:p>
        </w:tc>
        <w:tc>
          <w:tcPr>
            <w:tcW w:w="3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b/>
                <w:color w:val="000000"/>
                <w:sz w:val="16"/>
                <w:szCs w:val="16"/>
              </w:rPr>
            </w:pPr>
            <w:r>
              <w:rPr>
                <w:rFonts w:hint="eastAsia" w:ascii="楷体_GB2312" w:hAnsi="宋体" w:eastAsia="楷体_GB2312" w:cs="楷体_GB2312"/>
                <w:b/>
                <w:color w:val="000000"/>
                <w:kern w:val="0"/>
                <w:sz w:val="16"/>
                <w:szCs w:val="16"/>
              </w:rPr>
              <w:t>分值</w:t>
            </w:r>
          </w:p>
        </w:tc>
        <w:tc>
          <w:tcPr>
            <w:tcW w:w="26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b/>
                <w:color w:val="000000"/>
                <w:sz w:val="16"/>
                <w:szCs w:val="16"/>
              </w:rPr>
            </w:pPr>
            <w:r>
              <w:rPr>
                <w:rFonts w:hint="eastAsia" w:ascii="楷体_GB2312" w:hAnsi="宋体" w:eastAsia="楷体_GB2312" w:cs="楷体_GB2312"/>
                <w:b/>
                <w:color w:val="000000"/>
                <w:kern w:val="0"/>
                <w:sz w:val="16"/>
                <w:szCs w:val="16"/>
              </w:rPr>
              <w:t>指标说明</w:t>
            </w:r>
          </w:p>
        </w:tc>
        <w:tc>
          <w:tcPr>
            <w:tcW w:w="31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b/>
                <w:color w:val="000000"/>
                <w:sz w:val="16"/>
                <w:szCs w:val="16"/>
              </w:rPr>
            </w:pPr>
            <w:r>
              <w:rPr>
                <w:rFonts w:hint="eastAsia" w:ascii="楷体_GB2312" w:hAnsi="宋体" w:eastAsia="楷体_GB2312" w:cs="楷体_GB2312"/>
                <w:b/>
                <w:color w:val="000000"/>
                <w:kern w:val="0"/>
                <w:sz w:val="16"/>
                <w:szCs w:val="16"/>
              </w:rPr>
              <w:t>评分标准</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b/>
                <w:color w:val="000000"/>
                <w:sz w:val="16"/>
                <w:szCs w:val="16"/>
              </w:rPr>
            </w:pPr>
            <w:r>
              <w:rPr>
                <w:rFonts w:hint="eastAsia" w:ascii="楷体_GB2312" w:hAnsi="宋体" w:eastAsia="楷体_GB2312" w:cs="楷体_GB2312"/>
                <w:b/>
                <w:color w:val="000000"/>
                <w:kern w:val="0"/>
                <w:sz w:val="16"/>
                <w:szCs w:val="16"/>
              </w:rPr>
              <w:t>指标值计算公式和数据获取方式</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b/>
                <w:color w:val="000000"/>
                <w:sz w:val="16"/>
                <w:szCs w:val="16"/>
              </w:rPr>
            </w:pPr>
            <w:r>
              <w:rPr>
                <w:rFonts w:hint="eastAsia" w:ascii="楷体_GB2312" w:hAnsi="宋体" w:eastAsia="楷体_GB2312" w:cs="楷体_GB2312"/>
                <w:b/>
                <w:color w:val="000000"/>
                <w:kern w:val="0"/>
                <w:sz w:val="16"/>
                <w:szCs w:val="16"/>
              </w:rPr>
              <w:t>年初目标值</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b/>
                <w:color w:val="000000"/>
                <w:sz w:val="16"/>
                <w:szCs w:val="16"/>
              </w:rPr>
            </w:pPr>
            <w:r>
              <w:rPr>
                <w:rFonts w:hint="eastAsia" w:ascii="楷体_GB2312" w:hAnsi="宋体" w:eastAsia="楷体_GB2312" w:cs="楷体_GB2312"/>
                <w:b/>
                <w:color w:val="000000"/>
                <w:kern w:val="0"/>
                <w:sz w:val="16"/>
                <w:szCs w:val="16"/>
              </w:rPr>
              <w:t>实际完成值</w:t>
            </w:r>
          </w:p>
        </w:tc>
        <w:tc>
          <w:tcPr>
            <w:tcW w:w="6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b/>
                <w:color w:val="000000"/>
                <w:sz w:val="16"/>
                <w:szCs w:val="16"/>
              </w:rPr>
            </w:pPr>
            <w:r>
              <w:rPr>
                <w:rFonts w:hint="eastAsia" w:ascii="楷体_GB2312" w:hAnsi="宋体" w:eastAsia="楷体_GB2312" w:cs="楷体_GB2312"/>
                <w:b/>
                <w:color w:val="000000"/>
                <w:kern w:val="0"/>
                <w:sz w:val="16"/>
                <w:szCs w:val="16"/>
              </w:rPr>
              <w:t>得分</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仿宋_GB2312" w:hAnsi="宋体" w:eastAsia="仿宋_GB2312" w:cs="仿宋_GB2312"/>
                <w:b/>
                <w:color w:val="000000"/>
                <w:sz w:val="16"/>
                <w:szCs w:val="16"/>
              </w:rPr>
            </w:pPr>
            <w:r>
              <w:rPr>
                <w:rFonts w:hint="eastAsia" w:ascii="仿宋_GB2312" w:hAnsi="宋体" w:eastAsia="仿宋_GB2312" w:cs="仿宋_GB2312"/>
                <w:b/>
                <w:color w:val="000000"/>
                <w:kern w:val="0"/>
                <w:sz w:val="16"/>
                <w:szCs w:val="16"/>
              </w:rPr>
              <w:t>未完成原因分析与改进措施</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仿宋_GB2312" w:hAnsi="宋体" w:eastAsia="仿宋_GB2312" w:cs="仿宋_GB2312"/>
                <w:b/>
                <w:color w:val="000000"/>
                <w:sz w:val="16"/>
                <w:szCs w:val="16"/>
              </w:rPr>
            </w:pPr>
            <w:r>
              <w:rPr>
                <w:rFonts w:hint="eastAsia" w:ascii="仿宋_GB2312" w:hAnsi="宋体" w:eastAsia="仿宋_GB2312" w:cs="仿宋_GB2312"/>
                <w:b/>
                <w:color w:val="000000"/>
                <w:kern w:val="0"/>
                <w:sz w:val="16"/>
                <w:szCs w:val="16"/>
              </w:rPr>
              <w:t>绩效指标分析与建议</w:t>
            </w:r>
          </w:p>
        </w:tc>
      </w:tr>
      <w:tr>
        <w:tblPrEx>
          <w:tblCellMar>
            <w:top w:w="0" w:type="dxa"/>
            <w:left w:w="0" w:type="dxa"/>
            <w:bottom w:w="0" w:type="dxa"/>
            <w:right w:w="0" w:type="dxa"/>
          </w:tblCellMar>
        </w:tblPrEx>
        <w:trPr>
          <w:trHeight w:val="2880"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textDirection w:val="tbRlV"/>
            <w:vAlign w:val="center"/>
          </w:tcPr>
          <w:p>
            <w:pPr>
              <w:widowControl/>
              <w:spacing w:line="240" w:lineRule="exact"/>
              <w:jc w:val="lef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过程</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预算管理（15分）</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资金使用合规性</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（5分）</w:t>
            </w:r>
          </w:p>
        </w:tc>
        <w:tc>
          <w:tcPr>
            <w:tcW w:w="3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5</w:t>
            </w:r>
          </w:p>
        </w:tc>
        <w:tc>
          <w:tcPr>
            <w:tcW w:w="26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部门（单位）使用预算资金是否符合相关的预算财务管理制度的规定，用以反映和考核部门（单位）预算资金的规范运行情况。</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1.符合国家财经法规和财务管理制度规定以及有关专项资金管理办法的规定；</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2.资金的拨付有完整的审批程序和手续；</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3.重大项目开支经过评估论证；</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4.符合部门预算批复的用途；</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5.不存在截留、挤占、挪用、虚列支出等情况。</w:t>
            </w:r>
          </w:p>
        </w:tc>
        <w:tc>
          <w:tcPr>
            <w:tcW w:w="31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全部符合5分,有1项不符扣2分。</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rPr>
                <w:rFonts w:ascii="楷体_GB2312" w:hAnsi="宋体" w:eastAsia="楷体_GB2312" w:cs="楷体_GB2312"/>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全部符合</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全部符合</w:t>
            </w:r>
          </w:p>
        </w:tc>
        <w:tc>
          <w:tcPr>
            <w:tcW w:w="6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righ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5</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exact"/>
              <w:rPr>
                <w:rFonts w:ascii="宋体" w:hAnsi="宋体" w:cs="宋体"/>
                <w:color w:val="000000"/>
                <w:sz w:val="16"/>
                <w:szCs w:val="16"/>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exact"/>
              <w:rPr>
                <w:rFonts w:ascii="宋体" w:hAnsi="宋体" w:cs="宋体"/>
                <w:color w:val="000000"/>
                <w:sz w:val="16"/>
                <w:szCs w:val="16"/>
              </w:rPr>
            </w:pPr>
          </w:p>
        </w:tc>
      </w:tr>
      <w:tr>
        <w:tblPrEx>
          <w:tblCellMar>
            <w:top w:w="0" w:type="dxa"/>
            <w:left w:w="0" w:type="dxa"/>
            <w:bottom w:w="0" w:type="dxa"/>
            <w:right w:w="0" w:type="dxa"/>
          </w:tblCellMar>
        </w:tblPrEx>
        <w:trPr>
          <w:trHeight w:val="1035" w:hRule="atLeast"/>
          <w:jc w:val="center"/>
        </w:trPr>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textDirection w:val="tbRlV"/>
            <w:vAlign w:val="center"/>
          </w:tcPr>
          <w:p>
            <w:pPr>
              <w:widowControl/>
              <w:spacing w:line="240" w:lineRule="exact"/>
              <w:jc w:val="center"/>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效果</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履职尽责（60分）</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项目产出</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（40分）</w:t>
            </w:r>
          </w:p>
        </w:tc>
        <w:tc>
          <w:tcPr>
            <w:tcW w:w="3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40</w:t>
            </w:r>
          </w:p>
        </w:tc>
        <w:tc>
          <w:tcPr>
            <w:tcW w:w="26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rPr>
                <w:rFonts w:ascii="楷体_GB2312" w:hAnsi="宋体" w:eastAsia="楷体_GB2312" w:cs="楷体_GB2312"/>
                <w:color w:val="000000"/>
                <w:sz w:val="16"/>
                <w:szCs w:val="16"/>
              </w:rPr>
            </w:pPr>
          </w:p>
        </w:tc>
        <w:tc>
          <w:tcPr>
            <w:tcW w:w="314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1.若为定性指标，根据“三档”原则分别按照指标分值的100-80%（含）、80-50%（含）、50-10%来记分；</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2.若为定量指标，完成值达到指标值，记满分；未达到指标值，按完成比率计分，正向指标（即指标值为≥*）得分＝实际完成值/年初目标值*该指标分值，反向指标（即指标值为≤*）得分＝年初目标值/实际完成值*该指标分值。</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rPr>
                <w:rFonts w:ascii="楷体_GB2312" w:hAnsi="宋体" w:eastAsia="楷体_GB2312" w:cs="楷体_GB2312"/>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rPr>
                <w:rFonts w:ascii="楷体_GB2312" w:hAnsi="宋体" w:eastAsia="楷体_GB2312" w:cs="楷体_GB2312"/>
                <w:color w:val="000000"/>
                <w:sz w:val="16"/>
                <w:szCs w:val="16"/>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righ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100%</w:t>
            </w:r>
          </w:p>
        </w:tc>
        <w:tc>
          <w:tcPr>
            <w:tcW w:w="6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righ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40</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exact"/>
              <w:rPr>
                <w:rFonts w:ascii="宋体" w:hAnsi="宋体" w:cs="宋体"/>
                <w:color w:val="000000"/>
                <w:sz w:val="16"/>
                <w:szCs w:val="16"/>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exact"/>
              <w:rPr>
                <w:rFonts w:ascii="宋体" w:hAnsi="宋体" w:cs="宋体"/>
                <w:color w:val="000000"/>
                <w:sz w:val="16"/>
                <w:szCs w:val="16"/>
              </w:rPr>
            </w:pPr>
          </w:p>
        </w:tc>
      </w:tr>
      <w:tr>
        <w:tblPrEx>
          <w:tblCellMar>
            <w:top w:w="0" w:type="dxa"/>
            <w:left w:w="0" w:type="dxa"/>
            <w:bottom w:w="0" w:type="dxa"/>
            <w:right w:w="0" w:type="dxa"/>
          </w:tblCellMar>
        </w:tblPrEx>
        <w:trPr>
          <w:trHeight w:val="1155"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textDirection w:val="tbRlV"/>
            <w:vAlign w:val="center"/>
          </w:tcPr>
          <w:p>
            <w:pPr>
              <w:widowControl/>
              <w:spacing w:line="240" w:lineRule="exact"/>
              <w:jc w:val="center"/>
              <w:rPr>
                <w:rFonts w:ascii="楷体_GB2312" w:hAnsi="宋体" w:eastAsia="楷体_GB2312" w:cs="楷体_GB2312"/>
                <w:color w:val="000000"/>
                <w:sz w:val="16"/>
                <w:szCs w:val="16"/>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rPr>
                <w:rFonts w:ascii="楷体_GB2312" w:hAnsi="宋体" w:eastAsia="楷体_GB2312" w:cs="楷体_GB2312"/>
                <w:color w:val="000000"/>
                <w:sz w:val="16"/>
                <w:szCs w:val="16"/>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项目效益</w:t>
            </w:r>
            <w:r>
              <w:rPr>
                <w:rFonts w:hint="eastAsia" w:ascii="楷体_GB2312" w:hAnsi="宋体" w:eastAsia="楷体_GB2312" w:cs="楷体_GB2312"/>
                <w:color w:val="000000"/>
                <w:kern w:val="0"/>
                <w:sz w:val="16"/>
                <w:szCs w:val="16"/>
              </w:rPr>
              <w:br w:type="textWrapping"/>
            </w:r>
            <w:r>
              <w:rPr>
                <w:rFonts w:hint="eastAsia" w:ascii="楷体_GB2312" w:hAnsi="宋体" w:eastAsia="楷体_GB2312" w:cs="楷体_GB2312"/>
                <w:color w:val="000000"/>
                <w:kern w:val="0"/>
                <w:sz w:val="16"/>
                <w:szCs w:val="16"/>
              </w:rPr>
              <w:t>（20分）</w:t>
            </w:r>
          </w:p>
        </w:tc>
        <w:tc>
          <w:tcPr>
            <w:tcW w:w="3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20</w:t>
            </w:r>
          </w:p>
        </w:tc>
        <w:tc>
          <w:tcPr>
            <w:tcW w:w="26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rPr>
                <w:rFonts w:ascii="楷体_GB2312" w:hAnsi="宋体" w:eastAsia="楷体_GB2312" w:cs="楷体_GB2312"/>
                <w:color w:val="000000"/>
                <w:sz w:val="16"/>
                <w:szCs w:val="16"/>
              </w:rPr>
            </w:pPr>
          </w:p>
        </w:tc>
        <w:tc>
          <w:tcPr>
            <w:tcW w:w="31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rPr>
                <w:rFonts w:ascii="楷体_GB2312" w:hAnsi="宋体" w:eastAsia="楷体_GB2312" w:cs="楷体_GB2312"/>
                <w:color w:val="000000"/>
                <w:sz w:val="16"/>
                <w:szCs w:val="16"/>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rPr>
                <w:rFonts w:ascii="楷体_GB2312" w:hAnsi="宋体" w:eastAsia="楷体_GB2312" w:cs="楷体_GB2312"/>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rPr>
                <w:rFonts w:ascii="楷体_GB2312" w:hAnsi="宋体" w:eastAsia="楷体_GB2312" w:cs="楷体_GB2312"/>
                <w:color w:val="000000"/>
                <w:sz w:val="16"/>
                <w:szCs w:val="16"/>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righ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100%</w:t>
            </w:r>
          </w:p>
        </w:tc>
        <w:tc>
          <w:tcPr>
            <w:tcW w:w="6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right"/>
              <w:textAlignment w:val="center"/>
              <w:rPr>
                <w:rFonts w:ascii="楷体_GB2312" w:hAnsi="宋体" w:eastAsia="楷体_GB2312" w:cs="楷体_GB2312"/>
                <w:color w:val="000000"/>
                <w:sz w:val="16"/>
                <w:szCs w:val="16"/>
              </w:rPr>
            </w:pPr>
            <w:r>
              <w:rPr>
                <w:rFonts w:hint="eastAsia" w:ascii="楷体_GB2312" w:hAnsi="宋体" w:eastAsia="楷体_GB2312" w:cs="楷体_GB2312"/>
                <w:color w:val="000000"/>
                <w:kern w:val="0"/>
                <w:sz w:val="16"/>
                <w:szCs w:val="16"/>
              </w:rPr>
              <w:t>20</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exact"/>
              <w:rPr>
                <w:rFonts w:ascii="宋体" w:hAnsi="宋体" w:cs="宋体"/>
                <w:color w:val="000000"/>
                <w:sz w:val="16"/>
                <w:szCs w:val="16"/>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exact"/>
              <w:rPr>
                <w:rFonts w:ascii="宋体" w:hAnsi="宋体" w:cs="宋体"/>
                <w:color w:val="000000"/>
                <w:sz w:val="16"/>
                <w:szCs w:val="16"/>
              </w:rPr>
            </w:pPr>
          </w:p>
        </w:tc>
      </w:tr>
      <w:tr>
        <w:tblPrEx>
          <w:tblCellMar>
            <w:top w:w="0" w:type="dxa"/>
            <w:left w:w="0" w:type="dxa"/>
            <w:bottom w:w="0" w:type="dxa"/>
            <w:right w:w="0" w:type="dxa"/>
          </w:tblCellMar>
        </w:tblPrEx>
        <w:trPr>
          <w:trHeight w:val="1395" w:hRule="atLeast"/>
          <w:jc w:val="center"/>
        </w:trPr>
        <w:tc>
          <w:tcPr>
            <w:tcW w:w="13835" w:type="dxa"/>
            <w:gridSpan w:val="1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备注：</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1.“项目产出”和“项目效果”直接细化成部门年初绩效目标中的指标，并根据重要程度赋权。</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2.“绩效指标分析”是指参考历史数据、行业标准及绩效目标实际完成情况等相关资料，从“是否与项目密切相关，指标值是否可获取，指标值设置是否合理”等角度，从产出和效果类指标中找出需要改进的指标，并逐项提出次年的编制意见和建议。</w:t>
            </w:r>
          </w:p>
        </w:tc>
      </w:tr>
    </w:tbl>
    <w:p>
      <w:pPr>
        <w:rPr>
          <w:rFonts w:ascii="楷体" w:hAnsi="楷体" w:eastAsia="楷体" w:cs="楷体"/>
          <w:sz w:val="32"/>
          <w:szCs w:val="32"/>
        </w:rPr>
        <w:sectPr>
          <w:pgSz w:w="16838" w:h="11906" w:orient="landscape"/>
          <w:pgMar w:top="1474" w:right="1984" w:bottom="1587" w:left="2098" w:header="851" w:footer="992" w:gutter="0"/>
          <w:cols w:space="0" w:num="1"/>
          <w:docGrid w:type="lines" w:linePitch="315" w:charSpace="0"/>
        </w:sectPr>
      </w:pPr>
      <w:r>
        <w:rPr>
          <w:rFonts w:hint="eastAsia" w:ascii="楷体" w:hAnsi="楷体" w:eastAsia="楷体" w:cs="楷体"/>
          <w:sz w:val="32"/>
          <w:szCs w:val="32"/>
        </w:rPr>
        <w:br w:type="page"/>
      </w:r>
    </w:p>
    <w:p>
      <w:pPr>
        <w:spacing w:line="560" w:lineRule="exact"/>
        <w:ind w:firstLine="640" w:firstLineChars="200"/>
        <w:rPr>
          <w:rFonts w:ascii="黑体" w:hAnsi="黑体" w:eastAsia="黑体"/>
          <w:sz w:val="32"/>
          <w:szCs w:val="32"/>
        </w:rPr>
      </w:pPr>
      <w:r>
        <w:rPr>
          <w:rFonts w:hint="eastAsia" w:ascii="黑体" w:hAnsi="黑体" w:eastAsia="黑体"/>
          <w:color w:val="000000"/>
          <w:kern w:val="0"/>
          <w:sz w:val="32"/>
          <w:szCs w:val="32"/>
        </w:rPr>
        <w:t>十一、其他重要事项说明</w:t>
      </w:r>
    </w:p>
    <w:p>
      <w:pPr>
        <w:spacing w:line="560" w:lineRule="exact"/>
        <w:ind w:firstLine="643" w:firstLineChars="200"/>
        <w:jc w:val="left"/>
      </w:pPr>
      <w:r>
        <w:rPr>
          <w:rFonts w:hint="eastAsia" w:ascii="楷体_GB2312" w:hAnsi="宋体" w:eastAsia="楷体_GB2312" w:cs="楷体_GB2312"/>
          <w:b/>
          <w:color w:val="000000"/>
          <w:kern w:val="0"/>
          <w:sz w:val="32"/>
          <w:szCs w:val="32"/>
        </w:rPr>
        <w:t>（一）机关运行经费支出情况说明。</w:t>
      </w:r>
    </w:p>
    <w:p>
      <w:pPr>
        <w:spacing w:line="560" w:lineRule="exact"/>
        <w:ind w:firstLine="620" w:firstLineChars="200"/>
        <w:jc w:val="left"/>
        <w:rPr>
          <w:rFonts w:ascii="仿宋_GB2312" w:hAnsi="宋体" w:eastAsia="仿宋_GB2312" w:cs="仿宋_GB2312"/>
          <w:color w:val="000000"/>
          <w:kern w:val="0"/>
          <w:sz w:val="32"/>
          <w:szCs w:val="32"/>
        </w:rPr>
      </w:pPr>
      <w:r>
        <w:rPr>
          <w:rFonts w:ascii="仿宋_GB2312" w:hAnsi="仿宋_GB2312" w:eastAsia="仿宋_GB2312" w:cs="仿宋_GB2312"/>
          <w:color w:val="000000"/>
          <w:kern w:val="0"/>
          <w:sz w:val="31"/>
          <w:szCs w:val="31"/>
        </w:rPr>
        <w:t>2019</w:t>
      </w:r>
      <w:r>
        <w:rPr>
          <w:rFonts w:hint="eastAsia" w:ascii="仿宋_GB2312" w:hAnsi="仿宋_GB2312" w:eastAsia="仿宋_GB2312" w:cs="仿宋_GB2312"/>
          <w:color w:val="000000"/>
          <w:kern w:val="0"/>
          <w:sz w:val="31"/>
          <w:szCs w:val="31"/>
        </w:rPr>
        <w:t>年机关运行经费</w:t>
      </w:r>
      <w:r>
        <w:rPr>
          <w:rFonts w:hint="eastAsia" w:ascii="仿宋_GB2312" w:hAnsi="宋体" w:eastAsia="仿宋_GB2312" w:cs="仿宋_GB2312"/>
          <w:color w:val="000000"/>
          <w:kern w:val="0"/>
          <w:sz w:val="32"/>
          <w:szCs w:val="32"/>
        </w:rPr>
        <w:t>支出决算为3.20万元。</w:t>
      </w:r>
    </w:p>
    <w:p>
      <w:pPr>
        <w:spacing w:line="560" w:lineRule="exact"/>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（二）政府采购支出情况说明。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年无政府采购支出。</w:t>
      </w:r>
    </w:p>
    <w:p>
      <w:pPr>
        <w:spacing w:line="560" w:lineRule="exact"/>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（三）国有资产占用及购置情况说明。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年末，本部门机关及所属单位共有车辆0辆；单价</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万元以上的通用设备0台（套）；单价</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万元以上的专用设备0台（套）。</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年当年购置车辆0辆；购置单价</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万元以上的通用设备0台（套）；购置单价</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万元以上的专用设备0台（套）。</w:t>
      </w:r>
    </w:p>
    <w:p>
      <w:pPr>
        <w:spacing w:line="560" w:lineRule="exact"/>
        <w:jc w:val="center"/>
        <w:rPr>
          <w:sz w:val="44"/>
          <w:szCs w:val="44"/>
        </w:rPr>
      </w:pPr>
      <w:r>
        <w:rPr>
          <w:rFonts w:hint="eastAsia" w:ascii="黑体" w:hAnsi="宋体" w:eastAsia="黑体"/>
          <w:color w:val="000000"/>
          <w:kern w:val="0"/>
          <w:sz w:val="44"/>
          <w:szCs w:val="44"/>
        </w:rPr>
        <w:t>第四部分专业名词解释</w:t>
      </w:r>
    </w:p>
    <w:p>
      <w:pPr>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基本支出</w:t>
      </w:r>
      <w:r>
        <w:rPr>
          <w:rFonts w:hint="eastAsia" w:ascii="仿宋_GB2312" w:hAnsi="仿宋_GB2312" w:eastAsia="仿宋_GB2312" w:cs="仿宋_GB2312"/>
          <w:sz w:val="32"/>
          <w:szCs w:val="32"/>
        </w:rPr>
        <w:t>：指为保障机构正常运转、完成日常工作任务而发生的各项支出。</w:t>
      </w:r>
    </w:p>
    <w:p>
      <w:pPr>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项目支出</w:t>
      </w:r>
      <w:r>
        <w:rPr>
          <w:rFonts w:hint="eastAsia" w:ascii="仿宋_GB2312" w:hAnsi="仿宋_GB2312" w:eastAsia="仿宋_GB2312" w:cs="仿宋_GB2312"/>
          <w:sz w:val="32"/>
          <w:szCs w:val="32"/>
        </w:rPr>
        <w:t>：指单位为完成特定的行政工作任务或事业发展目标所发生的各项支出。</w:t>
      </w:r>
    </w:p>
    <w:p>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spacing w:line="560" w:lineRule="exact"/>
        <w:ind w:firstLine="640"/>
        <w:rPr>
          <w:rFonts w:hint="eastAsia" w:ascii="仿宋_GB2312" w:hAnsi="仿宋_GB2312" w:eastAsia="仿宋_GB2312" w:cs="仿宋_GB2312"/>
          <w:sz w:val="32"/>
          <w:szCs w:val="32"/>
        </w:rPr>
      </w:pP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财政拨款收入</w:t>
      </w:r>
      <w:r>
        <w:rPr>
          <w:rFonts w:hint="eastAsia" w:ascii="仿宋_GB2312" w:hAnsi="仿宋_GB2312" w:eastAsia="仿宋_GB2312" w:cs="仿宋_GB2312"/>
          <w:sz w:val="32"/>
          <w:szCs w:val="32"/>
        </w:rPr>
        <w:t>：指本级财政当年拨付的资金。</w:t>
      </w:r>
    </w:p>
    <w:p>
      <w:pPr>
        <w:pStyle w:val="2"/>
      </w:pPr>
    </w:p>
    <w:sectPr>
      <w:pgSz w:w="11906" w:h="16838"/>
      <w:pgMar w:top="1984" w:right="1587" w:bottom="2098" w:left="1474"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EhoQgobAgAAIQQAAA4A&#10;AAAAAAAAAQAgAAAAHwEAAGRycy9lMm9Eb2MueG1sUEsFBgAAAAAGAAYAWQEAAKw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NotTrackMoves/>
  <w:documentProtection w:enforcement="0"/>
  <w:defaultTabStop w:val="420"/>
  <w:drawingGridHorizontalSpacing w:val="105"/>
  <w:drawingGridVerticalSpacing w:val="158"/>
  <w:displayVerticalDrawingGridEvery w:val="2"/>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AA6038"/>
    <w:rsid w:val="00050E89"/>
    <w:rsid w:val="00146787"/>
    <w:rsid w:val="00164001"/>
    <w:rsid w:val="001D7568"/>
    <w:rsid w:val="002424C8"/>
    <w:rsid w:val="0026476C"/>
    <w:rsid w:val="002A7893"/>
    <w:rsid w:val="003364E9"/>
    <w:rsid w:val="003D65F5"/>
    <w:rsid w:val="00452E2E"/>
    <w:rsid w:val="004B6D6E"/>
    <w:rsid w:val="005376A0"/>
    <w:rsid w:val="00614BB8"/>
    <w:rsid w:val="00747A56"/>
    <w:rsid w:val="007513E8"/>
    <w:rsid w:val="00780EFB"/>
    <w:rsid w:val="00813F4A"/>
    <w:rsid w:val="008D167A"/>
    <w:rsid w:val="009B0EA0"/>
    <w:rsid w:val="00A71A99"/>
    <w:rsid w:val="00B501F0"/>
    <w:rsid w:val="00B7067D"/>
    <w:rsid w:val="00B80654"/>
    <w:rsid w:val="00D72E73"/>
    <w:rsid w:val="00DA047D"/>
    <w:rsid w:val="00E4076F"/>
    <w:rsid w:val="00E67004"/>
    <w:rsid w:val="00E8111E"/>
    <w:rsid w:val="010764C7"/>
    <w:rsid w:val="010E0F72"/>
    <w:rsid w:val="013B79AC"/>
    <w:rsid w:val="01ED4542"/>
    <w:rsid w:val="02010738"/>
    <w:rsid w:val="021331CF"/>
    <w:rsid w:val="02632503"/>
    <w:rsid w:val="02794777"/>
    <w:rsid w:val="03ED6206"/>
    <w:rsid w:val="04255444"/>
    <w:rsid w:val="08D45050"/>
    <w:rsid w:val="097F4F9E"/>
    <w:rsid w:val="09B702F8"/>
    <w:rsid w:val="0AC75EE4"/>
    <w:rsid w:val="0AFF4101"/>
    <w:rsid w:val="0BD95A2F"/>
    <w:rsid w:val="0CED4950"/>
    <w:rsid w:val="0D437461"/>
    <w:rsid w:val="0E466166"/>
    <w:rsid w:val="0F8C6425"/>
    <w:rsid w:val="1066317A"/>
    <w:rsid w:val="125E2600"/>
    <w:rsid w:val="12D62199"/>
    <w:rsid w:val="132E46A0"/>
    <w:rsid w:val="13B772A3"/>
    <w:rsid w:val="14411117"/>
    <w:rsid w:val="1586116E"/>
    <w:rsid w:val="15CC451D"/>
    <w:rsid w:val="177672A7"/>
    <w:rsid w:val="18026B98"/>
    <w:rsid w:val="18BB4AD7"/>
    <w:rsid w:val="19E5557E"/>
    <w:rsid w:val="1B1704E4"/>
    <w:rsid w:val="1B4A3FDA"/>
    <w:rsid w:val="1B524C98"/>
    <w:rsid w:val="1B88586F"/>
    <w:rsid w:val="1C5E2F73"/>
    <w:rsid w:val="1CA11BF8"/>
    <w:rsid w:val="1D6E0C0D"/>
    <w:rsid w:val="1E527E30"/>
    <w:rsid w:val="1EED1725"/>
    <w:rsid w:val="1F431102"/>
    <w:rsid w:val="1F720926"/>
    <w:rsid w:val="1FC17AA7"/>
    <w:rsid w:val="221C15BB"/>
    <w:rsid w:val="23980446"/>
    <w:rsid w:val="245F399D"/>
    <w:rsid w:val="25627BE9"/>
    <w:rsid w:val="27F42EA9"/>
    <w:rsid w:val="28D338B5"/>
    <w:rsid w:val="29523B42"/>
    <w:rsid w:val="29785A6B"/>
    <w:rsid w:val="29AC2A51"/>
    <w:rsid w:val="2A67152C"/>
    <w:rsid w:val="2AAD6054"/>
    <w:rsid w:val="2BBD6D76"/>
    <w:rsid w:val="2BC536E8"/>
    <w:rsid w:val="2D1F3974"/>
    <w:rsid w:val="2D664619"/>
    <w:rsid w:val="2DB52EF2"/>
    <w:rsid w:val="2DE6072E"/>
    <w:rsid w:val="2E2F07D7"/>
    <w:rsid w:val="2F742B59"/>
    <w:rsid w:val="2FF7061E"/>
    <w:rsid w:val="31AA6038"/>
    <w:rsid w:val="33866A3B"/>
    <w:rsid w:val="33887EE3"/>
    <w:rsid w:val="34677C61"/>
    <w:rsid w:val="34D70628"/>
    <w:rsid w:val="35B55B70"/>
    <w:rsid w:val="35D57FE2"/>
    <w:rsid w:val="360B1397"/>
    <w:rsid w:val="363C3648"/>
    <w:rsid w:val="367D0319"/>
    <w:rsid w:val="36E733BB"/>
    <w:rsid w:val="37165C93"/>
    <w:rsid w:val="38490334"/>
    <w:rsid w:val="38C10911"/>
    <w:rsid w:val="39DF7A95"/>
    <w:rsid w:val="3A2B4615"/>
    <w:rsid w:val="3A2E1CB1"/>
    <w:rsid w:val="3AD10053"/>
    <w:rsid w:val="3B121AD1"/>
    <w:rsid w:val="3BF534DF"/>
    <w:rsid w:val="3CFD0D2E"/>
    <w:rsid w:val="3E1E71DA"/>
    <w:rsid w:val="3E28200A"/>
    <w:rsid w:val="3F1A5D14"/>
    <w:rsid w:val="3F325444"/>
    <w:rsid w:val="3F7C492A"/>
    <w:rsid w:val="3FCF2ABE"/>
    <w:rsid w:val="41603979"/>
    <w:rsid w:val="41CF436B"/>
    <w:rsid w:val="424B5E4B"/>
    <w:rsid w:val="42580B72"/>
    <w:rsid w:val="43E46B0F"/>
    <w:rsid w:val="442D7522"/>
    <w:rsid w:val="446452BA"/>
    <w:rsid w:val="446746D4"/>
    <w:rsid w:val="45353C08"/>
    <w:rsid w:val="4619368A"/>
    <w:rsid w:val="47116CAF"/>
    <w:rsid w:val="471F2499"/>
    <w:rsid w:val="47880394"/>
    <w:rsid w:val="486F682D"/>
    <w:rsid w:val="497004D3"/>
    <w:rsid w:val="4A326497"/>
    <w:rsid w:val="4BF44A51"/>
    <w:rsid w:val="4CCE0694"/>
    <w:rsid w:val="4D6E0FDF"/>
    <w:rsid w:val="4EE4307A"/>
    <w:rsid w:val="4F143F19"/>
    <w:rsid w:val="4F896297"/>
    <w:rsid w:val="50575C74"/>
    <w:rsid w:val="508831EB"/>
    <w:rsid w:val="50CF4E37"/>
    <w:rsid w:val="5153143F"/>
    <w:rsid w:val="518C2615"/>
    <w:rsid w:val="52256E1B"/>
    <w:rsid w:val="522D72AF"/>
    <w:rsid w:val="524E446D"/>
    <w:rsid w:val="538A4495"/>
    <w:rsid w:val="53C63AEA"/>
    <w:rsid w:val="54F12DEE"/>
    <w:rsid w:val="551A3D54"/>
    <w:rsid w:val="55AB5C81"/>
    <w:rsid w:val="57305623"/>
    <w:rsid w:val="57834888"/>
    <w:rsid w:val="583F71F4"/>
    <w:rsid w:val="59EF44BD"/>
    <w:rsid w:val="5B8D564A"/>
    <w:rsid w:val="5B9E2643"/>
    <w:rsid w:val="5C3D23AD"/>
    <w:rsid w:val="60CE6290"/>
    <w:rsid w:val="60FA6D30"/>
    <w:rsid w:val="63C77182"/>
    <w:rsid w:val="641A78C4"/>
    <w:rsid w:val="64C248E8"/>
    <w:rsid w:val="6504398F"/>
    <w:rsid w:val="65074FBA"/>
    <w:rsid w:val="67716C67"/>
    <w:rsid w:val="67F1559D"/>
    <w:rsid w:val="69512523"/>
    <w:rsid w:val="6A322E86"/>
    <w:rsid w:val="6A8A7425"/>
    <w:rsid w:val="6CB557ED"/>
    <w:rsid w:val="6D1D3535"/>
    <w:rsid w:val="6DFA1CE2"/>
    <w:rsid w:val="6F7B76A5"/>
    <w:rsid w:val="6F8668AF"/>
    <w:rsid w:val="6FFC6FEE"/>
    <w:rsid w:val="70116E4A"/>
    <w:rsid w:val="70390248"/>
    <w:rsid w:val="71086DB5"/>
    <w:rsid w:val="71C53BFF"/>
    <w:rsid w:val="71D735CD"/>
    <w:rsid w:val="75C31473"/>
    <w:rsid w:val="763862ED"/>
    <w:rsid w:val="766E3C4B"/>
    <w:rsid w:val="767E5DE8"/>
    <w:rsid w:val="76C66C62"/>
    <w:rsid w:val="76D424F0"/>
    <w:rsid w:val="774E5B03"/>
    <w:rsid w:val="798C1978"/>
    <w:rsid w:val="7A3C067E"/>
    <w:rsid w:val="7B962566"/>
    <w:rsid w:val="7BCF31FF"/>
    <w:rsid w:val="7C3E5E46"/>
    <w:rsid w:val="7C5B5A63"/>
    <w:rsid w:val="7D146464"/>
    <w:rsid w:val="7ED9037F"/>
    <w:rsid w:val="7EE759C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99" w:semiHidden="0" w:name="Balloon Text"/>
    <w:lsdException w:qFormat="1" w:unhideWhenUsed="0" w:uiPriority="9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06" w:firstLine="640"/>
    </w:pPr>
    <w:rPr>
      <w:rFonts w:ascii="仿宋_GB2312" w:hAnsi="仿宋_GB2312" w:eastAsia="仿宋_GB2312" w:cs="仿宋_GB2312"/>
      <w:sz w:val="32"/>
      <w:szCs w:val="32"/>
      <w:lang w:val="zh-CN" w:bidi="zh-CN"/>
    </w:rPr>
  </w:style>
  <w:style w:type="paragraph" w:styleId="3">
    <w:name w:val="annotation text"/>
    <w:basedOn w:val="1"/>
    <w:link w:val="12"/>
    <w:qFormat/>
    <w:uiPriority w:val="99"/>
    <w:pPr>
      <w:jc w:val="left"/>
    </w:pPr>
  </w:style>
  <w:style w:type="paragraph" w:styleId="4">
    <w:name w:val="Balloon Text"/>
    <w:basedOn w:val="1"/>
    <w:link w:val="13"/>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rPr>
  </w:style>
  <w:style w:type="paragraph" w:styleId="6">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3"/>
    <w:next w:val="3"/>
    <w:link w:val="16"/>
    <w:qFormat/>
    <w:uiPriority w:val="99"/>
    <w:rPr>
      <w:b/>
      <w:bCs/>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qFormat/>
    <w:uiPriority w:val="99"/>
    <w:rPr>
      <w:rFonts w:cs="Times New Roman"/>
      <w:sz w:val="21"/>
      <w:szCs w:val="21"/>
    </w:rPr>
  </w:style>
  <w:style w:type="character" w:customStyle="1" w:styleId="12">
    <w:name w:val="批注文字 Char"/>
    <w:basedOn w:val="10"/>
    <w:link w:val="3"/>
    <w:qFormat/>
    <w:locked/>
    <w:uiPriority w:val="99"/>
    <w:rPr>
      <w:rFonts w:ascii="Calibri" w:hAnsi="Calibri" w:cs="黑体"/>
      <w:kern w:val="2"/>
      <w:sz w:val="24"/>
      <w:szCs w:val="24"/>
    </w:rPr>
  </w:style>
  <w:style w:type="character" w:customStyle="1" w:styleId="13">
    <w:name w:val="批注框文本 Char"/>
    <w:basedOn w:val="10"/>
    <w:link w:val="4"/>
    <w:qFormat/>
    <w:locked/>
    <w:uiPriority w:val="99"/>
    <w:rPr>
      <w:rFonts w:ascii="Calibri" w:hAnsi="Calibri" w:cs="黑体"/>
      <w:kern w:val="2"/>
      <w:sz w:val="18"/>
      <w:szCs w:val="18"/>
    </w:rPr>
  </w:style>
  <w:style w:type="character" w:customStyle="1" w:styleId="14">
    <w:name w:val="页脚 Char"/>
    <w:basedOn w:val="10"/>
    <w:link w:val="5"/>
    <w:semiHidden/>
    <w:qFormat/>
    <w:uiPriority w:val="99"/>
    <w:rPr>
      <w:rFonts w:ascii="Calibri" w:hAnsi="Calibri" w:cs="黑体"/>
      <w:sz w:val="18"/>
      <w:szCs w:val="18"/>
    </w:rPr>
  </w:style>
  <w:style w:type="character" w:customStyle="1" w:styleId="15">
    <w:name w:val="页眉 Char"/>
    <w:basedOn w:val="10"/>
    <w:link w:val="6"/>
    <w:semiHidden/>
    <w:qFormat/>
    <w:uiPriority w:val="99"/>
    <w:rPr>
      <w:rFonts w:ascii="Calibri" w:hAnsi="Calibri" w:cs="黑体"/>
      <w:sz w:val="18"/>
      <w:szCs w:val="18"/>
    </w:rPr>
  </w:style>
  <w:style w:type="character" w:customStyle="1" w:styleId="16">
    <w:name w:val="批注主题 Char"/>
    <w:basedOn w:val="12"/>
    <w:link w:val="7"/>
    <w:qFormat/>
    <w:locked/>
    <w:uiPriority w:val="99"/>
    <w:rPr>
      <w:b/>
      <w:bCs/>
    </w:rPr>
  </w:style>
  <w:style w:type="character" w:customStyle="1" w:styleId="17">
    <w:name w:val="font31"/>
    <w:basedOn w:val="10"/>
    <w:qFormat/>
    <w:uiPriority w:val="0"/>
    <w:rPr>
      <w:rFonts w:hint="eastAsia" w:ascii="黑体" w:hAnsi="宋体" w:eastAsia="黑体" w:cs="黑体"/>
      <w:color w:val="000000"/>
      <w:sz w:val="20"/>
      <w:szCs w:val="20"/>
      <w:u w:val="none"/>
    </w:rPr>
  </w:style>
  <w:style w:type="character" w:customStyle="1" w:styleId="18">
    <w:name w:val="font91"/>
    <w:basedOn w:val="10"/>
    <w:qFormat/>
    <w:uiPriority w:val="0"/>
    <w:rPr>
      <w:rFonts w:hint="eastAsia" w:ascii="楷体_GB2312" w:eastAsia="楷体_GB2312" w:cs="楷体_GB2312"/>
      <w:color w:val="000000"/>
      <w:sz w:val="16"/>
      <w:szCs w:val="16"/>
      <w:u w:val="none"/>
    </w:rPr>
  </w:style>
  <w:style w:type="character" w:customStyle="1" w:styleId="19">
    <w:name w:val="font71"/>
    <w:basedOn w:val="10"/>
    <w:qFormat/>
    <w:uiPriority w:val="0"/>
    <w:rPr>
      <w:rFonts w:hint="eastAsia" w:ascii="楷体_GB2312" w:eastAsia="楷体_GB2312" w:cs="楷体_GB231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编制人数</c:v>
                </c:pt>
              </c:strCache>
            </c:strRef>
          </c:tx>
          <c:spPr>
            <a:solidFill>
              <a:schemeClr val="accent1"/>
            </a:solidFill>
            <a:ln>
              <a:noFill/>
            </a:ln>
            <a:effectLst/>
          </c:spPr>
          <c:invertIfNegative val="0"/>
          <c:dLbls>
            <c:delete val="1"/>
          </c:dLbls>
          <c:cat>
            <c:strRef>
              <c:f>Sheet1!$A$2:$A$4</c:f>
              <c:strCache>
                <c:ptCount val="3"/>
                <c:pt idx="0">
                  <c:v>行政人员</c:v>
                </c:pt>
                <c:pt idx="1">
                  <c:v>事业人员</c:v>
                </c:pt>
                <c:pt idx="2">
                  <c:v>离退休人员</c:v>
                </c:pt>
              </c:strCache>
            </c:strRef>
          </c:cat>
          <c:val>
            <c:numRef>
              <c:f>Sheet1!$B$2:$B$4</c:f>
              <c:numCache>
                <c:formatCode>General</c:formatCode>
                <c:ptCount val="3"/>
                <c:pt idx="0">
                  <c:v>4</c:v>
                </c:pt>
                <c:pt idx="1">
                  <c:v>10</c:v>
                </c:pt>
                <c:pt idx="2">
                  <c:v>0</c:v>
                </c:pt>
              </c:numCache>
            </c:numRef>
          </c:val>
        </c:ser>
        <c:ser>
          <c:idx val="1"/>
          <c:order val="1"/>
          <c:tx>
            <c:strRef>
              <c:f>Sheet1!$C$1</c:f>
              <c:strCache>
                <c:ptCount val="1"/>
                <c:pt idx="0">
                  <c:v>实有人数</c:v>
                </c:pt>
              </c:strCache>
            </c:strRef>
          </c:tx>
          <c:spPr>
            <a:solidFill>
              <a:schemeClr val="accent2"/>
            </a:solidFill>
            <a:ln>
              <a:noFill/>
            </a:ln>
            <a:effectLst/>
          </c:spPr>
          <c:invertIfNegative val="0"/>
          <c:dLbls>
            <c:delete val="1"/>
          </c:dLbls>
          <c:cat>
            <c:strRef>
              <c:f>Sheet1!$A$2:$A$4</c:f>
              <c:strCache>
                <c:ptCount val="3"/>
                <c:pt idx="0">
                  <c:v>行政人员</c:v>
                </c:pt>
                <c:pt idx="1">
                  <c:v>事业人员</c:v>
                </c:pt>
                <c:pt idx="2">
                  <c:v>离退休人员</c:v>
                </c:pt>
              </c:strCache>
            </c:strRef>
          </c:cat>
          <c:val>
            <c:numRef>
              <c:f>Sheet1!$C$2:$C$4</c:f>
              <c:numCache>
                <c:formatCode>General</c:formatCode>
                <c:ptCount val="3"/>
                <c:pt idx="0">
                  <c:v>4</c:v>
                </c:pt>
                <c:pt idx="1">
                  <c:v>7</c:v>
                </c:pt>
                <c:pt idx="2">
                  <c:v>0</c:v>
                </c:pt>
              </c:numCache>
            </c:numRef>
          </c:val>
        </c:ser>
        <c:dLbls>
          <c:showLegendKey val="0"/>
          <c:showVal val="0"/>
          <c:showCatName val="0"/>
          <c:showSerName val="0"/>
          <c:showPercent val="0"/>
          <c:showBubbleSize val="0"/>
        </c:dLbls>
        <c:gapWidth val="219"/>
        <c:overlap val="-27"/>
        <c:axId val="98390784"/>
        <c:axId val="98392320"/>
      </c:barChart>
      <c:catAx>
        <c:axId val="9839078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392320"/>
        <c:crosses val="autoZero"/>
        <c:auto val="1"/>
        <c:lblAlgn val="ctr"/>
        <c:lblOffset val="100"/>
        <c:noMultiLvlLbl val="0"/>
      </c:catAx>
      <c:valAx>
        <c:axId val="9839232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39078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cap="all" spc="5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收入结构图</c:v>
                </c:pt>
              </c:strCache>
            </c:strRef>
          </c:tx>
          <c:explosion val="0"/>
          <c:dPt>
            <c:idx val="0"/>
            <c:bubble3D val="0"/>
            <c:spPr>
              <a:solidFill>
                <a:schemeClr val="accent1"/>
              </a:solidFill>
              <a:ln>
                <a:noFill/>
              </a:ln>
              <a:effectLst/>
            </c:spPr>
          </c:dPt>
          <c:dPt>
            <c:idx val="1"/>
            <c:bubble3D val="0"/>
            <c:spPr>
              <a:solidFill>
                <a:schemeClr val="accent2"/>
              </a:solidFill>
              <a:ln>
                <a:noFill/>
              </a:ln>
              <a:effectLst/>
            </c:spPr>
          </c:dPt>
          <c:dLbls>
            <c:dLbl>
              <c:idx val="0"/>
              <c:layout/>
              <c:tx>
                <c:rich>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r>
                      <a:t>89</a:t>
                    </a:r>
                    <a:r>
                      <a:rPr lang="en-US" altLang="zh-CN"/>
                      <a:t>.12</a:t>
                    </a:r>
                    <a:r>
                      <a:t>%</a:t>
                    </a:r>
                  </a:p>
                </c:rich>
              </c:tx>
              <c:dLblPos val="inEnd"/>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r>
                      <a:rPr lang="en-US" altLang="zh-CN"/>
                      <a:t>10.88</a:t>
                    </a:r>
                    <a:r>
                      <a:t>%</a:t>
                    </a:r>
                  </a:p>
                </c:rich>
              </c:tx>
              <c:dLblPos val="inEnd"/>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财政拨款收入</c:v>
                </c:pt>
                <c:pt idx="1">
                  <c:v>其他收入</c:v>
                </c:pt>
              </c:strCache>
            </c:strRef>
          </c:cat>
          <c:val>
            <c:numRef>
              <c:f>Sheet1!$B$2:$B$3</c:f>
              <c:numCache>
                <c:formatCode>General</c:formatCode>
                <c:ptCount val="2"/>
                <c:pt idx="0">
                  <c:v>82.62</c:v>
                </c:pt>
                <c:pt idx="1">
                  <c:v>10.09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cap="all" spc="50" baseline="0">
                <a:solidFill>
                  <a:schemeClr val="tx1">
                    <a:lumMod val="65000"/>
                    <a:lumOff val="35000"/>
                  </a:schemeClr>
                </a:solidFill>
                <a:latin typeface="+mn-lt"/>
                <a:ea typeface="+mn-ea"/>
                <a:cs typeface="+mn-cs"/>
              </a:defRPr>
            </a:pPr>
            <a:r>
              <a:t>支出结构图</a:t>
            </a:r>
          </a:p>
        </c:rich>
      </c:tx>
      <c:layout/>
      <c:overlay val="0"/>
      <c:spPr>
        <a:noFill/>
        <a:ln>
          <a:noFill/>
        </a:ln>
        <a:effectLst/>
      </c:spPr>
    </c:title>
    <c:autoTitleDeleted val="0"/>
    <c:plotArea>
      <c:layout/>
      <c:pieChart>
        <c:varyColors val="1"/>
        <c:ser>
          <c:idx val="0"/>
          <c:order val="0"/>
          <c:tx>
            <c:strRef>
              <c:f>Sheet1!$B$1</c:f>
              <c:strCache>
                <c:ptCount val="1"/>
                <c:pt idx="0">
                  <c:v>支出结构图</c:v>
                </c:pt>
              </c:strCache>
            </c:strRef>
          </c:tx>
          <c:explosion val="0"/>
          <c:dPt>
            <c:idx val="0"/>
            <c:bubble3D val="0"/>
            <c:spPr>
              <a:solidFill>
                <a:schemeClr val="accent1">
                  <a:lumMod val="60000"/>
                  <a:lumOff val="40000"/>
                </a:schemeClr>
              </a:solidFill>
              <a:ln>
                <a:noFill/>
              </a:ln>
              <a:effectLst/>
            </c:spPr>
          </c:dPt>
          <c:dPt>
            <c:idx val="1"/>
            <c:bubble3D val="0"/>
            <c:spPr>
              <a:solidFill>
                <a:schemeClr val="accent3">
                  <a:lumMod val="60000"/>
                  <a:lumOff val="40000"/>
                </a:schemeClr>
              </a:solidFill>
              <a:ln>
                <a:noFill/>
              </a:ln>
              <a:effectLst/>
            </c:spPr>
          </c:dPt>
          <c:dLbls>
            <c:dLbl>
              <c:idx val="0"/>
              <c:layout/>
              <c:tx>
                <c:rich>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r>
                      <a:t>89</a:t>
                    </a:r>
                    <a:r>
                      <a:rPr lang="en-US" altLang="zh-CN"/>
                      <a:t>.12</a:t>
                    </a:r>
                    <a:r>
                      <a:t>%</a:t>
                    </a:r>
                  </a:p>
                </c:rich>
              </c:tx>
              <c:dLblPos val="inEnd"/>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r>
                      <a:rPr lang="en-US" altLang="zh-CN"/>
                      <a:t>10.88</a:t>
                    </a:r>
                    <a:r>
                      <a:t>%</a:t>
                    </a:r>
                  </a:p>
                </c:rich>
              </c:tx>
              <c:dLblPos val="inEnd"/>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82.62</c:v>
                </c:pt>
                <c:pt idx="1">
                  <c:v>10.09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272648752399232"/>
          <c:y val="0.16671063044051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1682</Words>
  <Characters>9590</Characters>
  <Lines>79</Lines>
  <Paragraphs>22</Paragraphs>
  <TotalTime>46</TotalTime>
  <ScaleCrop>false</ScaleCrop>
  <LinksUpToDate>false</LinksUpToDate>
  <CharactersWithSpaces>11250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2020-07-23T09:23:00Z</dcterms:created>
  <dc:creator>Administrator</dc:creator>
  <cp:lastModifiedBy>Administrator</cp:lastModifiedBy>
  <cp:lastPrinted>2020-10-13T09:19:00Z</cp:lastPrinted>
  <dcterms:modified xsi:type="dcterms:W3CDTF">2020-11-02T06:15:02Z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