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B0" w:rsidRDefault="00CE1EB0">
      <w:pPr>
        <w:jc w:val="center"/>
        <w:rPr>
          <w:rFonts w:ascii="宋体" w:hAnsi="宋体" w:cs="宋体"/>
          <w:b/>
          <w:bCs/>
          <w:sz w:val="44"/>
          <w:szCs w:val="44"/>
        </w:rPr>
      </w:pPr>
    </w:p>
    <w:p w:rsidR="00CE1EB0" w:rsidRDefault="00CE1EB0">
      <w:pPr>
        <w:spacing w:line="440" w:lineRule="exact"/>
        <w:jc w:val="center"/>
        <w:rPr>
          <w:rFonts w:ascii="宋体" w:hAnsi="宋体" w:cs="宋体"/>
          <w:b/>
          <w:bCs/>
          <w:sz w:val="44"/>
          <w:szCs w:val="44"/>
        </w:rPr>
      </w:pPr>
    </w:p>
    <w:p w:rsidR="00CE1EB0" w:rsidRDefault="00836D70">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8"/>
          <w:szCs w:val="48"/>
        </w:rPr>
        <w:t>杨陵区水务</w:t>
      </w:r>
      <w:r w:rsidR="00B25AE7">
        <w:rPr>
          <w:rFonts w:asciiTheme="majorEastAsia" w:eastAsiaTheme="majorEastAsia" w:hAnsiTheme="majorEastAsia" w:cstheme="majorEastAsia" w:hint="eastAsia"/>
          <w:b/>
          <w:bCs/>
          <w:sz w:val="48"/>
          <w:szCs w:val="48"/>
        </w:rPr>
        <w:t>局2019年部门决算</w:t>
      </w:r>
    </w:p>
    <w:p w:rsidR="00CE1EB0" w:rsidRDefault="00CE1EB0">
      <w:pPr>
        <w:spacing w:line="560" w:lineRule="exact"/>
        <w:jc w:val="center"/>
        <w:rPr>
          <w:rFonts w:asciiTheme="majorEastAsia" w:eastAsiaTheme="majorEastAsia" w:hAnsiTheme="majorEastAsia" w:cstheme="majorEastAsia"/>
          <w:b/>
          <w:bCs/>
          <w:sz w:val="44"/>
          <w:szCs w:val="44"/>
        </w:rPr>
      </w:pPr>
    </w:p>
    <w:p w:rsidR="00CE1EB0" w:rsidRDefault="00CE1EB0">
      <w:pPr>
        <w:spacing w:line="560" w:lineRule="exact"/>
        <w:jc w:val="center"/>
        <w:rPr>
          <w:rFonts w:asciiTheme="majorEastAsia" w:eastAsiaTheme="majorEastAsia" w:hAnsiTheme="majorEastAsia" w:cstheme="majorEastAsia"/>
          <w:b/>
          <w:bCs/>
          <w:sz w:val="44"/>
          <w:szCs w:val="44"/>
        </w:rPr>
      </w:pPr>
    </w:p>
    <w:p w:rsidR="00CE1EB0" w:rsidRDefault="00CE1EB0">
      <w:pPr>
        <w:spacing w:line="560" w:lineRule="exact"/>
        <w:jc w:val="center"/>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400" w:lineRule="exact"/>
        <w:ind w:firstLineChars="800" w:firstLine="2570"/>
        <w:rPr>
          <w:rFonts w:asciiTheme="majorEastAsia" w:eastAsiaTheme="majorEastAsia" w:hAnsiTheme="majorEastAsia" w:cstheme="majorEastAsia"/>
          <w:b/>
          <w:bCs/>
          <w:sz w:val="32"/>
          <w:szCs w:val="32"/>
        </w:rPr>
      </w:pPr>
    </w:p>
    <w:p w:rsidR="00CE1EB0" w:rsidRDefault="00CE1EB0">
      <w:pPr>
        <w:spacing w:line="400" w:lineRule="exact"/>
        <w:ind w:firstLineChars="800" w:firstLine="2570"/>
        <w:rPr>
          <w:rFonts w:asciiTheme="majorEastAsia" w:eastAsiaTheme="majorEastAsia" w:hAnsiTheme="majorEastAsia" w:cstheme="majorEastAsia"/>
          <w:b/>
          <w:bCs/>
          <w:sz w:val="32"/>
          <w:szCs w:val="32"/>
        </w:rPr>
      </w:pPr>
    </w:p>
    <w:p w:rsidR="00CE1EB0" w:rsidRDefault="00B25AE7">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w:t>
      </w:r>
    </w:p>
    <w:p w:rsidR="00CE1EB0" w:rsidRDefault="00CE1EB0">
      <w:pPr>
        <w:spacing w:line="400" w:lineRule="exact"/>
        <w:jc w:val="center"/>
        <w:rPr>
          <w:rFonts w:ascii="宋体" w:hAnsi="宋体" w:cs="宋体"/>
          <w:b/>
          <w:bCs/>
          <w:sz w:val="32"/>
          <w:szCs w:val="32"/>
        </w:rPr>
      </w:pPr>
    </w:p>
    <w:p w:rsidR="00CE1EB0" w:rsidRDefault="00B25AE7">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Pr>
          <w:rFonts w:asciiTheme="majorEastAsia" w:eastAsiaTheme="majorEastAsia" w:hAnsiTheme="majorEastAsia" w:cstheme="majorEastAsia" w:hint="eastAsia"/>
          <w:b/>
          <w:bCs/>
          <w:sz w:val="32"/>
          <w:szCs w:val="32"/>
        </w:rPr>
        <w:t>已审</w:t>
      </w:r>
    </w:p>
    <w:p w:rsidR="00CE1EB0" w:rsidRDefault="00CE1EB0">
      <w:pPr>
        <w:spacing w:line="400" w:lineRule="exact"/>
        <w:rPr>
          <w:rFonts w:ascii="宋体" w:hAnsi="宋体" w:cs="宋体"/>
          <w:b/>
          <w:bCs/>
          <w:sz w:val="32"/>
          <w:szCs w:val="32"/>
        </w:rPr>
      </w:pPr>
    </w:p>
    <w:p w:rsidR="00CE1EB0" w:rsidRDefault="00CE1EB0">
      <w:pPr>
        <w:spacing w:line="400" w:lineRule="exact"/>
        <w:rPr>
          <w:rFonts w:ascii="宋体" w:hAnsi="宋体" w:cs="宋体"/>
          <w:b/>
          <w:bCs/>
          <w:sz w:val="32"/>
          <w:szCs w:val="32"/>
        </w:rPr>
      </w:pPr>
    </w:p>
    <w:p w:rsidR="00CE1EB0" w:rsidRDefault="00B25AE7">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CE1EB0" w:rsidRDefault="00B25AE7">
      <w:pPr>
        <w:widowControl/>
        <w:jc w:val="center"/>
      </w:pPr>
      <w:r>
        <w:rPr>
          <w:rFonts w:ascii="黑体" w:eastAsia="黑体" w:hAnsi="宋体" w:hint="eastAsia"/>
          <w:color w:val="000000"/>
          <w:kern w:val="0"/>
          <w:sz w:val="32"/>
          <w:szCs w:val="32"/>
        </w:rPr>
        <w:t>第一部分 部门概况</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CE1EB0" w:rsidRDefault="00B25AE7">
      <w:pPr>
        <w:widowControl/>
        <w:jc w:val="center"/>
      </w:pPr>
      <w:r>
        <w:rPr>
          <w:rFonts w:ascii="黑体" w:eastAsia="黑体" w:hAnsi="宋体" w:hint="eastAsia"/>
          <w:color w:val="000000"/>
          <w:kern w:val="0"/>
          <w:sz w:val="32"/>
          <w:szCs w:val="32"/>
        </w:rPr>
        <w:t>第二部分  2019年部门决算表</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CE1EB0" w:rsidRDefault="00B25AE7">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CE1EB0" w:rsidRDefault="00B25AE7">
      <w:pPr>
        <w:widowControl/>
        <w:jc w:val="center"/>
      </w:pPr>
      <w:r>
        <w:rPr>
          <w:rFonts w:ascii="黑体" w:eastAsia="黑体" w:hAnsi="宋体" w:hint="eastAsia"/>
          <w:color w:val="000000"/>
          <w:kern w:val="0"/>
          <w:sz w:val="32"/>
          <w:szCs w:val="32"/>
        </w:rPr>
        <w:t>第三部分 2019年部门决算情况说明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p>
    <w:p w:rsidR="00CE1EB0" w:rsidRDefault="00B25AE7">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p>
    <w:p w:rsidR="00CE1EB0" w:rsidRDefault="00B25AE7">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p>
    <w:p w:rsidR="00CE1EB0" w:rsidRDefault="00B25AE7">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CE1EB0" w:rsidRDefault="00B25AE7">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CE1EB0" w:rsidRDefault="00B25AE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一、部门主要职责及内设机构</w:t>
      </w:r>
    </w:p>
    <w:p w:rsidR="00CE1EB0" w:rsidRDefault="00B25AE7">
      <w:pPr>
        <w:widowControl/>
        <w:ind w:firstLineChars="200" w:firstLine="562"/>
        <w:jc w:val="left"/>
        <w:rPr>
          <w:rFonts w:asciiTheme="minorEastAsia" w:eastAsiaTheme="minorEastAsia" w:hAnsiTheme="minorEastAsia" w:cs="楷体"/>
          <w:b/>
          <w:bCs/>
          <w:color w:val="000000"/>
          <w:kern w:val="0"/>
          <w:sz w:val="28"/>
          <w:szCs w:val="28"/>
        </w:rPr>
      </w:pPr>
      <w:r>
        <w:rPr>
          <w:rFonts w:asciiTheme="minorEastAsia" w:eastAsiaTheme="minorEastAsia" w:hAnsiTheme="minorEastAsia" w:cs="楷体" w:hint="eastAsia"/>
          <w:b/>
          <w:bCs/>
          <w:color w:val="000000"/>
          <w:kern w:val="0"/>
          <w:sz w:val="28"/>
          <w:szCs w:val="28"/>
        </w:rPr>
        <w:t>（一）主要职责。</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1、负责保障全区水资源的合理开发利用。</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2、负责生活、生产经营和生态环境用水的统筹和保障。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3、按规定制定水利工程建设的有关制度并组织实施。</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4、负责水资源保护工作。</w:t>
      </w:r>
    </w:p>
    <w:p w:rsidR="00CE1EB0" w:rsidRDefault="00B25AE7">
      <w:pPr>
        <w:pStyle w:val="a7"/>
        <w:spacing w:line="300" w:lineRule="exact"/>
        <w:ind w:firstLineChars="150" w:firstLine="420"/>
        <w:rPr>
          <w:rFonts w:ascii="宋体" w:hAnsi="宋体" w:cs="宋体"/>
          <w:color w:val="000000"/>
          <w:sz w:val="28"/>
          <w:szCs w:val="28"/>
        </w:rPr>
      </w:pPr>
      <w:r>
        <w:rPr>
          <w:rFonts w:ascii="宋体" w:hAnsi="宋体" w:cs="宋体" w:hint="eastAsia"/>
          <w:color w:val="000000"/>
          <w:sz w:val="28"/>
          <w:szCs w:val="28"/>
        </w:rPr>
        <w:t xml:space="preserve">　5、负责节约用水工作。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 xml:space="preserve">6、负责地下水监测，发布全区水资源公报。 </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7、负责水利设施、水域及其岸线的管理、保护与综合利用。</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8、指导监督水利工程建设与运行管理。</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9、负责水土保持工作。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10、负责农村水利工作。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11、负责水利工程移民管理工作。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12、负责涉水违法事件的查处,负责水政监察和水行政执法。</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13、开展水利科技工作。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14、负责落实综合防灾减灾规划相关要求。</w:t>
      </w:r>
    </w:p>
    <w:p w:rsidR="00CE1EB0" w:rsidRDefault="00B25AE7">
      <w:pPr>
        <w:widowControl/>
        <w:ind w:firstLineChars="200" w:firstLine="562"/>
        <w:jc w:val="left"/>
        <w:rPr>
          <w:rFonts w:asciiTheme="minorEastAsia" w:eastAsiaTheme="minorEastAsia" w:hAnsiTheme="minorEastAsia" w:cs="楷体"/>
          <w:b/>
          <w:bCs/>
          <w:color w:val="000000"/>
          <w:kern w:val="0"/>
          <w:sz w:val="28"/>
          <w:szCs w:val="28"/>
        </w:rPr>
      </w:pPr>
      <w:r>
        <w:rPr>
          <w:rFonts w:asciiTheme="minorEastAsia" w:eastAsiaTheme="minorEastAsia" w:hAnsiTheme="minorEastAsia" w:cs="楷体" w:hint="eastAsia"/>
          <w:b/>
          <w:bCs/>
          <w:color w:val="000000"/>
          <w:kern w:val="0"/>
          <w:sz w:val="28"/>
          <w:szCs w:val="28"/>
        </w:rPr>
        <w:t>（二）内设机构。</w:t>
      </w:r>
    </w:p>
    <w:p w:rsidR="00CE1EB0" w:rsidRDefault="00B25AE7">
      <w:pPr>
        <w:ind w:firstLine="64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杨陵区水务局属财政全额拨款行政单位，下属事业单位包括：水利水保工作站、水政水资源办、河务工作站、水利工程质量监督站，均为独立法人，实行财务独立核算。截止2019年底总编制49 人，其中：行政</w:t>
      </w:r>
      <w:r>
        <w:rPr>
          <w:rFonts w:asciiTheme="minorEastAsia" w:eastAsiaTheme="minorEastAsia" w:hAnsiTheme="minorEastAsia" w:cs="仿宋_GB2312" w:hint="eastAsia"/>
          <w:sz w:val="28"/>
          <w:szCs w:val="28"/>
        </w:rPr>
        <w:lastRenderedPageBreak/>
        <w:t>编制 5人、事业编制及工勤人员 44 人；实有在职人员 44 人，其中：行政人员7人、事业人员 37 人。</w:t>
      </w:r>
    </w:p>
    <w:p w:rsidR="00CE1EB0" w:rsidRDefault="00B25AE7">
      <w:pPr>
        <w:widowControl/>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w:t>
      </w:r>
      <w:r>
        <w:rPr>
          <w:rFonts w:asciiTheme="minorEastAsia" w:eastAsiaTheme="minorEastAsia" w:hAnsiTheme="minorEastAsia" w:cs="仿宋_GB2312" w:hint="eastAsia"/>
          <w:sz w:val="28"/>
          <w:szCs w:val="28"/>
        </w:rPr>
        <w:t>部门决算单位构成</w:t>
      </w:r>
    </w:p>
    <w:p w:rsidR="00CE1EB0" w:rsidRDefault="00B25AE7">
      <w:pPr>
        <w:ind w:firstLine="64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纳入2019年本部门决算编制范围的单位共5个，包括本级及所属4个</w:t>
      </w:r>
      <w:r>
        <w:rPr>
          <w:rFonts w:asciiTheme="minorEastAsia" w:eastAsiaTheme="minorEastAsia" w:hAnsiTheme="minorEastAsia" w:cs="仿宋_GB2312"/>
          <w:sz w:val="28"/>
          <w:szCs w:val="28"/>
        </w:rPr>
        <w:t>二级预算</w:t>
      </w:r>
      <w:r>
        <w:rPr>
          <w:rFonts w:asciiTheme="minorEastAsia" w:eastAsiaTheme="minorEastAsia" w:hAnsiTheme="minorEastAsia" w:cs="仿宋_GB2312" w:hint="eastAsia"/>
          <w:sz w:val="28"/>
          <w:szCs w:val="28"/>
        </w:rPr>
        <w:t>单位：</w:t>
      </w:r>
    </w:p>
    <w:tbl>
      <w:tblPr>
        <w:tblStyle w:val="a9"/>
        <w:tblW w:w="8959" w:type="dxa"/>
        <w:tblLayout w:type="fixed"/>
        <w:tblLook w:val="04A0"/>
      </w:tblPr>
      <w:tblGrid>
        <w:gridCol w:w="1681"/>
        <w:gridCol w:w="7278"/>
      </w:tblGrid>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序号</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单位名称</w:t>
            </w:r>
          </w:p>
        </w:tc>
      </w:tr>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杨陵区水务局（本级）</w:t>
            </w:r>
          </w:p>
        </w:tc>
      </w:tr>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杨陵区水利水保工作站</w:t>
            </w:r>
          </w:p>
        </w:tc>
      </w:tr>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杨陵区水政水资源管理办公室</w:t>
            </w:r>
          </w:p>
        </w:tc>
      </w:tr>
      <w:tr w:rsidR="00CE1EB0">
        <w:trPr>
          <w:trHeight w:val="689"/>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杨陵区河务工作站</w:t>
            </w:r>
          </w:p>
        </w:tc>
      </w:tr>
      <w:tr w:rsidR="00CE1EB0">
        <w:trPr>
          <w:trHeight w:val="689"/>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杨陵区水利工程质量监督站</w:t>
            </w:r>
          </w:p>
        </w:tc>
      </w:tr>
    </w:tbl>
    <w:p w:rsidR="00CE1EB0" w:rsidRDefault="00B25AE7">
      <w:pPr>
        <w:widowControl/>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三、部门人员情况</w:t>
      </w:r>
    </w:p>
    <w:p w:rsidR="00CE1EB0" w:rsidRDefault="00B25AE7">
      <w:pPr>
        <w:widowControl/>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截止2019年底，本部门人员编制49人，其中：行政编制:5人、事业编制44人；实有人员44人，其中：行政7人、事业37人。单位管理的离退休人员21人。</w:t>
      </w:r>
    </w:p>
    <w:p w:rsidR="00CE1EB0" w:rsidRDefault="00B25AE7">
      <w:pPr>
        <w:widowControl/>
        <w:jc w:val="center"/>
        <w:rPr>
          <w:rFonts w:ascii="黑体" w:eastAsia="黑体" w:hAnsi="宋体"/>
          <w:color w:val="000000"/>
          <w:kern w:val="0"/>
          <w:sz w:val="44"/>
          <w:szCs w:val="44"/>
        </w:rPr>
      </w:pPr>
      <w:r>
        <w:rPr>
          <w:noProof/>
        </w:rPr>
        <w:lastRenderedPageBreak/>
        <w:drawing>
          <wp:inline distT="0" distB="0" distL="114300" distR="114300">
            <wp:extent cx="5612130" cy="3448685"/>
            <wp:effectExtent l="4445" t="4445" r="22225" b="1397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1EB0" w:rsidRDefault="00CE1EB0">
      <w:pPr>
        <w:widowControl/>
        <w:jc w:val="center"/>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B25AE7">
      <w:pPr>
        <w:widowControl/>
        <w:jc w:val="center"/>
        <w:rPr>
          <w:sz w:val="44"/>
          <w:szCs w:val="44"/>
        </w:rPr>
      </w:pPr>
      <w:r>
        <w:rPr>
          <w:rFonts w:ascii="黑体" w:eastAsia="黑体" w:hAnsi="宋体"/>
          <w:color w:val="000000"/>
          <w:kern w:val="0"/>
          <w:sz w:val="44"/>
          <w:szCs w:val="44"/>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CE1EB0">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B25AE7">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CE1EB0" w:rsidRDefault="00B25AE7">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本部门无政府性基金收入</w:t>
            </w:r>
          </w:p>
        </w:tc>
      </w:tr>
    </w:tbl>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B25AE7">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CE1EB0" w:rsidRDefault="00B25AE7">
      <w:pPr>
        <w:rPr>
          <w:rFonts w:ascii="宋体" w:hAnsi="宋体" w:cs="宋体"/>
          <w:b/>
          <w:bCs/>
          <w:szCs w:val="21"/>
        </w:rPr>
      </w:pPr>
      <w:r>
        <w:rPr>
          <w:rFonts w:ascii="宋体" w:hAnsi="宋体" w:cs="宋体" w:hint="eastAsia"/>
          <w:b/>
          <w:bCs/>
          <w:szCs w:val="21"/>
        </w:rPr>
        <w:t>公开01表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884" w:type="dxa"/>
        <w:tblLayout w:type="fixed"/>
        <w:tblCellMar>
          <w:top w:w="15" w:type="dxa"/>
          <w:left w:w="15" w:type="dxa"/>
          <w:bottom w:w="15" w:type="dxa"/>
          <w:right w:w="15" w:type="dxa"/>
        </w:tblCellMar>
        <w:tblLook w:val="04A0"/>
      </w:tblPr>
      <w:tblGrid>
        <w:gridCol w:w="2992"/>
        <w:gridCol w:w="1476"/>
        <w:gridCol w:w="3090"/>
        <w:gridCol w:w="1326"/>
      </w:tblGrid>
      <w:tr w:rsidR="00CE1EB0">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CE1EB0">
        <w:trPr>
          <w:trHeight w:val="378"/>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738</w:t>
            </w:r>
            <w:r>
              <w:rPr>
                <w:rFonts w:ascii="宋体" w:hAnsi="宋体" w:cs="宋体" w:hint="eastAsia"/>
                <w:color w:val="000000"/>
                <w:szCs w:val="21"/>
              </w:rPr>
              <w:t>.</w:t>
            </w:r>
            <w:r>
              <w:rPr>
                <w:rFonts w:ascii="宋体" w:hAnsi="宋体" w:cs="宋体"/>
                <w:color w:val="000000"/>
                <w:szCs w:val="21"/>
              </w:rPr>
              <w:t>59</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476" w:type="dxa"/>
            <w:tcBorders>
              <w:top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476" w:type="dxa"/>
            <w:tcBorders>
              <w:top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476" w:type="dxa"/>
            <w:tcBorders>
              <w:top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color w:val="000000"/>
                <w:szCs w:val="21"/>
              </w:rPr>
              <w:t>705</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3</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476" w:type="dxa"/>
            <w:tcBorders>
              <w:top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49"/>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476" w:type="dxa"/>
            <w:tcBorders>
              <w:top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3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476" w:type="dxa"/>
            <w:tcBorders>
              <w:top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1550</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2</w:t>
            </w:r>
          </w:p>
        </w:tc>
      </w:tr>
      <w:tr w:rsidR="00CE1EB0">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98"/>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5"/>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81"/>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45"/>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87"/>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87"/>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5"/>
        </w:trPr>
        <w:tc>
          <w:tcPr>
            <w:tcW w:w="2992"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476"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color w:val="000000"/>
                <w:szCs w:val="21"/>
              </w:rPr>
              <w:t>1444</w:t>
            </w: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2</w:t>
            </w:r>
          </w:p>
        </w:tc>
        <w:tc>
          <w:tcPr>
            <w:tcW w:w="3090"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1550</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2</w:t>
            </w:r>
          </w:p>
        </w:tc>
      </w:tr>
      <w:tr w:rsidR="00CE1EB0">
        <w:trPr>
          <w:trHeight w:val="355"/>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b/>
                <w:color w:val="000000"/>
                <w:szCs w:val="21"/>
              </w:rPr>
            </w:pPr>
          </w:p>
        </w:tc>
      </w:tr>
      <w:tr w:rsidR="00CE1EB0">
        <w:trPr>
          <w:trHeight w:val="371"/>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Cs/>
                <w:color w:val="000000"/>
                <w:szCs w:val="21"/>
              </w:rPr>
            </w:pPr>
            <w:r>
              <w:rPr>
                <w:rFonts w:ascii="宋体" w:hAnsi="宋体" w:cs="宋体"/>
                <w:bCs/>
                <w:color w:val="000000"/>
                <w:szCs w:val="21"/>
              </w:rPr>
              <w:t>1856</w:t>
            </w:r>
            <w:r>
              <w:rPr>
                <w:rFonts w:ascii="宋体" w:hAnsi="宋体" w:cs="宋体" w:hint="eastAsia"/>
                <w:bCs/>
                <w:color w:val="000000"/>
                <w:szCs w:val="21"/>
              </w:rPr>
              <w:t>.</w:t>
            </w:r>
            <w:r>
              <w:rPr>
                <w:rFonts w:ascii="宋体" w:hAnsi="宋体" w:cs="宋体"/>
                <w:bCs/>
                <w:color w:val="000000"/>
                <w:szCs w:val="21"/>
              </w:rPr>
              <w:t>6</w:t>
            </w:r>
            <w:r>
              <w:rPr>
                <w:rFonts w:ascii="宋体" w:hAnsi="宋体" w:cs="宋体" w:hint="eastAsia"/>
                <w:bCs/>
                <w:color w:val="000000"/>
                <w:szCs w:val="21"/>
              </w:rPr>
              <w:t>8</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1750</w:t>
            </w:r>
            <w:r>
              <w:rPr>
                <w:rFonts w:ascii="宋体" w:hAnsi="宋体" w:cs="宋体" w:hint="eastAsia"/>
                <w:color w:val="000000"/>
                <w:szCs w:val="21"/>
              </w:rPr>
              <w:t>.</w:t>
            </w:r>
            <w:r>
              <w:rPr>
                <w:rFonts w:ascii="宋体" w:hAnsi="宋体" w:cs="宋体"/>
                <w:color w:val="000000"/>
                <w:szCs w:val="21"/>
              </w:rPr>
              <w:t>57</w:t>
            </w:r>
          </w:p>
        </w:tc>
      </w:tr>
      <w:tr w:rsidR="00CE1EB0">
        <w:trPr>
          <w:trHeight w:val="382"/>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3300</w:t>
            </w:r>
            <w:r>
              <w:rPr>
                <w:rFonts w:ascii="宋体" w:hAnsi="宋体" w:cs="宋体" w:hint="eastAsia"/>
                <w:color w:val="000000"/>
                <w:szCs w:val="21"/>
              </w:rPr>
              <w:t>.80</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3300</w:t>
            </w:r>
            <w:r>
              <w:rPr>
                <w:rFonts w:ascii="宋体" w:hAnsi="宋体" w:cs="宋体" w:hint="eastAsia"/>
                <w:color w:val="000000"/>
                <w:szCs w:val="21"/>
              </w:rPr>
              <w:t>.80</w:t>
            </w:r>
          </w:p>
        </w:tc>
      </w:tr>
    </w:tbl>
    <w:p w:rsidR="00CE1EB0" w:rsidRDefault="00B25AE7">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收入决算表</w:t>
      </w:r>
    </w:p>
    <w:p w:rsidR="00CE1EB0" w:rsidRDefault="00B25AE7">
      <w:pPr>
        <w:rPr>
          <w:rFonts w:ascii="宋体" w:hAnsi="宋体" w:cs="宋体"/>
          <w:b/>
          <w:bCs/>
          <w:szCs w:val="21"/>
        </w:rPr>
      </w:pPr>
      <w:r>
        <w:rPr>
          <w:rFonts w:ascii="宋体" w:hAnsi="宋体" w:cs="宋体" w:hint="eastAsia"/>
          <w:b/>
          <w:bCs/>
          <w:szCs w:val="21"/>
        </w:rPr>
        <w:t>公开02表</w:t>
      </w:r>
    </w:p>
    <w:p w:rsidR="00CE1EB0" w:rsidRDefault="00B25AE7">
      <w:pPr>
        <w:rPr>
          <w:rFonts w:ascii="宋体" w:hAnsi="宋体" w:cs="宋体"/>
          <w:b/>
          <w:bCs/>
          <w:sz w:val="48"/>
          <w:szCs w:val="48"/>
        </w:rPr>
      </w:pPr>
      <w:r>
        <w:rPr>
          <w:rFonts w:ascii="宋体" w:hAnsi="宋体" w:cs="宋体" w:hint="eastAsia"/>
          <w:b/>
          <w:bCs/>
          <w:szCs w:val="21"/>
        </w:rPr>
        <w:t>编制部门：                                                           金额单位：万元</w:t>
      </w:r>
    </w:p>
    <w:tbl>
      <w:tblPr>
        <w:tblW w:w="8867" w:type="dxa"/>
        <w:tblLayout w:type="fixed"/>
        <w:tblCellMar>
          <w:top w:w="15" w:type="dxa"/>
          <w:left w:w="15" w:type="dxa"/>
          <w:bottom w:w="15" w:type="dxa"/>
          <w:right w:w="15" w:type="dxa"/>
        </w:tblCellMar>
        <w:tblLook w:val="04A0"/>
      </w:tblPr>
      <w:tblGrid>
        <w:gridCol w:w="927"/>
        <w:gridCol w:w="755"/>
        <w:gridCol w:w="855"/>
        <w:gridCol w:w="870"/>
        <w:gridCol w:w="720"/>
        <w:gridCol w:w="720"/>
        <w:gridCol w:w="1470"/>
        <w:gridCol w:w="750"/>
        <w:gridCol w:w="990"/>
        <w:gridCol w:w="810"/>
      </w:tblGrid>
      <w:tr w:rsidR="00CE1EB0">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CE1EB0">
        <w:trPr>
          <w:trHeight w:val="1125"/>
        </w:trPr>
        <w:tc>
          <w:tcPr>
            <w:tcW w:w="927"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755"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其中：教育</w:t>
            </w:r>
          </w:p>
          <w:p w:rsidR="00CE1EB0" w:rsidRDefault="00B25AE7">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1444.12</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738.59</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705.53</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2130301</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行政运行</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112</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2130304</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水利行业业务管理</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465.17</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461.55</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3.62</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2130305</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水利工程建设</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2130308</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水利前期工作</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107.23</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107.23</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2130311</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水资源节约管理与保护</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42.76</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42.76</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2130312</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水质监测</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44.9</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44.9</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2130314</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防汛</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2130316</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农田水利</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465.98</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465.98</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2130335</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 xml:space="preserve">  农村人畜饮水</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148.07</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8.61</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139.46</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2130399</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其他水利支出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34.15</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26.34</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7.81</w:t>
            </w:r>
          </w:p>
        </w:tc>
      </w:tr>
    </w:tbl>
    <w:p w:rsidR="00CE1EB0" w:rsidRDefault="00B25AE7">
      <w:pPr>
        <w:widowControl/>
        <w:ind w:firstLineChars="50" w:firstLine="105"/>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CE1EB0" w:rsidRDefault="00CE1EB0">
      <w:pPr>
        <w:jc w:val="center"/>
        <w:rPr>
          <w:rFonts w:ascii="宋体" w:hAnsi="宋体" w:cs="宋体"/>
          <w:b/>
          <w:bCs/>
          <w:sz w:val="32"/>
          <w:szCs w:val="32"/>
        </w:rPr>
      </w:pP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支出决算表</w:t>
      </w:r>
    </w:p>
    <w:p w:rsidR="00CE1EB0" w:rsidRDefault="00B25AE7">
      <w:pPr>
        <w:rPr>
          <w:rFonts w:ascii="宋体" w:hAnsi="宋体" w:cs="宋体"/>
          <w:b/>
          <w:bCs/>
          <w:szCs w:val="21"/>
        </w:rPr>
      </w:pPr>
      <w:r>
        <w:rPr>
          <w:rFonts w:ascii="宋体" w:hAnsi="宋体" w:cs="宋体" w:hint="eastAsia"/>
          <w:b/>
          <w:bCs/>
          <w:szCs w:val="21"/>
        </w:rPr>
        <w:t xml:space="preserve">                                               公开03表</w:t>
      </w:r>
    </w:p>
    <w:p w:rsidR="00CE1EB0" w:rsidRDefault="00B25AE7">
      <w:pPr>
        <w:rPr>
          <w:rFonts w:ascii="宋体" w:hAnsi="宋体" w:cs="宋体"/>
          <w:b/>
          <w:bCs/>
          <w:sz w:val="48"/>
          <w:szCs w:val="48"/>
        </w:rPr>
      </w:pPr>
      <w:r>
        <w:rPr>
          <w:rFonts w:ascii="宋体" w:hAnsi="宋体" w:cs="宋体" w:hint="eastAsia"/>
          <w:b/>
          <w:bCs/>
          <w:szCs w:val="21"/>
        </w:rPr>
        <w:t>编制部门：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CE1EB0">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CE1EB0">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533"/>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1550.22</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573.25</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976.97</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54"/>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111.6</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111.6</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843"/>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水利行业业务管理</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465.16</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461.55</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3.61</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ind w:right="105"/>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632"/>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水利工程建设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31.28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31.28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28"/>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水利前期工作</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水资源节约管理与保护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22.48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22.48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60"/>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水质监测</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47.89</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47.89</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40"/>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防汛</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19.57</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19.57</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19"/>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农田水利</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553.38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553.38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2130335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 xml:space="preserve">  农村人畜饮水</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139.46</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139.46</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79"/>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其他水利支出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51.98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0.1</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51.88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CE1EB0" w:rsidRDefault="00CE1EB0">
      <w:pPr>
        <w:jc w:val="center"/>
        <w:rPr>
          <w:rFonts w:ascii="宋体" w:hAnsi="宋体" w:cs="宋体"/>
          <w:b/>
          <w:bCs/>
          <w:sz w:val="32"/>
          <w:szCs w:val="32"/>
        </w:rPr>
      </w:pPr>
    </w:p>
    <w:p w:rsidR="00CE1EB0" w:rsidRDefault="00CE1EB0">
      <w:pPr>
        <w:jc w:val="center"/>
        <w:rPr>
          <w:rFonts w:ascii="宋体" w:hAnsi="宋体" w:cs="宋体"/>
          <w:b/>
          <w:bCs/>
          <w:sz w:val="32"/>
          <w:szCs w:val="32"/>
        </w:rPr>
      </w:pPr>
    </w:p>
    <w:p w:rsidR="00CE1EB0" w:rsidRDefault="00CE1EB0">
      <w:pPr>
        <w:rPr>
          <w:rFonts w:ascii="宋体" w:hAnsi="宋体" w:cs="宋体"/>
          <w:b/>
          <w:bCs/>
          <w:sz w:val="32"/>
          <w:szCs w:val="32"/>
        </w:rPr>
      </w:pPr>
    </w:p>
    <w:p w:rsidR="00CE1EB0" w:rsidRDefault="00CE1EB0">
      <w:pPr>
        <w:rPr>
          <w:rFonts w:ascii="宋体" w:hAnsi="宋体" w:cs="宋体"/>
          <w:b/>
          <w:bCs/>
          <w:sz w:val="32"/>
          <w:szCs w:val="32"/>
        </w:rPr>
      </w:pP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CE1EB0" w:rsidRDefault="00B25AE7">
      <w:pPr>
        <w:rPr>
          <w:rFonts w:ascii="宋体" w:hAnsi="宋体" w:cs="宋体"/>
          <w:b/>
          <w:bCs/>
          <w:szCs w:val="21"/>
        </w:rPr>
      </w:pPr>
      <w:r>
        <w:rPr>
          <w:rFonts w:ascii="宋体" w:hAnsi="宋体" w:cs="宋体" w:hint="eastAsia"/>
          <w:b/>
          <w:bCs/>
          <w:szCs w:val="21"/>
        </w:rPr>
        <w:t>公开04表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CE1EB0">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CE1EB0">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CE1EB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738.59</w:t>
            </w: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szCs w:val="21"/>
              </w:rPr>
              <w:t>817.57</w:t>
            </w: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817.57</w:t>
            </w: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CE1EB0" w:rsidRDefault="00CE1EB0">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CE1EB0" w:rsidRDefault="00CE1EB0">
            <w:pPr>
              <w:rPr>
                <w:rFonts w:ascii="宋体" w:hAnsi="宋体" w:cs="宋体"/>
                <w:b/>
                <w:color w:val="000000"/>
                <w:szCs w:val="21"/>
              </w:rPr>
            </w:pPr>
          </w:p>
        </w:tc>
      </w:tr>
    </w:tbl>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CE1EB0" w:rsidRDefault="00B25AE7">
      <w:pPr>
        <w:rPr>
          <w:rFonts w:ascii="宋体" w:hAnsi="宋体" w:cs="宋体"/>
          <w:b/>
          <w:bCs/>
          <w:szCs w:val="21"/>
        </w:rPr>
      </w:pPr>
      <w:r>
        <w:rPr>
          <w:rFonts w:ascii="宋体" w:hAnsi="宋体" w:cs="宋体" w:hint="eastAsia"/>
          <w:b/>
          <w:bCs/>
          <w:szCs w:val="21"/>
        </w:rPr>
        <w:t xml:space="preserve">      公开04表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CE1EB0">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CE1EB0">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hint="eastAsia"/>
                <w:b/>
                <w:color w:val="000000"/>
                <w:kern w:val="0"/>
                <w:szCs w:val="21"/>
              </w:rPr>
              <w:t>738.59</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817.57</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kern w:val="0"/>
                <w:szCs w:val="21"/>
              </w:rPr>
            </w:pPr>
            <w:r>
              <w:rPr>
                <w:rFonts w:ascii="宋体" w:hAnsi="宋体" w:cs="宋体" w:hint="eastAsia"/>
                <w:b/>
                <w:color w:val="000000"/>
                <w:kern w:val="0"/>
                <w:szCs w:val="21"/>
              </w:rPr>
              <w:t>157.64</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CE1EB0" w:rsidRDefault="00B25AE7">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78.6</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kern w:val="0"/>
                <w:szCs w:val="21"/>
              </w:rPr>
            </w:pPr>
            <w:r>
              <w:rPr>
                <w:rFonts w:ascii="宋体" w:hAnsi="宋体" w:cs="宋体" w:hint="eastAsia"/>
                <w:color w:val="000000"/>
                <w:kern w:val="0"/>
                <w:szCs w:val="21"/>
              </w:rPr>
              <w:t>一、一般公共预</w:t>
            </w:r>
          </w:p>
          <w:p w:rsidR="00CE1EB0" w:rsidRDefault="00B25AE7">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157.64</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kern w:val="0"/>
                <w:szCs w:val="21"/>
              </w:rPr>
            </w:pPr>
            <w:r>
              <w:rPr>
                <w:rFonts w:ascii="宋体" w:hAnsi="宋体" w:cs="宋体" w:hint="eastAsia"/>
                <w:color w:val="000000"/>
                <w:kern w:val="0"/>
                <w:szCs w:val="21"/>
              </w:rPr>
              <w:t>二、政府性基金预</w:t>
            </w:r>
          </w:p>
          <w:p w:rsidR="00CE1EB0" w:rsidRDefault="00B25AE7">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kern w:val="0"/>
                <w:szCs w:val="21"/>
              </w:rPr>
            </w:pPr>
            <w:r>
              <w:rPr>
                <w:rFonts w:ascii="宋体" w:hAnsi="宋体" w:cs="宋体" w:hint="eastAsia"/>
                <w:b/>
                <w:color w:val="000000"/>
                <w:kern w:val="0"/>
                <w:szCs w:val="21"/>
              </w:rPr>
              <w:t>896.23</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rsidP="00836D7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896.2</w:t>
            </w:r>
            <w:r w:rsidR="00836D70">
              <w:rPr>
                <w:rFonts w:ascii="宋体" w:hAnsi="宋体" w:cs="宋体" w:hint="eastAsia"/>
                <w:b/>
                <w:color w:val="000000"/>
                <w:kern w:val="0"/>
                <w:szCs w:val="21"/>
              </w:rPr>
              <w:t>3</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bl>
    <w:p w:rsidR="00CE1EB0" w:rsidRDefault="00CE1EB0">
      <w:pPr>
        <w:rPr>
          <w:rFonts w:ascii="宋体" w:hAnsi="宋体" w:cs="宋体"/>
          <w:szCs w:val="21"/>
        </w:rPr>
      </w:pPr>
    </w:p>
    <w:p w:rsidR="00CE1EB0" w:rsidRDefault="00B25AE7">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CE1EB0" w:rsidRDefault="00CE1EB0">
      <w:pPr>
        <w:rPr>
          <w:rFonts w:ascii="仿宋_GB2312" w:eastAsia="仿宋_GB2312" w:hAnsi="仿宋_GB2312" w:cs="仿宋_GB2312"/>
          <w:sz w:val="32"/>
          <w:szCs w:val="32"/>
        </w:rPr>
      </w:pPr>
    </w:p>
    <w:p w:rsidR="00CE1EB0" w:rsidRDefault="00CE1EB0"/>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B25AE7">
      <w:pPr>
        <w:rPr>
          <w:rFonts w:ascii="宋体" w:hAnsi="宋体" w:cs="宋体"/>
          <w:b/>
          <w:bCs/>
          <w:sz w:val="32"/>
          <w:szCs w:val="32"/>
        </w:rPr>
      </w:pPr>
      <w:r>
        <w:rPr>
          <w:rFonts w:ascii="宋体" w:hAnsi="宋体" w:cs="宋体" w:hint="eastAsia"/>
          <w:b/>
          <w:bCs/>
          <w:sz w:val="32"/>
          <w:szCs w:val="32"/>
        </w:rPr>
        <w:br w:type="page"/>
      </w: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CE1EB0" w:rsidRDefault="00B25AE7">
      <w:pPr>
        <w:rPr>
          <w:rFonts w:ascii="宋体" w:hAnsi="宋体" w:cs="宋体"/>
          <w:b/>
          <w:bCs/>
          <w:szCs w:val="21"/>
        </w:rPr>
      </w:pPr>
      <w:r>
        <w:rPr>
          <w:rFonts w:ascii="宋体" w:hAnsi="宋体" w:cs="宋体" w:hint="eastAsia"/>
          <w:b/>
          <w:bCs/>
          <w:szCs w:val="21"/>
        </w:rPr>
        <w:t xml:space="preserve">                                                                          公开05表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CE1EB0">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CE1EB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572.55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554.58</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245.02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农林水支出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572.55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554.58</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245.02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水利</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572.55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554.58</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245.02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2130301</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111</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101.23</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9.77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2130304</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水利行业业务管理</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461.55</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461.55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453.35</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8.2</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2130305</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水利工程建设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2130308</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水利前期工作</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2130314</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防汛</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2130316</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农田水利</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87.4</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87.4</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2130399</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其他水利支出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26.34</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26.34</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CE1EB0" w:rsidRDefault="00B25AE7">
      <w:pP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一般公共预算财政拨款基本支出决算表（按经济分类科目）</w:t>
      </w:r>
    </w:p>
    <w:p w:rsidR="00CE1EB0" w:rsidRDefault="00B25AE7">
      <w:pPr>
        <w:rPr>
          <w:rFonts w:ascii="宋体" w:hAnsi="宋体" w:cs="宋体"/>
          <w:b/>
          <w:bCs/>
          <w:szCs w:val="21"/>
        </w:rPr>
      </w:pPr>
      <w:r>
        <w:rPr>
          <w:rFonts w:ascii="宋体" w:hAnsi="宋体" w:cs="宋体" w:hint="eastAsia"/>
          <w:b/>
          <w:bCs/>
          <w:szCs w:val="21"/>
        </w:rPr>
        <w:t>公开06表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CE1EB0">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CE1EB0">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572.55</w:t>
            </w:r>
          </w:p>
        </w:tc>
        <w:tc>
          <w:tcPr>
            <w:tcW w:w="1437" w:type="dxa"/>
            <w:tcBorders>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554.58</w:t>
            </w:r>
          </w:p>
        </w:tc>
        <w:tc>
          <w:tcPr>
            <w:tcW w:w="1363" w:type="dxa"/>
            <w:tcBorders>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17.97</w:t>
            </w:r>
          </w:p>
        </w:tc>
        <w:tc>
          <w:tcPr>
            <w:tcW w:w="1155" w:type="dxa"/>
            <w:tcBorders>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495.69</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168.84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45.67</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93.69</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30104</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社会保障费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52.28</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伙食补助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11.24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123.97</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1.28</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0.6</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0.04</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0.3</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0.9</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3.16</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0.3</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0.21</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0.25</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0.89</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30227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委托业务费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0.06</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6.34</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lastRenderedPageBreak/>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3.63</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0.01</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58.89</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0.84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30311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57.91</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0.14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310</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其他资本性支出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31002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房屋建筑物购建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31003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办公设备购置</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CE1EB0" w:rsidRDefault="00B25AE7">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CE1EB0" w:rsidRDefault="00B25AE7">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CE1EB0" w:rsidRDefault="00B25AE7">
      <w:pPr>
        <w:rPr>
          <w:rFonts w:ascii="宋体" w:hAnsi="宋体" w:cs="宋体"/>
          <w:b/>
          <w:bCs/>
          <w:szCs w:val="21"/>
        </w:rPr>
      </w:pPr>
      <w:r>
        <w:rPr>
          <w:rFonts w:ascii="宋体" w:hAnsi="宋体" w:cs="宋体" w:hint="eastAsia"/>
          <w:b/>
          <w:bCs/>
          <w:szCs w:val="21"/>
        </w:rPr>
        <w:t xml:space="preserve">        公开07表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CE1EB0">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CE1EB0">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CE1EB0">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2.74</w:t>
            </w:r>
          </w:p>
        </w:tc>
        <w:tc>
          <w:tcPr>
            <w:tcW w:w="111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1.71</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1.03</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1.03</w:t>
            </w:r>
          </w:p>
        </w:tc>
        <w:tc>
          <w:tcPr>
            <w:tcW w:w="77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5.5</w:t>
            </w:r>
          </w:p>
        </w:tc>
        <w:tc>
          <w:tcPr>
            <w:tcW w:w="96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1.5</w:t>
            </w:r>
          </w:p>
        </w:tc>
      </w:tr>
      <w:tr w:rsidR="00CE1EB0">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1.47</w:t>
            </w:r>
          </w:p>
        </w:tc>
        <w:tc>
          <w:tcPr>
            <w:tcW w:w="111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0.46</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1.01</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1.01</w:t>
            </w:r>
          </w:p>
        </w:tc>
        <w:tc>
          <w:tcPr>
            <w:tcW w:w="7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bl>
    <w:p w:rsidR="00CE1EB0" w:rsidRDefault="00B25AE7">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B25AE7">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CE1EB0" w:rsidRDefault="00B25AE7">
      <w:pPr>
        <w:rPr>
          <w:rFonts w:ascii="宋体" w:hAnsi="宋体" w:cs="宋体"/>
          <w:b/>
          <w:bCs/>
          <w:szCs w:val="21"/>
        </w:rPr>
      </w:pPr>
      <w:r>
        <w:rPr>
          <w:rFonts w:ascii="宋体" w:hAnsi="宋体" w:cs="宋体" w:hint="eastAsia"/>
          <w:b/>
          <w:bCs/>
          <w:szCs w:val="21"/>
        </w:rPr>
        <w:t>公开08表</w:t>
      </w:r>
    </w:p>
    <w:p w:rsidR="00CE1EB0" w:rsidRDefault="00B25AE7">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CE1EB0">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CE1EB0">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CE1EB0" w:rsidRDefault="00CE1EB0">
      <w:pPr>
        <w:rPr>
          <w:rFonts w:ascii="宋体" w:hAnsi="宋体" w:cs="宋体"/>
          <w:szCs w:val="21"/>
        </w:rPr>
      </w:pPr>
    </w:p>
    <w:p w:rsidR="00CE1EB0" w:rsidRDefault="00B25AE7">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CE1EB0" w:rsidRDefault="00CE1EB0">
      <w:pPr>
        <w:widowControl/>
        <w:rPr>
          <w:rFonts w:ascii="黑体" w:eastAsia="黑体" w:hAnsi="宋体"/>
          <w:color w:val="000000"/>
          <w:kern w:val="0"/>
          <w:sz w:val="44"/>
          <w:szCs w:val="44"/>
        </w:rPr>
      </w:pP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2019年杨陵区水务局收入1444.12万元，较上年减少，减少68.39%，主要原因前期工作审核时间过长，项目未实施，工程款支付滞后，收入减少。</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2019年杨陵区水务局支出1550.22万元，较上年减少，减少45.98%，主要原因前期工作审核时间过长，项目未实施，工程款支付滞后。</w:t>
      </w:r>
    </w:p>
    <w:p w:rsidR="00795CD9" w:rsidRDefault="00795CD9">
      <w:pPr>
        <w:widowControl/>
        <w:ind w:firstLineChars="200" w:firstLine="640"/>
        <w:jc w:val="left"/>
        <w:rPr>
          <w:rFonts w:ascii="仿宋_GB2312" w:eastAsia="仿宋_GB2312" w:hAnsi="仿宋"/>
          <w:sz w:val="32"/>
          <w:szCs w:val="32"/>
        </w:rPr>
      </w:pPr>
    </w:p>
    <w:p w:rsidR="00B0698A" w:rsidRDefault="0068684C" w:rsidP="0068684C">
      <w:pPr>
        <w:widowControl/>
        <w:ind w:firstLineChars="200" w:firstLine="640"/>
        <w:jc w:val="left"/>
        <w:rPr>
          <w:rFonts w:ascii="仿宋_GB2312" w:eastAsia="仿宋_GB2312" w:hAnsi="仿宋"/>
          <w:sz w:val="32"/>
          <w:szCs w:val="32"/>
        </w:rPr>
      </w:pPr>
      <w:r w:rsidRPr="0068684C">
        <w:rPr>
          <w:rFonts w:ascii="仿宋_GB2312" w:eastAsia="仿宋_GB2312" w:hAnsi="仿宋"/>
          <w:noProof/>
          <w:sz w:val="32"/>
          <w:szCs w:val="32"/>
        </w:rPr>
        <w:drawing>
          <wp:inline distT="0" distB="0" distL="0" distR="0">
            <wp:extent cx="4752975" cy="3009900"/>
            <wp:effectExtent l="19050" t="0" r="9525" b="0"/>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684C" w:rsidRDefault="0068684C" w:rsidP="009329CD">
      <w:pPr>
        <w:widowControl/>
        <w:ind w:firstLineChars="200" w:firstLine="640"/>
        <w:jc w:val="left"/>
        <w:rPr>
          <w:rFonts w:ascii="仿宋_GB2312" w:eastAsia="仿宋_GB2312" w:hAnsi="仿宋"/>
          <w:sz w:val="32"/>
          <w:szCs w:val="32"/>
        </w:rPr>
      </w:pPr>
    </w:p>
    <w:p w:rsidR="00B0698A" w:rsidRDefault="00B0698A" w:rsidP="0068684C">
      <w:pPr>
        <w:widowControl/>
        <w:jc w:val="left"/>
        <w:rPr>
          <w:rFonts w:ascii="黑体" w:eastAsia="黑体" w:hAnsi="黑体"/>
          <w:color w:val="000000"/>
          <w:kern w:val="0"/>
          <w:sz w:val="32"/>
          <w:szCs w:val="32"/>
        </w:rPr>
      </w:pP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二、收入决算情况说明</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仿宋" w:hint="eastAsia"/>
          <w:sz w:val="32"/>
          <w:szCs w:val="32"/>
        </w:rPr>
        <w:t>1444.12</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738.59</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51.14</w:t>
      </w:r>
      <w:r>
        <w:rPr>
          <w:rFonts w:ascii="仿宋_GB2312" w:eastAsia="仿宋_GB2312" w:hAnsi="宋体" w:cs="仿宋_GB2312"/>
          <w:color w:val="000000"/>
          <w:kern w:val="0"/>
          <w:sz w:val="32"/>
          <w:szCs w:val="32"/>
        </w:rPr>
        <w:t>%；事业收入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%；经营收入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705.53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48.86</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795CD9" w:rsidRDefault="00795CD9">
      <w:pPr>
        <w:widowControl/>
        <w:ind w:firstLineChars="200" w:firstLine="640"/>
        <w:jc w:val="left"/>
        <w:rPr>
          <w:rFonts w:ascii="仿宋_GB2312" w:eastAsia="仿宋_GB2312" w:hAnsi="宋体" w:cs="仿宋_GB2312"/>
          <w:color w:val="000000"/>
          <w:kern w:val="0"/>
          <w:sz w:val="32"/>
          <w:szCs w:val="32"/>
        </w:rPr>
      </w:pPr>
    </w:p>
    <w:p w:rsidR="00795CD9" w:rsidRPr="00795CD9" w:rsidRDefault="00795CD9" w:rsidP="00795CD9">
      <w:pPr>
        <w:widowControl/>
        <w:ind w:firstLineChars="200" w:firstLine="420"/>
        <w:jc w:val="left"/>
      </w:pPr>
      <w:r w:rsidRPr="00795CD9">
        <w:rPr>
          <w:noProof/>
        </w:rPr>
        <w:drawing>
          <wp:inline distT="0" distB="0" distL="0" distR="0">
            <wp:extent cx="5019675" cy="3371850"/>
            <wp:effectExtent l="19050" t="0" r="9525" b="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1EB0" w:rsidRDefault="00B25AE7">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1550.22</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573.25</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36.98</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976.97</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63.02</w:t>
      </w:r>
      <w:r>
        <w:rPr>
          <w:rFonts w:ascii="仿宋_GB2312" w:eastAsia="仿宋_GB2312" w:hAnsi="宋体" w:cs="仿宋_GB2312"/>
          <w:color w:val="000000"/>
          <w:kern w:val="0"/>
          <w:sz w:val="32"/>
          <w:szCs w:val="32"/>
        </w:rPr>
        <w:t>%；经营支出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p>
    <w:p w:rsidR="00596992" w:rsidRDefault="00795CD9" w:rsidP="00596992">
      <w:pPr>
        <w:widowControl/>
        <w:ind w:firstLineChars="200" w:firstLine="420"/>
        <w:jc w:val="left"/>
      </w:pPr>
      <w:r w:rsidRPr="00795CD9">
        <w:rPr>
          <w:noProof/>
        </w:rPr>
        <w:lastRenderedPageBreak/>
        <w:drawing>
          <wp:inline distT="0" distB="0" distL="0" distR="0">
            <wp:extent cx="4876800" cy="2638425"/>
            <wp:effectExtent l="19050" t="0" r="19050" b="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rsidR="00CE1EB0" w:rsidRDefault="00B25AE7">
      <w:pPr>
        <w:widowControl/>
        <w:ind w:firstLineChars="200" w:firstLine="640"/>
        <w:jc w:val="left"/>
        <w:rPr>
          <w:rFonts w:ascii="黑体" w:eastAsia="黑体" w:hAnsi="黑体"/>
          <w:color w:val="000000"/>
          <w:kern w:val="0"/>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w:t>
      </w:r>
      <w:r>
        <w:rPr>
          <w:rFonts w:ascii="仿宋_GB2312" w:eastAsia="仿宋_GB2312" w:hAnsi="宋体" w:cs="仿宋_GB2312" w:hint="eastAsia"/>
          <w:color w:val="000000"/>
          <w:kern w:val="0"/>
          <w:sz w:val="32"/>
          <w:szCs w:val="32"/>
        </w:rPr>
        <w:t>738.59万元，</w:t>
      </w:r>
      <w:r>
        <w:rPr>
          <w:rFonts w:ascii="仿宋_GB2312" w:eastAsia="仿宋_GB2312" w:hAnsi="仿宋" w:hint="eastAsia"/>
          <w:sz w:val="32"/>
          <w:szCs w:val="32"/>
        </w:rPr>
        <w:t>比上年减少27.48%，主</w:t>
      </w:r>
    </w:p>
    <w:p w:rsidR="00CE1EB0" w:rsidRDefault="00B25AE7">
      <w:pPr>
        <w:widowControl/>
        <w:jc w:val="left"/>
        <w:rPr>
          <w:rFonts w:ascii="黑体" w:eastAsia="黑体" w:hAnsi="黑体"/>
          <w:color w:val="000000"/>
          <w:kern w:val="0"/>
          <w:sz w:val="32"/>
          <w:szCs w:val="32"/>
        </w:rPr>
      </w:pPr>
      <w:r>
        <w:rPr>
          <w:rFonts w:ascii="仿宋_GB2312" w:eastAsia="仿宋_GB2312" w:hAnsi="仿宋" w:hint="eastAsia"/>
          <w:sz w:val="32"/>
          <w:szCs w:val="32"/>
        </w:rPr>
        <w:t>要原因前期工作审核时间过长，项目未实施，工程款支付滞后，收入减少。</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支出817.57万元，比上年减少9.34%，主要原因前期工作审核时间过长，项目未实施，工程款支付滞后。</w:t>
      </w:r>
    </w:p>
    <w:p w:rsidR="005546C9" w:rsidRDefault="005546C9" w:rsidP="005546C9">
      <w:pPr>
        <w:widowControl/>
        <w:ind w:firstLineChars="200" w:firstLine="640"/>
        <w:jc w:val="left"/>
        <w:rPr>
          <w:rFonts w:ascii="仿宋_GB2312" w:eastAsia="仿宋_GB2312" w:hAnsi="仿宋"/>
          <w:sz w:val="32"/>
          <w:szCs w:val="32"/>
        </w:rPr>
      </w:pPr>
      <w:r w:rsidRPr="005546C9">
        <w:rPr>
          <w:rFonts w:ascii="仿宋_GB2312" w:eastAsia="仿宋_GB2312" w:hAnsi="仿宋"/>
          <w:noProof/>
          <w:sz w:val="32"/>
          <w:szCs w:val="32"/>
        </w:rPr>
        <w:drawing>
          <wp:inline distT="0" distB="0" distL="0" distR="0">
            <wp:extent cx="5143500" cy="2743200"/>
            <wp:effectExtent l="19050" t="0" r="19050" b="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五、一般公共预算财政拨款支出决算情况说明</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宋体" w:cs="仿宋_GB2312"/>
          <w:color w:val="000000"/>
          <w:kern w:val="0"/>
          <w:sz w:val="32"/>
          <w:szCs w:val="32"/>
        </w:rPr>
        <w:t>2019 年财政拨款支出</w:t>
      </w:r>
      <w:r>
        <w:rPr>
          <w:rFonts w:ascii="仿宋_GB2312" w:eastAsia="仿宋_GB2312" w:hAnsi="仿宋" w:hint="eastAsia"/>
          <w:sz w:val="32"/>
          <w:szCs w:val="32"/>
        </w:rPr>
        <w:t>817.57</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hint="eastAsia"/>
          <w:color w:val="000000"/>
          <w:kern w:val="0"/>
          <w:sz w:val="32"/>
          <w:szCs w:val="32"/>
        </w:rPr>
        <w:t>52.74</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减少84.24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减少9.34</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Pr>
          <w:rFonts w:ascii="仿宋_GB2312" w:eastAsia="仿宋_GB2312" w:hAnsi="仿宋" w:hint="eastAsia"/>
          <w:sz w:val="32"/>
          <w:szCs w:val="32"/>
        </w:rPr>
        <w:t>前期工作审核时间过长，项目未实施，工程款支付滞后。</w:t>
      </w:r>
    </w:p>
    <w:p w:rsidR="00D06340" w:rsidRDefault="00D06340">
      <w:pPr>
        <w:widowControl/>
        <w:ind w:firstLineChars="200" w:firstLine="640"/>
        <w:jc w:val="left"/>
        <w:rPr>
          <w:rFonts w:ascii="仿宋_GB2312" w:eastAsia="仿宋_GB2312" w:hAnsi="仿宋"/>
          <w:sz w:val="32"/>
          <w:szCs w:val="32"/>
        </w:rPr>
      </w:pPr>
    </w:p>
    <w:p w:rsidR="00D06340" w:rsidRDefault="00D06340" w:rsidP="00D06340">
      <w:pPr>
        <w:widowControl/>
        <w:ind w:firstLineChars="200" w:firstLine="420"/>
        <w:jc w:val="left"/>
      </w:pPr>
      <w:r w:rsidRPr="00D06340">
        <w:rPr>
          <w:noProof/>
        </w:rPr>
        <w:drawing>
          <wp:inline distT="0" distB="0" distL="0" distR="0">
            <wp:extent cx="4933950" cy="2743200"/>
            <wp:effectExtent l="19050" t="0" r="19050" b="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1EB0" w:rsidRDefault="00B25AE7">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00" w:firstLine="640"/>
        <w:jc w:val="left"/>
      </w:pPr>
      <w:r>
        <w:rPr>
          <w:rFonts w:ascii="仿宋_GB2312" w:eastAsia="仿宋_GB2312" w:hAnsi="宋体" w:cs="仿宋_GB2312"/>
          <w:color w:val="000000"/>
          <w:kern w:val="0"/>
          <w:sz w:val="32"/>
          <w:szCs w:val="32"/>
        </w:rPr>
        <w:t>2019 年财政拨款支出年初预算为</w:t>
      </w:r>
      <w:r>
        <w:rPr>
          <w:rFonts w:ascii="仿宋_GB2312" w:eastAsia="仿宋_GB2312" w:hAnsi="宋体" w:cs="仿宋_GB2312" w:hint="eastAsia"/>
          <w:color w:val="000000"/>
          <w:kern w:val="0"/>
          <w:sz w:val="32"/>
          <w:szCs w:val="32"/>
        </w:rPr>
        <w:t>954.25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817.57</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85.68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CE1EB0" w:rsidRDefault="00B25AE7">
      <w:pPr>
        <w:widowControl/>
        <w:ind w:firstLineChars="200" w:firstLine="643"/>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 xml:space="preserve">（款）行政运行（项）。 </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年初预算为</w:t>
      </w:r>
      <w:r>
        <w:rPr>
          <w:rFonts w:ascii="仿宋_GB2312" w:eastAsia="仿宋_GB2312" w:hAnsi="宋体" w:cs="仿宋_GB2312" w:hint="eastAsia"/>
          <w:color w:val="000000"/>
          <w:kern w:val="0"/>
          <w:sz w:val="32"/>
          <w:szCs w:val="32"/>
        </w:rPr>
        <w:t>73.84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111.00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150.33</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的主要原因增资及增加全系统人员餐费补助。</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水利行业业务管理</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452.92</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461.55</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101.91</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的主要原因增资。</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水利工程建设</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5.33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6.29</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118.01</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上级资金未进入支出预算。</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水利前期工作</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170.18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107.42</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63.12</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 xml:space="preserve">的原因是项目配套资金未支付。  </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5</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防汛</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17.57</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87.85</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的原因是年初预算在上年支出的基础上增大。</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6</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农田水利</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年初预算为</w:t>
      </w:r>
      <w:r>
        <w:rPr>
          <w:rFonts w:ascii="仿宋_GB2312" w:eastAsia="仿宋_GB2312" w:hAnsi="宋体" w:cs="仿宋_GB2312" w:hint="eastAsia"/>
          <w:color w:val="000000"/>
          <w:kern w:val="0"/>
          <w:sz w:val="32"/>
          <w:szCs w:val="32"/>
        </w:rPr>
        <w:t>149.53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87.40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58.45</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项目未完工。</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7</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农村人畜饮水</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2.45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项目未完工。</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8</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其他水利支出</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80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26.34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32.93</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项目未完工。</w:t>
      </w:r>
    </w:p>
    <w:p w:rsidR="00CE1EB0" w:rsidRDefault="00B25AE7">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p>
    <w:p w:rsidR="00CE1EB0" w:rsidRDefault="00B25AE7">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572.55</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554.58</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17.97</w:t>
      </w:r>
      <w:r>
        <w:rPr>
          <w:rFonts w:ascii="仿宋_GB2312" w:eastAsia="仿宋_GB2312" w:hAnsi="仿宋_GB2312" w:cs="仿宋_GB2312"/>
          <w:color w:val="000000"/>
          <w:kern w:val="0"/>
          <w:sz w:val="31"/>
          <w:szCs w:val="31"/>
        </w:rPr>
        <w:t>万元。</w:t>
      </w:r>
    </w:p>
    <w:p w:rsidR="00CE1EB0" w:rsidRDefault="00B25AE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仿宋_GB2312" w:cs="仿宋_GB2312" w:hint="eastAsia"/>
          <w:color w:val="000000"/>
          <w:kern w:val="0"/>
          <w:sz w:val="31"/>
          <w:szCs w:val="31"/>
        </w:rPr>
        <w:t>554.58</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基本工资168.84</w:t>
      </w:r>
      <w:r>
        <w:rPr>
          <w:rFonts w:ascii="仿宋_GB2312" w:eastAsia="仿宋_GB2312" w:hAnsi="宋体" w:cs="仿宋_GB2312" w:hint="eastAsia"/>
          <w:color w:val="000000"/>
          <w:kern w:val="0"/>
          <w:sz w:val="32"/>
          <w:szCs w:val="32"/>
        </w:rPr>
        <w:t>万元、津贴补贴45.67万元、奖金93.69万元、社会保障费52.28万元、伙食补助11.24万元、绩效工资123.97万元、生活补助0.84万元、住房公积金57.91、奖励金0.14万元。</w:t>
      </w:r>
    </w:p>
    <w:p w:rsidR="00CE1EB0" w:rsidRDefault="00B25AE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公用经费</w:t>
      </w:r>
      <w:r>
        <w:rPr>
          <w:rFonts w:ascii="仿宋_GB2312" w:eastAsia="仿宋_GB2312" w:hAnsi="仿宋_GB2312" w:cs="仿宋_GB2312" w:hint="eastAsia"/>
          <w:color w:val="000000"/>
          <w:kern w:val="0"/>
          <w:sz w:val="31"/>
          <w:szCs w:val="31"/>
        </w:rPr>
        <w:t>17.97</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p>
    <w:p w:rsidR="00CE1EB0" w:rsidRDefault="00B25AE7">
      <w:pPr>
        <w:widowControl/>
        <w:ind w:firstLineChars="200" w:firstLine="640"/>
        <w:jc w:val="left"/>
      </w:pPr>
      <w:r>
        <w:rPr>
          <w:rFonts w:ascii="仿宋_GB2312" w:eastAsia="仿宋_GB2312" w:hAnsi="宋体" w:cs="仿宋_GB2312"/>
          <w:color w:val="000000"/>
          <w:kern w:val="0"/>
          <w:sz w:val="32"/>
          <w:szCs w:val="32"/>
        </w:rPr>
        <w:t>办公费</w:t>
      </w:r>
      <w:r>
        <w:rPr>
          <w:rFonts w:ascii="仿宋_GB2312" w:eastAsia="仿宋_GB2312" w:hAnsi="宋体" w:cs="仿宋_GB2312" w:hint="eastAsia"/>
          <w:color w:val="000000"/>
          <w:kern w:val="0"/>
          <w:sz w:val="32"/>
          <w:szCs w:val="32"/>
        </w:rPr>
        <w:t>1.28万元、印刷费0.6万元、手续费0.04万元、水费0.3万元、电费0.9万元、邮电费3.16万元、差旅费0.3万元、维修（护）费0.21万元、公务接待费0.25万元、劳务费</w:t>
      </w:r>
      <w:r>
        <w:rPr>
          <w:rFonts w:ascii="仿宋_GB2312" w:eastAsia="仿宋_GB2312" w:hAnsi="宋体" w:cs="仿宋_GB2312" w:hint="eastAsia"/>
          <w:color w:val="000000"/>
          <w:kern w:val="0"/>
          <w:sz w:val="32"/>
          <w:szCs w:val="32"/>
        </w:rPr>
        <w:lastRenderedPageBreak/>
        <w:t>0.89万元、委托业务费0.06万元、工会经费6.34万元、其他交通费用3.63万元、其他商品和服务支出0.01万元。</w:t>
      </w:r>
    </w:p>
    <w:p w:rsidR="00CE1EB0" w:rsidRDefault="00B25AE7">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p>
    <w:p w:rsidR="00CE1EB0" w:rsidRDefault="00B25AE7">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CE1EB0" w:rsidRDefault="00B25AE7">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2.74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1.47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53.65</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减少1.27万元，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公务用车年底报废费用减少及接待数量减少。</w:t>
      </w:r>
    </w:p>
    <w:p w:rsidR="00CE1EB0" w:rsidRDefault="00B25AE7">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50" w:firstLine="80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费支出0万元，占0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1.01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68.71</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0.46</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31.29</w:t>
      </w:r>
      <w:r>
        <w:rPr>
          <w:rFonts w:ascii="仿宋_GB2312" w:eastAsia="仿宋_GB2312" w:hAnsi="宋体" w:cs="仿宋_GB2312"/>
          <w:color w:val="000000"/>
          <w:kern w:val="0"/>
          <w:sz w:val="32"/>
          <w:szCs w:val="32"/>
        </w:rPr>
        <w:t>%。具体情况如下：</w:t>
      </w:r>
    </w:p>
    <w:p w:rsidR="00CE1EB0" w:rsidRDefault="00B25AE7">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pPr>
      <w:r>
        <w:rPr>
          <w:rFonts w:ascii="仿宋_GB2312" w:eastAsia="仿宋_GB2312" w:hAnsi="仿宋" w:hint="eastAsia"/>
          <w:sz w:val="32"/>
          <w:szCs w:val="32"/>
        </w:rPr>
        <w:t>2019年因公出国（境）团组</w:t>
      </w:r>
      <w:r>
        <w:rPr>
          <w:rFonts w:ascii="仿宋_GB2312" w:eastAsia="仿宋_GB2312" w:hAnsi="仿宋_GB2312" w:cs="仿宋_GB2312" w:hint="eastAsia"/>
          <w:sz w:val="32"/>
          <w:szCs w:val="32"/>
        </w:rPr>
        <w:t>0个，0人次，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CE1EB0" w:rsidRDefault="00B25AE7">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pPr>
      <w:r>
        <w:rPr>
          <w:rFonts w:ascii="仿宋_GB2312" w:eastAsia="仿宋_GB2312" w:hAnsi="仿宋" w:hint="eastAsia"/>
          <w:sz w:val="32"/>
          <w:szCs w:val="32"/>
        </w:rPr>
        <w:t>2019年购置车辆</w:t>
      </w:r>
      <w:r>
        <w:rPr>
          <w:rFonts w:ascii="仿宋_GB2312" w:eastAsia="仿宋_GB2312" w:hAnsi="仿宋_GB2312" w:cs="仿宋_GB2312" w:hint="eastAsia"/>
          <w:sz w:val="32"/>
          <w:szCs w:val="32"/>
        </w:rPr>
        <w:t>0台，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p>
    <w:p w:rsidR="00CE1EB0" w:rsidRDefault="00B25AE7">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lastRenderedPageBreak/>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1.03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1.01</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98.06%，决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减少（增加）0.02万元，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2019年底车辆报废，费用减少。</w:t>
      </w:r>
    </w:p>
    <w:p w:rsidR="00CE1EB0" w:rsidRDefault="00B25AE7">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Pr>
          <w:rFonts w:ascii="仿宋_GB2312" w:eastAsia="仿宋_GB2312" w:hAnsi="仿宋_GB2312" w:cs="仿宋_GB2312" w:hint="eastAsia"/>
          <w:sz w:val="32"/>
          <w:szCs w:val="32"/>
        </w:rPr>
        <w:t>2批次，58人次，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1.71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0.46</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26.9%，决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减少1.25万元，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接待数量及人次减少。</w:t>
      </w:r>
    </w:p>
    <w:p w:rsidR="00CE1EB0" w:rsidRDefault="00B25AE7">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仿宋_GB2312" w:cs="仿宋_GB2312" w:hint="eastAsia"/>
          <w:sz w:val="32"/>
          <w:szCs w:val="32"/>
        </w:rPr>
        <w:t>0</w:t>
      </w:r>
      <w:r>
        <w:rPr>
          <w:rFonts w:ascii="仿宋_GB2312" w:eastAsia="仿宋_GB2312" w:hAnsi="宋体" w:cs="仿宋_GB2312"/>
          <w:color w:val="000000"/>
          <w:kern w:val="0"/>
          <w:sz w:val="32"/>
          <w:szCs w:val="32"/>
        </w:rPr>
        <w:t>，完成预算的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减少1.5万元，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未进行培训。</w:t>
      </w:r>
    </w:p>
    <w:p w:rsidR="00CE1EB0" w:rsidRDefault="00B25AE7">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5.5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减少5.5万元，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今年无大型会议。</w:t>
      </w:r>
    </w:p>
    <w:p w:rsidR="00CE1EB0" w:rsidRDefault="00B25AE7">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CE1EB0" w:rsidRDefault="00B25AE7">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年一般公共预算项目支出全面开展绩效自评，其中，一级项目</w:t>
      </w:r>
      <w:r w:rsidR="00C85386">
        <w:rPr>
          <w:rFonts w:ascii="仿宋_GB2312" w:eastAsia="仿宋_GB2312" w:hAnsi="仿宋_GB2312" w:cs="仿宋_GB2312" w:hint="eastAsia"/>
          <w:sz w:val="32"/>
          <w:szCs w:val="32"/>
        </w:rPr>
        <w:t>0</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个，共涉及资金</w:t>
      </w:r>
      <w:r w:rsidR="00C85386">
        <w:rPr>
          <w:rFonts w:ascii="仿宋_GB2312" w:eastAsia="仿宋_GB2312" w:hAnsi="仿宋_GB2312" w:cs="仿宋_GB2312" w:hint="eastAsia"/>
          <w:sz w:val="32"/>
          <w:szCs w:val="32"/>
        </w:rPr>
        <w:t>26.23</w:t>
      </w:r>
      <w:r>
        <w:rPr>
          <w:rFonts w:ascii="仿宋_GB2312" w:eastAsia="仿宋_GB2312" w:hAnsi="仿宋_GB2312" w:cs="仿宋_GB2312"/>
          <w:sz w:val="32"/>
          <w:szCs w:val="32"/>
        </w:rPr>
        <w:t>万元，占一般公共预算项目支出总额的</w:t>
      </w:r>
      <w:r w:rsidR="00C85386">
        <w:rPr>
          <w:rFonts w:ascii="仿宋_GB2312" w:eastAsia="仿宋_GB2312" w:hAnsi="仿宋_GB2312" w:cs="仿宋_GB2312" w:hint="eastAsia"/>
          <w:sz w:val="32"/>
          <w:szCs w:val="32"/>
        </w:rPr>
        <w:t>26.23/245.02=</w:t>
      </w:r>
      <w:r w:rsidR="003B5E4B">
        <w:rPr>
          <w:rFonts w:ascii="仿宋_GB2312" w:eastAsia="仿宋_GB2312" w:hAnsi="仿宋_GB2312" w:cs="仿宋_GB2312" w:hint="eastAsia"/>
          <w:sz w:val="32"/>
          <w:szCs w:val="32"/>
        </w:rPr>
        <w:t>10.7</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组织对 2019年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CE1EB0" w:rsidRDefault="00B25AE7">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杨陵区水价综合改革精准补贴费用</w:t>
      </w:r>
      <w:r>
        <w:rPr>
          <w:rFonts w:ascii="仿宋_GB2312" w:eastAsia="仿宋_GB2312" w:hAnsi="仿宋_GB2312" w:cs="仿宋_GB2312"/>
          <w:color w:val="000000"/>
          <w:kern w:val="0"/>
          <w:sz w:val="31"/>
          <w:szCs w:val="31"/>
        </w:rPr>
        <w:t>项目绩效自评综述：根据年初设定的绩效目标，项目自评得分</w:t>
      </w:r>
      <w:r>
        <w:rPr>
          <w:rFonts w:ascii="仿宋_GB2312" w:eastAsia="仿宋_GB2312" w:hAnsi="仿宋_GB2312" w:cs="仿宋_GB2312" w:hint="eastAsia"/>
          <w:color w:val="000000"/>
          <w:kern w:val="0"/>
          <w:sz w:val="31"/>
          <w:szCs w:val="31"/>
        </w:rPr>
        <w:t>95</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50</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26.23</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52.46</w:t>
      </w:r>
      <w:r>
        <w:rPr>
          <w:rFonts w:ascii="仿宋_GB2312" w:eastAsia="仿宋_GB2312" w:hAnsi="仿宋_GB2312" w:cs="仿宋_GB2312"/>
          <w:color w:val="000000"/>
          <w:kern w:val="0"/>
          <w:sz w:val="31"/>
          <w:szCs w:val="31"/>
        </w:rPr>
        <w:t>%。主要产出和效果：根据年初设定的绩效目标，项目自评得分95分。项目全年预算数50万元，执行数 26.23万元，完成预算的52.46%。主要产出和效果：通过实施用水计量设施采购项目，实现了部分农业灌溉用水量自动监测，逐步提高农户的节水意识；通过实施节水奖励、精准补贴建立机井用水台账和收费台账，2019年全区农业灌溉节水总量255.8万方。</w:t>
      </w:r>
      <w:r>
        <w:rPr>
          <w:rFonts w:ascii="仿宋_GB2312" w:eastAsia="仿宋_GB2312" w:hAnsi="仿宋_GB2312" w:cs="仿宋_GB2312" w:hint="eastAsia"/>
          <w:color w:val="000000"/>
          <w:kern w:val="0"/>
          <w:sz w:val="31"/>
          <w:szCs w:val="31"/>
        </w:rPr>
        <w:t>发现存着问题的原因是支付进度滞后，后期要加快支付。</w:t>
      </w:r>
    </w:p>
    <w:p w:rsidR="00CE1EB0" w:rsidRDefault="00CE1EB0">
      <w:pPr>
        <w:widowControl/>
        <w:ind w:firstLineChars="200" w:firstLine="620"/>
        <w:jc w:val="left"/>
        <w:rPr>
          <w:rFonts w:ascii="仿宋_GB2312" w:eastAsia="仿宋_GB2312" w:hAnsi="仿宋_GB2312" w:cs="仿宋_GB2312"/>
          <w:color w:val="000000"/>
          <w:kern w:val="0"/>
          <w:sz w:val="31"/>
          <w:szCs w:val="31"/>
        </w:rPr>
      </w:pPr>
    </w:p>
    <w:p w:rsidR="00CE1EB0" w:rsidRDefault="00CE1EB0">
      <w:pPr>
        <w:rPr>
          <w:rFonts w:ascii="楷体" w:eastAsia="楷体" w:hAnsi="楷体" w:cs="楷体"/>
          <w:sz w:val="32"/>
          <w:szCs w:val="32"/>
        </w:rPr>
      </w:pPr>
    </w:p>
    <w:p w:rsidR="00CE1EB0" w:rsidRDefault="00CE1EB0">
      <w:pPr>
        <w:rPr>
          <w:rFonts w:ascii="楷体" w:eastAsia="楷体" w:hAnsi="楷体" w:cs="楷体"/>
          <w:sz w:val="32"/>
          <w:szCs w:val="32"/>
        </w:rPr>
      </w:pPr>
      <w:r w:rsidRPr="00CE1EB0">
        <w:rPr>
          <w:rFonts w:ascii="楷体" w:eastAsia="楷体" w:hAnsi="楷体" w:cs="楷体" w:hint="eastAsia"/>
          <w:sz w:val="32"/>
          <w:szCs w:val="32"/>
        </w:rPr>
        <w:object w:dxaOrig="12400" w:dyaOrig="1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95.5pt" o:ole="">
            <v:imagedata r:id="rId14" o:title=""/>
          </v:shape>
          <o:OLEObject Type="Embed" ProgID="Excel.Sheet.8" ShapeID="_x0000_i1025" DrawAspect="Content" ObjectID="_1665135317" r:id="rId15"/>
        </w:object>
      </w:r>
    </w:p>
    <w:p w:rsidR="00CE1EB0" w:rsidRDefault="00CE1EB0">
      <w:pPr>
        <w:widowControl/>
        <w:jc w:val="left"/>
        <w:rPr>
          <w:rFonts w:ascii="楷体" w:eastAsia="楷体" w:hAnsi="楷体" w:cs="楷体"/>
          <w:sz w:val="32"/>
          <w:szCs w:val="32"/>
        </w:rPr>
        <w:sectPr w:rsidR="00CE1EB0">
          <w:footerReference w:type="default" r:id="rId16"/>
          <w:pgSz w:w="11906" w:h="16838"/>
          <w:pgMar w:top="1985" w:right="1588" w:bottom="2098" w:left="1474" w:header="851" w:footer="992" w:gutter="0"/>
          <w:cols w:space="0"/>
          <w:docGrid w:type="lines" w:linePitch="315"/>
        </w:sectPr>
      </w:pPr>
    </w:p>
    <w:p w:rsidR="00CE1EB0" w:rsidRDefault="006B15F4">
      <w:pPr>
        <w:widowControl/>
        <w:jc w:val="left"/>
        <w:rPr>
          <w:rFonts w:ascii="楷体" w:eastAsia="楷体" w:hAnsi="楷体" w:cs="楷体"/>
          <w:sz w:val="32"/>
          <w:szCs w:val="32"/>
        </w:rPr>
      </w:pPr>
      <w:r w:rsidRPr="00CE1EB0">
        <w:rPr>
          <w:rFonts w:ascii="楷体" w:eastAsia="楷体" w:hAnsi="楷体" w:cs="楷体" w:hint="eastAsia"/>
          <w:sz w:val="32"/>
          <w:szCs w:val="32"/>
        </w:rPr>
        <w:object w:dxaOrig="15983" w:dyaOrig="30945">
          <v:shape id="_x0000_i1026" type="#_x0000_t75" style="width:779.25pt;height:1584.75pt" o:ole="">
            <v:imagedata r:id="rId17" o:title=""/>
          </v:shape>
          <o:OLEObject Type="Embed" ProgID="Excel.Sheet.8" ShapeID="_x0000_i1026" DrawAspect="Content" ObjectID="_1665135318" r:id="rId18"/>
        </w:object>
      </w:r>
    </w:p>
    <w:p w:rsidR="00CE1EB0" w:rsidRDefault="009D5791">
      <w:pPr>
        <w:rPr>
          <w:rFonts w:ascii="楷体" w:eastAsia="楷体" w:hAnsi="楷体" w:cs="楷体"/>
          <w:sz w:val="32"/>
          <w:szCs w:val="32"/>
        </w:rPr>
      </w:pPr>
      <w:r w:rsidRPr="00CE1EB0">
        <w:rPr>
          <w:rFonts w:ascii="楷体" w:eastAsia="楷体" w:hAnsi="楷体" w:cs="楷体" w:hint="eastAsia"/>
          <w:sz w:val="32"/>
          <w:szCs w:val="32"/>
        </w:rPr>
        <w:object w:dxaOrig="14558" w:dyaOrig="8434">
          <v:shape id="_x0000_i1027" type="#_x0000_t75" style="width:630pt;height:378pt" o:ole="">
            <v:imagedata r:id="rId19" o:title=""/>
          </v:shape>
          <o:OLEObject Type="Embed" ProgID="Excel.Sheet.8" ShapeID="_x0000_i1027" DrawAspect="Content" ObjectID="_1665135319" r:id="rId20"/>
        </w:object>
      </w:r>
    </w:p>
    <w:p w:rsidR="00CE1EB0" w:rsidRDefault="00CE1EB0">
      <w:pPr>
        <w:rPr>
          <w:rFonts w:ascii="楷体" w:eastAsia="楷体" w:hAnsi="楷体" w:cs="楷体"/>
          <w:sz w:val="32"/>
          <w:szCs w:val="32"/>
        </w:rPr>
      </w:pPr>
    </w:p>
    <w:p w:rsidR="00CE1EB0" w:rsidRDefault="009D5791">
      <w:pPr>
        <w:widowControl/>
        <w:jc w:val="left"/>
        <w:rPr>
          <w:rFonts w:ascii="楷体" w:eastAsia="楷体" w:hAnsi="楷体" w:cs="楷体"/>
          <w:sz w:val="32"/>
          <w:szCs w:val="32"/>
        </w:rPr>
        <w:sectPr w:rsidR="00CE1EB0">
          <w:pgSz w:w="16838" w:h="11906" w:orient="landscape"/>
          <w:pgMar w:top="1588" w:right="2098" w:bottom="1474" w:left="1985" w:header="851" w:footer="992" w:gutter="0"/>
          <w:cols w:space="0"/>
          <w:docGrid w:type="lines" w:linePitch="315"/>
        </w:sectPr>
      </w:pPr>
      <w:r w:rsidRPr="00CE1EB0">
        <w:rPr>
          <w:rFonts w:ascii="楷体" w:eastAsia="楷体" w:hAnsi="楷体" w:cs="楷体" w:hint="eastAsia"/>
          <w:sz w:val="32"/>
          <w:szCs w:val="32"/>
        </w:rPr>
        <w:object w:dxaOrig="14558" w:dyaOrig="8333">
          <v:shape id="_x0000_i1028" type="#_x0000_t75" style="width:631.5pt;height:317.25pt" o:ole="">
            <v:imagedata r:id="rId21" o:title=""/>
          </v:shape>
          <o:OLEObject Type="Embed" ProgID="Excel.Sheet.8" ShapeID="_x0000_i1028" DrawAspect="Content" ObjectID="_1665135320" r:id="rId22"/>
        </w:object>
      </w:r>
      <w:bookmarkStart w:id="0" w:name="_GoBack"/>
      <w:bookmarkEnd w:id="0"/>
    </w:p>
    <w:p w:rsidR="00CE1EB0" w:rsidRDefault="00B25AE7">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CE1EB0" w:rsidRDefault="00B25AE7">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示例：</w:t>
      </w: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11.8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9.17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77.71</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减少2.63万元，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机关运行经费和下属事业单位运行费用合并下达，机关运行经费完成预算。</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CE1EB0" w:rsidRDefault="00B25AE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示例：2019年本部门政府采购支出总额共390.87万元，其中政府采购货物类支出23.76万元、政府采购服务类支出56万元、政府采购工程类支出311.11万元。</w:t>
      </w:r>
      <w:r>
        <w:rPr>
          <w:rFonts w:ascii="仿宋_GB2312" w:eastAsia="仿宋_GB2312" w:hAnsi="宋体" w:cs="仿宋_GB2312"/>
          <w:color w:val="000000"/>
          <w:kern w:val="0"/>
          <w:sz w:val="32"/>
          <w:szCs w:val="32"/>
        </w:rPr>
        <w:t>授予中小企业合同金额</w:t>
      </w:r>
      <w:r>
        <w:rPr>
          <w:rFonts w:ascii="仿宋_GB2312" w:eastAsia="仿宋_GB2312" w:hAnsi="宋体" w:cs="仿宋_GB2312" w:hint="eastAsia"/>
          <w:color w:val="000000"/>
          <w:kern w:val="0"/>
          <w:sz w:val="32"/>
          <w:szCs w:val="32"/>
        </w:rPr>
        <w:t>311.11</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79.59</w:t>
      </w:r>
      <w:r>
        <w:rPr>
          <w:rFonts w:ascii="仿宋_GB2312" w:eastAsia="仿宋_GB2312" w:hAnsi="宋体" w:cs="仿宋_GB2312"/>
          <w:color w:val="000000"/>
          <w:kern w:val="0"/>
          <w:sz w:val="32"/>
          <w:szCs w:val="32"/>
        </w:rPr>
        <w:t>%，其中：授予小微企业合同金额</w:t>
      </w:r>
      <w:r>
        <w:rPr>
          <w:rFonts w:ascii="仿宋_GB2312" w:eastAsia="仿宋_GB2312" w:hAnsi="宋体" w:cs="仿宋_GB2312" w:hint="eastAsia"/>
          <w:color w:val="000000"/>
          <w:kern w:val="0"/>
          <w:sz w:val="32"/>
          <w:szCs w:val="32"/>
        </w:rPr>
        <w:t>79.76</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20.41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截至2019年末，本部门机关及所属单位共有车辆2辆；单价50万元以上的通用设备0台（套）；单价100万元以上的专用设备0台（套）。201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年当年购置车辆0辆；购置单价50万元以上的通用设备0台（套）；购置单价100万元以上的专用设备0台（套）。</w:t>
      </w:r>
    </w:p>
    <w:p w:rsidR="00CE1EB0" w:rsidRDefault="00CE1EB0">
      <w:pPr>
        <w:widowControl/>
        <w:jc w:val="left"/>
        <w:rPr>
          <w:rFonts w:ascii="黑体" w:eastAsia="黑体" w:hAnsi="宋体"/>
          <w:color w:val="000000"/>
          <w:kern w:val="0"/>
          <w:sz w:val="32"/>
          <w:szCs w:val="32"/>
        </w:rPr>
      </w:pPr>
    </w:p>
    <w:p w:rsidR="00CE1EB0" w:rsidRDefault="00CE1EB0">
      <w:pPr>
        <w:widowControl/>
        <w:jc w:val="left"/>
        <w:rPr>
          <w:rFonts w:ascii="黑体" w:eastAsia="黑体" w:hAnsi="宋体"/>
          <w:color w:val="000000"/>
          <w:kern w:val="0"/>
          <w:sz w:val="32"/>
          <w:szCs w:val="32"/>
        </w:rPr>
      </w:pPr>
    </w:p>
    <w:p w:rsidR="00CE1EB0" w:rsidRDefault="00B25AE7">
      <w:pPr>
        <w:jc w:val="center"/>
        <w:rPr>
          <w:sz w:val="44"/>
          <w:szCs w:val="44"/>
        </w:rPr>
      </w:pPr>
      <w:r>
        <w:rPr>
          <w:rFonts w:ascii="黑体" w:eastAsia="黑体" w:hAnsi="宋体" w:hint="eastAsia"/>
          <w:color w:val="000000"/>
          <w:kern w:val="0"/>
          <w:sz w:val="44"/>
          <w:szCs w:val="44"/>
        </w:rPr>
        <w:lastRenderedPageBreak/>
        <w:t>第四部分 专业名词解释</w:t>
      </w:r>
    </w:p>
    <w:p w:rsidR="00CE1EB0" w:rsidRDefault="00B25AE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CE1EB0" w:rsidRDefault="00B25AE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CE1EB0" w:rsidRDefault="00CE1EB0">
      <w:pPr>
        <w:rPr>
          <w:rFonts w:ascii="黑体" w:eastAsia="黑体" w:hAnsi="宋体"/>
          <w:color w:val="000000"/>
          <w:kern w:val="0"/>
          <w:sz w:val="44"/>
          <w:szCs w:val="44"/>
        </w:rPr>
      </w:pPr>
    </w:p>
    <w:p w:rsidR="00CE1EB0" w:rsidRDefault="00CE1EB0">
      <w:pPr>
        <w:jc w:val="center"/>
        <w:rPr>
          <w:rFonts w:ascii="黑体" w:eastAsia="黑体" w:hAnsi="宋体"/>
          <w:color w:val="000000"/>
          <w:kern w:val="0"/>
          <w:sz w:val="44"/>
          <w:szCs w:val="44"/>
        </w:rPr>
      </w:pPr>
    </w:p>
    <w:p w:rsidR="00CE1EB0" w:rsidRDefault="00CE1EB0">
      <w:pPr>
        <w:jc w:val="center"/>
        <w:rPr>
          <w:rFonts w:ascii="黑体" w:eastAsia="黑体" w:hAnsi="宋体"/>
          <w:color w:val="000000"/>
          <w:kern w:val="0"/>
          <w:sz w:val="44"/>
          <w:szCs w:val="44"/>
        </w:rPr>
      </w:pPr>
    </w:p>
    <w:p w:rsidR="00CE1EB0" w:rsidRDefault="00CE1EB0">
      <w:pPr>
        <w:rPr>
          <w:rFonts w:ascii="黑体" w:eastAsia="黑体" w:hAnsi="宋体"/>
          <w:color w:val="000000"/>
          <w:kern w:val="0"/>
          <w:sz w:val="44"/>
          <w:szCs w:val="44"/>
        </w:rPr>
      </w:pPr>
    </w:p>
    <w:sectPr w:rsidR="00CE1EB0" w:rsidSect="00CE1EB0">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04" w:rsidRDefault="000E1D04" w:rsidP="00CE1EB0">
      <w:r>
        <w:separator/>
      </w:r>
    </w:p>
  </w:endnote>
  <w:endnote w:type="continuationSeparator" w:id="1">
    <w:p w:rsidR="000E1D04" w:rsidRDefault="000E1D04" w:rsidP="00CE1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楷体">
    <w:altName w:val="微软雅黑"/>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99" w:rsidRDefault="00F6318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53899" w:rsidRDefault="00F6318F">
                <w:pPr>
                  <w:pStyle w:val="a5"/>
                </w:pPr>
                <w:fldSimple w:instr=" PAGE  \* MERGEFORMAT ">
                  <w:r w:rsidR="009D5791">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04" w:rsidRDefault="000E1D04" w:rsidP="00CE1EB0">
      <w:r>
        <w:separator/>
      </w:r>
    </w:p>
  </w:footnote>
  <w:footnote w:type="continuationSeparator" w:id="1">
    <w:p w:rsidR="000E1D04" w:rsidRDefault="000E1D04" w:rsidP="00CE1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0669B"/>
    <w:rsid w:val="000400C7"/>
    <w:rsid w:val="00042E6E"/>
    <w:rsid w:val="000472A3"/>
    <w:rsid w:val="00050E89"/>
    <w:rsid w:val="000549D2"/>
    <w:rsid w:val="00064280"/>
    <w:rsid w:val="00072246"/>
    <w:rsid w:val="00075A00"/>
    <w:rsid w:val="000C34A4"/>
    <w:rsid w:val="000C47AD"/>
    <w:rsid w:val="000E1D04"/>
    <w:rsid w:val="000E4812"/>
    <w:rsid w:val="000F160C"/>
    <w:rsid w:val="0011424C"/>
    <w:rsid w:val="00116C79"/>
    <w:rsid w:val="00146787"/>
    <w:rsid w:val="0016289F"/>
    <w:rsid w:val="00164001"/>
    <w:rsid w:val="00173C6A"/>
    <w:rsid w:val="00174B85"/>
    <w:rsid w:val="001815D7"/>
    <w:rsid w:val="00194987"/>
    <w:rsid w:val="001B3CEA"/>
    <w:rsid w:val="001C5ED2"/>
    <w:rsid w:val="001C74B8"/>
    <w:rsid w:val="001D6BF3"/>
    <w:rsid w:val="001D7568"/>
    <w:rsid w:val="001E1789"/>
    <w:rsid w:val="001F073D"/>
    <w:rsid w:val="0020041B"/>
    <w:rsid w:val="002424C8"/>
    <w:rsid w:val="00247F79"/>
    <w:rsid w:val="00252CFC"/>
    <w:rsid w:val="00281702"/>
    <w:rsid w:val="002A7893"/>
    <w:rsid w:val="002C389A"/>
    <w:rsid w:val="002F2882"/>
    <w:rsid w:val="0030399F"/>
    <w:rsid w:val="0031030F"/>
    <w:rsid w:val="0031036F"/>
    <w:rsid w:val="00313DA6"/>
    <w:rsid w:val="003142E4"/>
    <w:rsid w:val="00320471"/>
    <w:rsid w:val="0032210C"/>
    <w:rsid w:val="00323D87"/>
    <w:rsid w:val="003364E9"/>
    <w:rsid w:val="00350143"/>
    <w:rsid w:val="00357B4E"/>
    <w:rsid w:val="00364719"/>
    <w:rsid w:val="00383F3F"/>
    <w:rsid w:val="00390490"/>
    <w:rsid w:val="00391357"/>
    <w:rsid w:val="003A52C3"/>
    <w:rsid w:val="003B5E4B"/>
    <w:rsid w:val="003D2C53"/>
    <w:rsid w:val="003D5130"/>
    <w:rsid w:val="00402DBA"/>
    <w:rsid w:val="004032E9"/>
    <w:rsid w:val="00430E27"/>
    <w:rsid w:val="00434E0F"/>
    <w:rsid w:val="00444244"/>
    <w:rsid w:val="00452E2E"/>
    <w:rsid w:val="004631B7"/>
    <w:rsid w:val="0046755B"/>
    <w:rsid w:val="004707F8"/>
    <w:rsid w:val="00497F44"/>
    <w:rsid w:val="004A4232"/>
    <w:rsid w:val="004B6D6E"/>
    <w:rsid w:val="004B7615"/>
    <w:rsid w:val="004C2C7E"/>
    <w:rsid w:val="004D50E0"/>
    <w:rsid w:val="004D666B"/>
    <w:rsid w:val="004E086E"/>
    <w:rsid w:val="004F1F38"/>
    <w:rsid w:val="00515097"/>
    <w:rsid w:val="00553899"/>
    <w:rsid w:val="005546C9"/>
    <w:rsid w:val="00562CE8"/>
    <w:rsid w:val="0057452D"/>
    <w:rsid w:val="00590FB5"/>
    <w:rsid w:val="00596992"/>
    <w:rsid w:val="005B51C2"/>
    <w:rsid w:val="005E5031"/>
    <w:rsid w:val="005F34D6"/>
    <w:rsid w:val="00612A30"/>
    <w:rsid w:val="0062237E"/>
    <w:rsid w:val="00627502"/>
    <w:rsid w:val="00642869"/>
    <w:rsid w:val="0066122E"/>
    <w:rsid w:val="006854AE"/>
    <w:rsid w:val="0068684C"/>
    <w:rsid w:val="006934FE"/>
    <w:rsid w:val="006A3A06"/>
    <w:rsid w:val="006B15F4"/>
    <w:rsid w:val="006B2FB1"/>
    <w:rsid w:val="006C5371"/>
    <w:rsid w:val="006E1196"/>
    <w:rsid w:val="006E32C0"/>
    <w:rsid w:val="006E5A4C"/>
    <w:rsid w:val="00702A43"/>
    <w:rsid w:val="00703CDD"/>
    <w:rsid w:val="007224C4"/>
    <w:rsid w:val="0072469C"/>
    <w:rsid w:val="007426E9"/>
    <w:rsid w:val="00761F2C"/>
    <w:rsid w:val="00765A28"/>
    <w:rsid w:val="00795CD9"/>
    <w:rsid w:val="007A0A92"/>
    <w:rsid w:val="007A2673"/>
    <w:rsid w:val="007A7D9C"/>
    <w:rsid w:val="007B28DE"/>
    <w:rsid w:val="007C0931"/>
    <w:rsid w:val="007C5515"/>
    <w:rsid w:val="007E670D"/>
    <w:rsid w:val="0081293C"/>
    <w:rsid w:val="00813F4A"/>
    <w:rsid w:val="00836D70"/>
    <w:rsid w:val="008425BC"/>
    <w:rsid w:val="00860F59"/>
    <w:rsid w:val="00877F94"/>
    <w:rsid w:val="00895835"/>
    <w:rsid w:val="008959EB"/>
    <w:rsid w:val="00895A6D"/>
    <w:rsid w:val="008A4391"/>
    <w:rsid w:val="008A4DD6"/>
    <w:rsid w:val="008B1139"/>
    <w:rsid w:val="008D18C7"/>
    <w:rsid w:val="008F3354"/>
    <w:rsid w:val="008F5429"/>
    <w:rsid w:val="00922EA8"/>
    <w:rsid w:val="009329CD"/>
    <w:rsid w:val="00957268"/>
    <w:rsid w:val="009744BF"/>
    <w:rsid w:val="00980B10"/>
    <w:rsid w:val="00980CBE"/>
    <w:rsid w:val="00993E80"/>
    <w:rsid w:val="009C4E3C"/>
    <w:rsid w:val="009D257E"/>
    <w:rsid w:val="009D5791"/>
    <w:rsid w:val="009D6199"/>
    <w:rsid w:val="009F0625"/>
    <w:rsid w:val="00A1610F"/>
    <w:rsid w:val="00A22CB6"/>
    <w:rsid w:val="00A308FA"/>
    <w:rsid w:val="00A35577"/>
    <w:rsid w:val="00A47E46"/>
    <w:rsid w:val="00A82FB7"/>
    <w:rsid w:val="00A976FA"/>
    <w:rsid w:val="00B0367F"/>
    <w:rsid w:val="00B0698A"/>
    <w:rsid w:val="00B22757"/>
    <w:rsid w:val="00B25AE7"/>
    <w:rsid w:val="00B661AB"/>
    <w:rsid w:val="00B80654"/>
    <w:rsid w:val="00B84000"/>
    <w:rsid w:val="00B92788"/>
    <w:rsid w:val="00BA3253"/>
    <w:rsid w:val="00BB13CC"/>
    <w:rsid w:val="00BB78CD"/>
    <w:rsid w:val="00BC45D7"/>
    <w:rsid w:val="00C01FE5"/>
    <w:rsid w:val="00C70E41"/>
    <w:rsid w:val="00C85386"/>
    <w:rsid w:val="00CC0936"/>
    <w:rsid w:val="00CC0DC0"/>
    <w:rsid w:val="00CE1EB0"/>
    <w:rsid w:val="00D040A2"/>
    <w:rsid w:val="00D046E8"/>
    <w:rsid w:val="00D06340"/>
    <w:rsid w:val="00D21E2E"/>
    <w:rsid w:val="00D55EA7"/>
    <w:rsid w:val="00D85E19"/>
    <w:rsid w:val="00DA45DF"/>
    <w:rsid w:val="00DB3537"/>
    <w:rsid w:val="00DC0FD1"/>
    <w:rsid w:val="00DF272C"/>
    <w:rsid w:val="00E02884"/>
    <w:rsid w:val="00E03D10"/>
    <w:rsid w:val="00E1566E"/>
    <w:rsid w:val="00E22FA4"/>
    <w:rsid w:val="00E26200"/>
    <w:rsid w:val="00E57732"/>
    <w:rsid w:val="00E8111E"/>
    <w:rsid w:val="00E812DE"/>
    <w:rsid w:val="00E83F52"/>
    <w:rsid w:val="00E85691"/>
    <w:rsid w:val="00E9237B"/>
    <w:rsid w:val="00E92AF4"/>
    <w:rsid w:val="00E9459C"/>
    <w:rsid w:val="00ED3432"/>
    <w:rsid w:val="00EF6CB6"/>
    <w:rsid w:val="00F130CE"/>
    <w:rsid w:val="00F21057"/>
    <w:rsid w:val="00F6318F"/>
    <w:rsid w:val="00F67F75"/>
    <w:rsid w:val="00F94418"/>
    <w:rsid w:val="00FB3E2B"/>
    <w:rsid w:val="00FB51EA"/>
    <w:rsid w:val="00FB60C7"/>
    <w:rsid w:val="013B79AC"/>
    <w:rsid w:val="01A81406"/>
    <w:rsid w:val="125E2600"/>
    <w:rsid w:val="132E46A0"/>
    <w:rsid w:val="14411117"/>
    <w:rsid w:val="1586116E"/>
    <w:rsid w:val="18BB4AD7"/>
    <w:rsid w:val="1B4A3FDA"/>
    <w:rsid w:val="1B524C98"/>
    <w:rsid w:val="1C5E2F73"/>
    <w:rsid w:val="1D6E0C0D"/>
    <w:rsid w:val="21A7565E"/>
    <w:rsid w:val="221C15BB"/>
    <w:rsid w:val="29785A6B"/>
    <w:rsid w:val="2D1F3974"/>
    <w:rsid w:val="2DB52EF2"/>
    <w:rsid w:val="31AA6038"/>
    <w:rsid w:val="33887EE3"/>
    <w:rsid w:val="34677C61"/>
    <w:rsid w:val="37AD2FDE"/>
    <w:rsid w:val="3B121AD1"/>
    <w:rsid w:val="3CFD0D2E"/>
    <w:rsid w:val="41603979"/>
    <w:rsid w:val="41CF436B"/>
    <w:rsid w:val="43A9633E"/>
    <w:rsid w:val="4619368A"/>
    <w:rsid w:val="471F2499"/>
    <w:rsid w:val="4D6E0FDF"/>
    <w:rsid w:val="4EE4307A"/>
    <w:rsid w:val="5153143F"/>
    <w:rsid w:val="54F12DEE"/>
    <w:rsid w:val="55A456B4"/>
    <w:rsid w:val="5B8D564A"/>
    <w:rsid w:val="5F8D0367"/>
    <w:rsid w:val="65074FBA"/>
    <w:rsid w:val="69512523"/>
    <w:rsid w:val="71086DB5"/>
    <w:rsid w:val="75C31473"/>
    <w:rsid w:val="783C5949"/>
    <w:rsid w:val="7C3E5E46"/>
    <w:rsid w:val="7C5B5A63"/>
    <w:rsid w:val="7DF11A62"/>
    <w:rsid w:val="7EE7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EB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E1EB0"/>
    <w:pPr>
      <w:jc w:val="left"/>
    </w:pPr>
  </w:style>
  <w:style w:type="paragraph" w:styleId="a4">
    <w:name w:val="Balloon Text"/>
    <w:basedOn w:val="a"/>
    <w:link w:val="Char0"/>
    <w:qFormat/>
    <w:rsid w:val="00CE1EB0"/>
    <w:rPr>
      <w:sz w:val="18"/>
      <w:szCs w:val="18"/>
    </w:rPr>
  </w:style>
  <w:style w:type="paragraph" w:styleId="a5">
    <w:name w:val="footer"/>
    <w:basedOn w:val="a"/>
    <w:qFormat/>
    <w:rsid w:val="00CE1EB0"/>
    <w:pPr>
      <w:tabs>
        <w:tab w:val="center" w:pos="4153"/>
        <w:tab w:val="right" w:pos="8306"/>
      </w:tabs>
      <w:snapToGrid w:val="0"/>
      <w:jc w:val="left"/>
    </w:pPr>
    <w:rPr>
      <w:sz w:val="18"/>
    </w:rPr>
  </w:style>
  <w:style w:type="paragraph" w:styleId="a6">
    <w:name w:val="header"/>
    <w:basedOn w:val="a"/>
    <w:qFormat/>
    <w:rsid w:val="00CE1E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E1EB0"/>
    <w:pPr>
      <w:spacing w:before="100" w:beforeAutospacing="1" w:after="100" w:afterAutospacing="1"/>
      <w:jc w:val="left"/>
    </w:pPr>
    <w:rPr>
      <w:rFonts w:cs="Times New Roman"/>
      <w:kern w:val="0"/>
      <w:sz w:val="24"/>
    </w:rPr>
  </w:style>
  <w:style w:type="paragraph" w:styleId="a8">
    <w:name w:val="annotation subject"/>
    <w:basedOn w:val="a3"/>
    <w:next w:val="a3"/>
    <w:link w:val="Char1"/>
    <w:qFormat/>
    <w:rsid w:val="00CE1EB0"/>
    <w:rPr>
      <w:b/>
      <w:bCs/>
    </w:rPr>
  </w:style>
  <w:style w:type="table" w:styleId="a9">
    <w:name w:val="Table Grid"/>
    <w:basedOn w:val="a1"/>
    <w:qFormat/>
    <w:rsid w:val="00CE1E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sid w:val="00CE1EB0"/>
    <w:rPr>
      <w:sz w:val="21"/>
      <w:szCs w:val="21"/>
    </w:rPr>
  </w:style>
  <w:style w:type="character" w:customStyle="1" w:styleId="Char">
    <w:name w:val="批注文字 Char"/>
    <w:basedOn w:val="a0"/>
    <w:link w:val="a3"/>
    <w:qFormat/>
    <w:rsid w:val="00CE1EB0"/>
    <w:rPr>
      <w:rFonts w:ascii="Calibri" w:hAnsi="Calibri" w:cs="黑体"/>
      <w:kern w:val="2"/>
      <w:sz w:val="21"/>
      <w:szCs w:val="24"/>
    </w:rPr>
  </w:style>
  <w:style w:type="character" w:customStyle="1" w:styleId="Char1">
    <w:name w:val="批注主题 Char"/>
    <w:basedOn w:val="Char"/>
    <w:link w:val="a8"/>
    <w:qFormat/>
    <w:rsid w:val="00CE1EB0"/>
    <w:rPr>
      <w:rFonts w:ascii="Calibri" w:hAnsi="Calibri" w:cs="黑体"/>
      <w:b/>
      <w:bCs/>
      <w:kern w:val="2"/>
      <w:sz w:val="21"/>
      <w:szCs w:val="24"/>
    </w:rPr>
  </w:style>
  <w:style w:type="character" w:customStyle="1" w:styleId="Char0">
    <w:name w:val="批注框文本 Char"/>
    <w:basedOn w:val="a0"/>
    <w:link w:val="a4"/>
    <w:qFormat/>
    <w:rsid w:val="00CE1EB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oleObject" Target="embeddings/Microsoft_Office_Excel_97-2003____2.xls"/><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Microsoft_Office_Excel_97-2003____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Office_Excel_97-2003____1.xls"/><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oleObject" Target="embeddings/Microsoft_Office_Excel_97-2003____4.xls"/></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5910;&#20837;&#25903;&#20986;&#22270;&#3103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5910;&#20837;&#25903;&#20986;&#22270;&#3103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5910;&#20837;&#25903;&#20986;&#22270;&#3103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5910;&#20837;&#25903;&#20986;&#22270;&#3103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5910;&#20837;&#25903;&#20986;&#22270;&#3103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杨陵区水务局人员情况说明</a:t>
            </a:r>
          </a:p>
        </c:rich>
      </c:tx>
    </c:title>
    <c:plotArea>
      <c:layout/>
      <c:barChart>
        <c:barDir val="col"/>
        <c:grouping val="clustered"/>
        <c:ser>
          <c:idx val="0"/>
          <c:order val="0"/>
          <c:tx>
            <c:strRef>
              <c:f>[Book1.xlsx]Sheet1!$L$15</c:f>
              <c:strCache>
                <c:ptCount val="1"/>
                <c:pt idx="0">
                  <c:v>编制人数</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[Book1.xlsx]Sheet1!$K$16:$K$18</c:f>
              <c:strCache>
                <c:ptCount val="3"/>
                <c:pt idx="0">
                  <c:v>行政人员</c:v>
                </c:pt>
                <c:pt idx="1">
                  <c:v>事业人员</c:v>
                </c:pt>
                <c:pt idx="2">
                  <c:v>离退休人员</c:v>
                </c:pt>
              </c:strCache>
            </c:strRef>
          </c:cat>
          <c:val>
            <c:numRef>
              <c:f>[Book1.xlsx]Sheet1!$L$16:$L$18</c:f>
              <c:numCache>
                <c:formatCode>General</c:formatCode>
                <c:ptCount val="3"/>
                <c:pt idx="0">
                  <c:v>5</c:v>
                </c:pt>
                <c:pt idx="1">
                  <c:v>44</c:v>
                </c:pt>
              </c:numCache>
            </c:numRef>
          </c:val>
        </c:ser>
        <c:ser>
          <c:idx val="1"/>
          <c:order val="1"/>
          <c:tx>
            <c:strRef>
              <c:f>[Book1.xlsx]Sheet1!$M$15</c:f>
              <c:strCache>
                <c:ptCount val="1"/>
                <c:pt idx="0">
                  <c:v>实有人数</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[Book1.xlsx]Sheet1!$K$16:$K$18</c:f>
              <c:strCache>
                <c:ptCount val="3"/>
                <c:pt idx="0">
                  <c:v>行政人员</c:v>
                </c:pt>
                <c:pt idx="1">
                  <c:v>事业人员</c:v>
                </c:pt>
                <c:pt idx="2">
                  <c:v>离退休人员</c:v>
                </c:pt>
              </c:strCache>
            </c:strRef>
          </c:cat>
          <c:val>
            <c:numRef>
              <c:f>[Book1.xlsx]Sheet1!$M$16:$M$18</c:f>
              <c:numCache>
                <c:formatCode>General</c:formatCode>
                <c:ptCount val="3"/>
                <c:pt idx="0">
                  <c:v>7</c:v>
                </c:pt>
                <c:pt idx="1">
                  <c:v>37</c:v>
                </c:pt>
                <c:pt idx="2">
                  <c:v>21</c:v>
                </c:pt>
              </c:numCache>
            </c:numRef>
          </c:val>
        </c:ser>
        <c:dLbls>
          <c:showVal val="1"/>
        </c:dLbls>
        <c:overlap val="-25"/>
        <c:axId val="157290880"/>
        <c:axId val="157293184"/>
      </c:barChart>
      <c:catAx>
        <c:axId val="15729088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7293184"/>
        <c:crosses val="autoZero"/>
        <c:auto val="1"/>
        <c:lblAlgn val="ctr"/>
        <c:lblOffset val="100"/>
      </c:catAx>
      <c:valAx>
        <c:axId val="157293184"/>
        <c:scaling>
          <c:orientation val="minMax"/>
        </c:scaling>
        <c:delete val="1"/>
        <c:axPos val="l"/>
        <c:numFmt formatCode="General" sourceLinked="1"/>
        <c:majorTickMark val="none"/>
        <c:tickLblPos val="none"/>
        <c:crossAx val="157290880"/>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收入支出决算总体情况图</a:t>
            </a:r>
            <a:r>
              <a:rPr lang="en-US" altLang="zh-CN"/>
              <a:t/>
            </a:r>
            <a:br>
              <a:rPr lang="en-US" altLang="zh-CN"/>
            </a:br>
            <a:r>
              <a:rPr lang="zh-CN" altLang="en-US" sz="1400"/>
              <a:t>（单位：万元）</a:t>
            </a:r>
          </a:p>
        </c:rich>
      </c:tx>
    </c:title>
    <c:plotArea>
      <c:layout/>
      <c:barChart>
        <c:barDir val="col"/>
        <c:grouping val="clustered"/>
        <c:ser>
          <c:idx val="0"/>
          <c:order val="0"/>
          <c:tx>
            <c:strRef>
              <c:f>Sheet1!$L$44</c:f>
              <c:strCache>
                <c:ptCount val="1"/>
                <c:pt idx="0">
                  <c:v>总收入</c:v>
                </c:pt>
              </c:strCache>
            </c:strRef>
          </c:tx>
          <c:dLbls>
            <c:showVal val="1"/>
          </c:dLbls>
          <c:cat>
            <c:strRef>
              <c:f>Sheet1!$M$43:$N$43</c:f>
              <c:strCache>
                <c:ptCount val="2"/>
                <c:pt idx="0">
                  <c:v>2018年</c:v>
                </c:pt>
                <c:pt idx="1">
                  <c:v>2019年</c:v>
                </c:pt>
              </c:strCache>
            </c:strRef>
          </c:cat>
          <c:val>
            <c:numRef>
              <c:f>Sheet1!$M$44:$N$44</c:f>
              <c:numCache>
                <c:formatCode>General</c:formatCode>
                <c:ptCount val="2"/>
                <c:pt idx="0">
                  <c:v>4568.41</c:v>
                </c:pt>
                <c:pt idx="1">
                  <c:v>1444.12</c:v>
                </c:pt>
              </c:numCache>
            </c:numRef>
          </c:val>
        </c:ser>
        <c:ser>
          <c:idx val="1"/>
          <c:order val="1"/>
          <c:tx>
            <c:strRef>
              <c:f>Sheet1!$L$45</c:f>
              <c:strCache>
                <c:ptCount val="1"/>
                <c:pt idx="0">
                  <c:v>总支出</c:v>
                </c:pt>
              </c:strCache>
            </c:strRef>
          </c:tx>
          <c:dLbls>
            <c:showVal val="1"/>
          </c:dLbls>
          <c:cat>
            <c:strRef>
              <c:f>Sheet1!$M$43:$N$43</c:f>
              <c:strCache>
                <c:ptCount val="2"/>
                <c:pt idx="0">
                  <c:v>2018年</c:v>
                </c:pt>
                <c:pt idx="1">
                  <c:v>2019年</c:v>
                </c:pt>
              </c:strCache>
            </c:strRef>
          </c:cat>
          <c:val>
            <c:numRef>
              <c:f>Sheet1!$M$45:$N$45</c:f>
              <c:numCache>
                <c:formatCode>General</c:formatCode>
                <c:ptCount val="2"/>
                <c:pt idx="0">
                  <c:v>2869.51</c:v>
                </c:pt>
                <c:pt idx="1">
                  <c:v>1550.22</c:v>
                </c:pt>
              </c:numCache>
            </c:numRef>
          </c:val>
        </c:ser>
        <c:dLbls>
          <c:showVal val="1"/>
        </c:dLbls>
        <c:overlap val="-25"/>
        <c:axId val="150105472"/>
        <c:axId val="150127744"/>
      </c:barChart>
      <c:catAx>
        <c:axId val="150105472"/>
        <c:scaling>
          <c:orientation val="minMax"/>
        </c:scaling>
        <c:axPos val="b"/>
        <c:majorTickMark val="none"/>
        <c:tickLblPos val="nextTo"/>
        <c:crossAx val="150127744"/>
        <c:crosses val="autoZero"/>
        <c:auto val="1"/>
        <c:lblAlgn val="ctr"/>
        <c:lblOffset val="100"/>
      </c:catAx>
      <c:valAx>
        <c:axId val="150127744"/>
        <c:scaling>
          <c:orientation val="minMax"/>
        </c:scaling>
        <c:delete val="1"/>
        <c:axPos val="l"/>
        <c:numFmt formatCode="General" sourceLinked="1"/>
        <c:tickLblPos val="nextTo"/>
        <c:crossAx val="150105472"/>
        <c:crosses val="autoZero"/>
        <c:crossBetween val="between"/>
      </c:valAx>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收入决算情况图</a:t>
            </a:r>
          </a:p>
        </c:rich>
      </c:tx>
    </c:title>
    <c:plotArea>
      <c:layout/>
      <c:pieChart>
        <c:varyColors val="1"/>
        <c:ser>
          <c:idx val="0"/>
          <c:order val="0"/>
          <c:dLbls>
            <c:showPercent val="1"/>
          </c:dLbls>
          <c:cat>
            <c:strRef>
              <c:f>Sheet1!$K$67:$K$68</c:f>
              <c:strCache>
                <c:ptCount val="2"/>
                <c:pt idx="0">
                  <c:v>财政拨款收入</c:v>
                </c:pt>
                <c:pt idx="1">
                  <c:v>其他收入</c:v>
                </c:pt>
              </c:strCache>
            </c:strRef>
          </c:cat>
          <c:val>
            <c:numRef>
              <c:f>Sheet1!$L$67:$L$68</c:f>
              <c:numCache>
                <c:formatCode>General</c:formatCode>
                <c:ptCount val="2"/>
                <c:pt idx="0">
                  <c:v>738.59</c:v>
                </c:pt>
                <c:pt idx="1">
                  <c:v>705.53</c:v>
                </c:pt>
              </c:numCache>
            </c:numRef>
          </c:val>
        </c:ser>
        <c:dLbls>
          <c:showPercent val="1"/>
        </c:dLbls>
        <c:firstSliceAng val="0"/>
      </c:pie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支出决算情况图</a:t>
            </a:r>
          </a:p>
        </c:rich>
      </c:tx>
    </c:title>
    <c:plotArea>
      <c:layout/>
      <c:pieChart>
        <c:varyColors val="1"/>
        <c:ser>
          <c:idx val="0"/>
          <c:order val="0"/>
          <c:dLbls>
            <c:showPercent val="1"/>
          </c:dLbls>
          <c:cat>
            <c:strRef>
              <c:f>Sheet1!$K$88:$K$89</c:f>
              <c:strCache>
                <c:ptCount val="2"/>
                <c:pt idx="0">
                  <c:v>基本支出</c:v>
                </c:pt>
                <c:pt idx="1">
                  <c:v>项目支出</c:v>
                </c:pt>
              </c:strCache>
            </c:strRef>
          </c:cat>
          <c:val>
            <c:numRef>
              <c:f>Sheet1!$L$88:$L$89</c:f>
              <c:numCache>
                <c:formatCode>General</c:formatCode>
                <c:ptCount val="2"/>
                <c:pt idx="0">
                  <c:v>573.25</c:v>
                </c:pt>
                <c:pt idx="1">
                  <c:v>976.97</c:v>
                </c:pt>
              </c:numCache>
            </c:numRef>
          </c:val>
        </c:ser>
        <c:dLbls>
          <c:showPercent val="1"/>
        </c:dLbls>
        <c:firstSliceAng val="0"/>
      </c:pie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财政拨款收入支出决算总体情况图</a:t>
            </a:r>
            <a:r>
              <a:rPr lang="en-US" altLang="zh-CN"/>
              <a:t/>
            </a:r>
            <a:br>
              <a:rPr lang="en-US" altLang="zh-CN"/>
            </a:br>
            <a:r>
              <a:rPr lang="zh-CN" altLang="en-US" sz="1600"/>
              <a:t>（单位：万元）</a:t>
            </a:r>
          </a:p>
        </c:rich>
      </c:tx>
    </c:title>
    <c:plotArea>
      <c:layout/>
      <c:barChart>
        <c:barDir val="col"/>
        <c:grouping val="clustered"/>
        <c:ser>
          <c:idx val="0"/>
          <c:order val="0"/>
          <c:tx>
            <c:strRef>
              <c:f>Sheet1!$K$107</c:f>
              <c:strCache>
                <c:ptCount val="1"/>
                <c:pt idx="0">
                  <c:v>财政拨款收入</c:v>
                </c:pt>
              </c:strCache>
            </c:strRef>
          </c:tx>
          <c:cat>
            <c:strRef>
              <c:f>Sheet1!$L$106:$M$106</c:f>
              <c:strCache>
                <c:ptCount val="2"/>
                <c:pt idx="0">
                  <c:v>2018年</c:v>
                </c:pt>
                <c:pt idx="1">
                  <c:v>2019年</c:v>
                </c:pt>
              </c:strCache>
            </c:strRef>
          </c:cat>
          <c:val>
            <c:numRef>
              <c:f>Sheet1!$L$107:$M$107</c:f>
              <c:numCache>
                <c:formatCode>General</c:formatCode>
                <c:ptCount val="2"/>
                <c:pt idx="0">
                  <c:v>1018.42</c:v>
                </c:pt>
                <c:pt idx="1">
                  <c:v>738.59</c:v>
                </c:pt>
              </c:numCache>
            </c:numRef>
          </c:val>
        </c:ser>
        <c:ser>
          <c:idx val="1"/>
          <c:order val="1"/>
          <c:tx>
            <c:strRef>
              <c:f>Sheet1!$K$108</c:f>
              <c:strCache>
                <c:ptCount val="1"/>
                <c:pt idx="0">
                  <c:v>财政拨款支出</c:v>
                </c:pt>
              </c:strCache>
            </c:strRef>
          </c:tx>
          <c:cat>
            <c:strRef>
              <c:f>Sheet1!$L$106:$M$106</c:f>
              <c:strCache>
                <c:ptCount val="2"/>
                <c:pt idx="0">
                  <c:v>2018年</c:v>
                </c:pt>
                <c:pt idx="1">
                  <c:v>2019年</c:v>
                </c:pt>
              </c:strCache>
            </c:strRef>
          </c:cat>
          <c:val>
            <c:numRef>
              <c:f>Sheet1!$L$108:$M$108</c:f>
              <c:numCache>
                <c:formatCode>General</c:formatCode>
                <c:ptCount val="2"/>
                <c:pt idx="0">
                  <c:v>901.81</c:v>
                </c:pt>
                <c:pt idx="1">
                  <c:v>817.57</c:v>
                </c:pt>
              </c:numCache>
            </c:numRef>
          </c:val>
        </c:ser>
        <c:axId val="150255104"/>
        <c:axId val="150256640"/>
      </c:barChart>
      <c:catAx>
        <c:axId val="150255104"/>
        <c:scaling>
          <c:orientation val="minMax"/>
        </c:scaling>
        <c:axPos val="b"/>
        <c:majorTickMark val="none"/>
        <c:tickLblPos val="nextTo"/>
        <c:crossAx val="150256640"/>
        <c:crosses val="autoZero"/>
        <c:auto val="1"/>
        <c:lblAlgn val="ctr"/>
        <c:lblOffset val="100"/>
      </c:catAx>
      <c:valAx>
        <c:axId val="150256640"/>
        <c:scaling>
          <c:orientation val="minMax"/>
        </c:scaling>
        <c:axPos val="l"/>
        <c:majorGridlines/>
        <c:title/>
        <c:numFmt formatCode="General" sourceLinked="1"/>
        <c:majorTickMark val="none"/>
        <c:tickLblPos val="nextTo"/>
        <c:crossAx val="150255104"/>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财政拨款支出决算总体情况图</a:t>
            </a:r>
          </a:p>
        </c:rich>
      </c:tx>
    </c:title>
    <c:plotArea>
      <c:layout/>
      <c:pieChart>
        <c:varyColors val="1"/>
        <c:ser>
          <c:idx val="0"/>
          <c:order val="0"/>
          <c:dLbls>
            <c:showPercent val="1"/>
          </c:dLbls>
          <c:cat>
            <c:strRef>
              <c:f>Sheet1!$K$128:$K$129</c:f>
              <c:strCache>
                <c:ptCount val="2"/>
                <c:pt idx="0">
                  <c:v>基本支出</c:v>
                </c:pt>
                <c:pt idx="1">
                  <c:v>项目支出</c:v>
                </c:pt>
              </c:strCache>
            </c:strRef>
          </c:cat>
          <c:val>
            <c:numRef>
              <c:f>Sheet1!$L$128:$L$129</c:f>
              <c:numCache>
                <c:formatCode>General</c:formatCode>
                <c:ptCount val="2"/>
                <c:pt idx="0">
                  <c:v>572.54999999999939</c:v>
                </c:pt>
                <c:pt idx="1">
                  <c:v>245.02</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9B30A-7E20-4867-B953-41B235A6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1599</Words>
  <Characters>9120</Characters>
  <Application>Microsoft Office Word</Application>
  <DocSecurity>0</DocSecurity>
  <Lines>76</Lines>
  <Paragraphs>21</Paragraphs>
  <ScaleCrop>false</ScaleCrop>
  <Company>微软中国</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139</cp:revision>
  <cp:lastPrinted>2020-07-28T02:12:00Z</cp:lastPrinted>
  <dcterms:created xsi:type="dcterms:W3CDTF">2020-07-23T09:23:00Z</dcterms:created>
  <dcterms:modified xsi:type="dcterms:W3CDTF">2020-10-25T04:49:00Z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