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pStyle w:val="16"/>
        <w:spacing w:after="0"/>
        <w:ind w:firstLine="1392" w:firstLineChars="290"/>
        <w:jc w:val="left"/>
        <w:rPr>
          <w:rFonts w:hint="eastAsia" w:eastAsiaTheme="minorEastAsia"/>
          <w:sz w:val="48"/>
          <w:szCs w:val="48"/>
        </w:rPr>
      </w:pPr>
      <w:r>
        <w:rPr>
          <w:rFonts w:hint="eastAsia" w:asciiTheme="minorEastAsia" w:hAnsiTheme="minorEastAsia" w:eastAsiaTheme="minorEastAsia"/>
          <w:sz w:val="48"/>
          <w:szCs w:val="48"/>
        </w:rPr>
        <w:t>杨凌示范区城管执法局</w:t>
      </w:r>
      <w:r>
        <w:rPr>
          <w:sz w:val="48"/>
          <w:szCs w:val="48"/>
        </w:rPr>
        <w:t>杨陵</w:t>
      </w:r>
      <w:r>
        <w:rPr>
          <w:rFonts w:hint="eastAsia" w:asciiTheme="minorEastAsia" w:hAnsiTheme="minorEastAsia" w:eastAsiaTheme="minorEastAsia"/>
          <w:sz w:val="48"/>
          <w:szCs w:val="48"/>
        </w:rPr>
        <w:t>分</w:t>
      </w:r>
      <w:r>
        <w:rPr>
          <w:sz w:val="48"/>
          <w:szCs w:val="48"/>
        </w:rPr>
        <w:t>局</w:t>
      </w: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249" w:firstLineChars="700"/>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p>
    <w:p>
      <w:pPr>
        <w:spacing w:line="400" w:lineRule="exact"/>
        <w:ind w:firstLine="2088" w:firstLineChars="650"/>
        <w:rPr>
          <w:rFonts w:asciiTheme="majorEastAsia" w:hAnsiTheme="majorEastAsia" w:eastAsiaTheme="majorEastAsia" w:cstheme="majorEastAsia"/>
          <w:b/>
          <w:bCs/>
          <w:sz w:val="32"/>
          <w:szCs w:val="32"/>
        </w:rPr>
      </w:pPr>
    </w:p>
    <w:p>
      <w:pPr>
        <w:spacing w:line="400" w:lineRule="exact"/>
        <w:ind w:firstLine="2249" w:firstLineChars="70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bookmarkStart w:id="0" w:name="_GoBack"/>
      <w:bookmarkEnd w:id="0"/>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600" w:firstLineChars="200"/>
        <w:jc w:val="left"/>
        <w:rPr>
          <w:rFonts w:ascii="仿宋" w:hAnsi="仿宋" w:eastAsia="仿宋" w:cs="楷体"/>
          <w:b/>
          <w:bCs/>
          <w:color w:val="000000"/>
          <w:kern w:val="0"/>
          <w:sz w:val="30"/>
          <w:szCs w:val="30"/>
        </w:rPr>
      </w:pPr>
      <w:r>
        <w:rPr>
          <w:rFonts w:hint="eastAsia" w:ascii="仿宋" w:hAnsi="仿宋" w:eastAsia="仿宋"/>
          <w:color w:val="2B2B2B"/>
          <w:sz w:val="30"/>
          <w:szCs w:val="30"/>
          <w:shd w:val="clear" w:color="auto" w:fill="FFFFFF"/>
        </w:rPr>
        <w:t>杨凌示范区城市管理执法局杨陵分局负责贯彻执行中、省有关城市管理方面的方针政策和法律法规，依法行使城市管理行政执法职责；主要履行市政公共设施运行管理、城市公用事业行业管理、城市园林绿化行业管理、市容市貌管理、城市环境卫生监督管理、城市防涝等职能；承办区委、区政府和上级部门交办的其他工作。</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00" w:firstLineChars="200"/>
        <w:jc w:val="left"/>
        <w:rPr>
          <w:rFonts w:ascii="楷体" w:hAnsi="楷体" w:eastAsia="楷体" w:cs="楷体"/>
          <w:b/>
          <w:bCs/>
          <w:color w:val="000000"/>
          <w:kern w:val="0"/>
          <w:sz w:val="32"/>
          <w:szCs w:val="32"/>
        </w:rPr>
      </w:pPr>
      <w:r>
        <w:rPr>
          <w:rFonts w:hint="eastAsia" w:ascii="仿宋" w:hAnsi="仿宋" w:eastAsia="仿宋" w:cs="仿宋_GB2312"/>
          <w:bCs/>
          <w:kern w:val="16"/>
          <w:sz w:val="30"/>
          <w:szCs w:val="30"/>
        </w:rPr>
        <w:t>杨凌示范区城市管理执法局杨陵分局</w:t>
      </w:r>
      <w:r>
        <w:rPr>
          <w:rFonts w:hint="eastAsia" w:ascii="仿宋" w:hAnsi="仿宋" w:eastAsia="仿宋"/>
          <w:sz w:val="30"/>
          <w:szCs w:val="30"/>
        </w:rPr>
        <w:t>属政府行政部门，下设杨陵区市政管理站、杨陵区环境卫生服务队、杨陵区城市管理执法大队共三个事业机构。</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纳入2019年本部门决算编制范围的单位共4个，包括本级及所属</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10"/>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ind w:firstLine="260" w:firstLineChars="100"/>
              <w:rPr>
                <w:rFonts w:ascii="仿宋_GB2312" w:hAnsi="仿宋_GB2312" w:eastAsia="仿宋_GB2312" w:cs="仿宋_GB2312"/>
                <w:sz w:val="32"/>
                <w:szCs w:val="32"/>
              </w:rPr>
            </w:pPr>
            <w:r>
              <w:rPr>
                <w:rFonts w:hint="eastAsia" w:asciiTheme="minorEastAsia" w:hAnsiTheme="minorEastAsia" w:eastAsiaTheme="minorEastAsia"/>
                <w:sz w:val="26"/>
                <w:szCs w:val="26"/>
              </w:rPr>
              <w:t>杨凌示范区城管执法局杨陵分局本级</w:t>
            </w:r>
            <w:r>
              <w:rPr>
                <w:sz w:val="26"/>
                <w:szCs w:val="26"/>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ind w:firstLine="260" w:firstLineChars="100"/>
              <w:rPr>
                <w:rFonts w:ascii="仿宋_GB2312" w:hAnsi="仿宋_GB2312" w:eastAsia="仿宋_GB2312" w:cs="仿宋_GB2312"/>
                <w:sz w:val="32"/>
                <w:szCs w:val="32"/>
              </w:rPr>
            </w:pPr>
            <w:r>
              <w:rPr>
                <w:rFonts w:hint="eastAsia" w:asciiTheme="minorEastAsia" w:hAnsiTheme="minorEastAsia" w:eastAsiaTheme="minorEastAsia"/>
                <w:sz w:val="26"/>
                <w:szCs w:val="26"/>
              </w:rPr>
              <w:t>杨陵区市政管理站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ind w:firstLine="260" w:firstLineChars="100"/>
              <w:rPr>
                <w:rFonts w:ascii="仿宋_GB2312" w:hAnsi="仿宋_GB2312" w:eastAsia="仿宋_GB2312" w:cs="仿宋_GB2312"/>
                <w:sz w:val="32"/>
                <w:szCs w:val="32"/>
              </w:rPr>
            </w:pPr>
            <w:r>
              <w:rPr>
                <w:rFonts w:hint="eastAsia" w:asciiTheme="minorEastAsia" w:hAnsiTheme="minorEastAsia" w:eastAsiaTheme="minorEastAsia"/>
                <w:sz w:val="26"/>
                <w:szCs w:val="26"/>
              </w:rPr>
              <w:t>杨陵区环境卫生服务队</w:t>
            </w:r>
            <w:r>
              <w:rPr>
                <w:sz w:val="26"/>
                <w:szCs w:val="26"/>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7278" w:type="dxa"/>
            <w:vAlign w:val="center"/>
          </w:tcPr>
          <w:p>
            <w:pPr>
              <w:ind w:firstLine="260" w:firstLineChars="100"/>
              <w:rPr>
                <w:rFonts w:ascii="仿宋_GB2312" w:hAnsi="仿宋_GB2312" w:eastAsia="仿宋_GB2312" w:cs="仿宋_GB2312"/>
                <w:sz w:val="24"/>
              </w:rPr>
            </w:pPr>
            <w:r>
              <w:rPr>
                <w:rFonts w:hint="eastAsia" w:asciiTheme="minorEastAsia" w:hAnsiTheme="minorEastAsia" w:eastAsiaTheme="minorEastAsia"/>
                <w:sz w:val="26"/>
                <w:szCs w:val="26"/>
              </w:rPr>
              <w:t>杨陵区城市管理执法大队</w:t>
            </w:r>
            <w:r>
              <w:rPr>
                <w:sz w:val="26"/>
                <w:szCs w:val="26"/>
              </w:rPr>
              <w:tab/>
            </w:r>
          </w:p>
        </w:tc>
      </w:tr>
    </w:tbl>
    <w:p>
      <w:pPr>
        <w:jc w:val="center"/>
        <w:rPr>
          <w:rFonts w:ascii="黑体" w:hAnsi="宋体" w:eastAsia="黑体"/>
          <w:color w:val="000000"/>
          <w:kern w:val="0"/>
          <w:sz w:val="44"/>
          <w:szCs w:val="44"/>
          <w:lang w:bidi="ar"/>
        </w:rPr>
      </w:pPr>
    </w:p>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截止2019年底，本部门人员编制323人，其中行政编制5人、事业编制318人；实有人员323人，其中行政5人、事业318人。单位管理的离退休人员26人。</w:t>
      </w:r>
    </w:p>
    <w:p>
      <w:pPr>
        <w:widowControl/>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eastAsia="zh-CN"/>
        </w:rPr>
        <w:drawing>
          <wp:inline distT="0" distB="0" distL="114300" distR="114300">
            <wp:extent cx="4519930" cy="2818130"/>
            <wp:effectExtent l="4445" t="5080" r="9525"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黑体" w:hAnsi="宋体" w:eastAsia="黑体"/>
          <w:color w:val="000000"/>
          <w:kern w:val="0"/>
          <w:sz w:val="44"/>
          <w:szCs w:val="44"/>
          <w:lang w:eastAsia="zh-CN"/>
        </w:rPr>
        <w:drawing>
          <wp:inline distT="0" distB="0" distL="114300" distR="114300">
            <wp:extent cx="4538345" cy="2936875"/>
            <wp:effectExtent l="4445" t="4445" r="10160"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jc w:val="center"/>
        <w:rPr>
          <w:sz w:val="44"/>
          <w:szCs w:val="44"/>
        </w:rPr>
      </w:pPr>
      <w:r>
        <w:rPr>
          <w:rFonts w:ascii="黑体" w:hAnsi="宋体" w:eastAsia="黑体"/>
          <w:color w:val="000000"/>
          <w:kern w:val="0"/>
          <w:sz w:val="44"/>
          <w:szCs w:val="44"/>
          <w:lang w:bidi="ar"/>
        </w:rPr>
        <w:t>第二部分 2019年度部门决算表</w:t>
      </w:r>
    </w:p>
    <w:p>
      <w:pPr>
        <w:widowControl/>
        <w:rPr>
          <w:rFonts w:ascii="黑体" w:hAnsi="宋体" w:eastAsia="黑体"/>
          <w:color w:val="000000"/>
          <w:kern w:val="0"/>
          <w:sz w:val="44"/>
          <w:szCs w:val="44"/>
          <w:lang w:bidi="ar"/>
        </w:rPr>
      </w:pPr>
    </w:p>
    <w:tbl>
      <w:tblPr>
        <w:tblStyle w:val="9"/>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B05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无政府性基金</w:t>
            </w:r>
          </w:p>
        </w:tc>
      </w:tr>
    </w:tbl>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 xml:space="preserve">编制部门：   </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 xml:space="preserve">局          </w:t>
      </w:r>
      <w:r>
        <w:rPr>
          <w:rFonts w:hint="eastAsia" w:ascii="宋体" w:hAnsi="宋体" w:cs="宋体"/>
          <w:b/>
          <w:bCs/>
          <w:szCs w:val="21"/>
        </w:rPr>
        <w:t xml:space="preserve"> </w:t>
      </w:r>
      <w:r>
        <w:rPr>
          <w:rFonts w:hint="eastAsia" w:ascii="宋体" w:hAnsi="宋体" w:eastAsia="宋体" w:cs="宋体"/>
          <w:b/>
          <w:bCs/>
          <w:sz w:val="21"/>
          <w:szCs w:val="21"/>
        </w:rPr>
        <w:t>金额单位：万元</w:t>
      </w:r>
    </w:p>
    <w:tbl>
      <w:tblPr>
        <w:tblStyle w:val="9"/>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611"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5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626"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3,642.82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10.50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5,588.29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111.87</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7,916.36</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1,075.17</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9,231.11</w:t>
            </w:r>
          </w:p>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9,113.89</w:t>
            </w:r>
          </w:p>
          <w:p>
            <w:pPr>
              <w:rPr>
                <w:rFonts w:ascii="宋体" w:hAnsi="宋体" w:cs="宋体"/>
                <w:b/>
                <w:color w:val="000000"/>
                <w:szCs w:val="21"/>
              </w:rPr>
            </w:pP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Arial"/>
                <w:color w:val="000000"/>
                <w:sz w:val="22"/>
                <w:szCs w:val="22"/>
              </w:rPr>
            </w:pPr>
            <w:r>
              <w:rPr>
                <w:rFonts w:hint="eastAsia" w:cs="Arial"/>
                <w:color w:val="000000"/>
                <w:sz w:val="22"/>
                <w:szCs w:val="22"/>
              </w:rPr>
              <w:t>0.00</w:t>
            </w:r>
          </w:p>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162.05</w:t>
            </w:r>
          </w:p>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279.28</w:t>
            </w:r>
          </w:p>
          <w:p>
            <w:pP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9,393.16</w:t>
            </w:r>
          </w:p>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9,393.16</w:t>
            </w:r>
          </w:p>
          <w:p>
            <w:pPr>
              <w:rPr>
                <w:rFonts w:ascii="宋体" w:hAnsi="宋体" w:cs="宋体"/>
                <w:b/>
                <w:color w:val="000000"/>
                <w:szCs w:val="21"/>
              </w:rPr>
            </w:pP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keepNext w:val="0"/>
        <w:keepLines w:val="0"/>
        <w:widowControl/>
        <w:suppressLineNumbers w:val="0"/>
        <w:jc w:val="left"/>
        <w:rPr>
          <w:rFonts w:ascii="宋体" w:hAnsi="宋体" w:cs="宋体"/>
          <w:sz w:val="48"/>
          <w:szCs w:val="48"/>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 w:val="48"/>
          <w:szCs w:val="48"/>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公开02表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 xml:space="preserve">编制部门： </w:t>
      </w:r>
      <w:r>
        <w:rPr>
          <w:rFonts w:hint="eastAsia" w:ascii="宋体" w:hAnsi="宋体" w:cs="宋体"/>
          <w:b/>
          <w:bCs/>
          <w:szCs w:val="21"/>
        </w:rPr>
        <w:t xml:space="preserve"> </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局</w:t>
      </w:r>
      <w:r>
        <w:rPr>
          <w:rFonts w:hint="eastAsia" w:ascii="宋体" w:hAnsi="宋体" w:cs="宋体"/>
          <w:b/>
          <w:bCs/>
          <w:szCs w:val="21"/>
        </w:rPr>
        <w:t xml:space="preserve">  </w:t>
      </w:r>
      <w:r>
        <w:rPr>
          <w:rFonts w:hint="eastAsia" w:ascii="宋体" w:hAnsi="宋体" w:cs="宋体" w:eastAsiaTheme="minorEastAsia"/>
          <w:b/>
          <w:bCs/>
          <w:szCs w:val="21"/>
        </w:rPr>
        <w:t xml:space="preserve">      </w:t>
      </w:r>
      <w:r>
        <w:rPr>
          <w:rFonts w:hint="eastAsia" w:ascii="宋体" w:hAnsi="宋体" w:eastAsia="宋体" w:cs="宋体"/>
          <w:b/>
          <w:bCs/>
          <w:sz w:val="21"/>
          <w:szCs w:val="21"/>
        </w:rPr>
        <w:t>金额单位：万元</w:t>
      </w:r>
    </w:p>
    <w:tbl>
      <w:tblPr>
        <w:tblStyle w:val="9"/>
        <w:tblW w:w="9087" w:type="dxa"/>
        <w:tblInd w:w="0" w:type="dxa"/>
        <w:tblLayout w:type="fixed"/>
        <w:tblCellMar>
          <w:top w:w="15" w:type="dxa"/>
          <w:left w:w="15" w:type="dxa"/>
          <w:bottom w:w="15" w:type="dxa"/>
          <w:right w:w="15" w:type="dxa"/>
        </w:tblCellMar>
      </w:tblPr>
      <w:tblGrid>
        <w:gridCol w:w="927"/>
        <w:gridCol w:w="1498"/>
        <w:gridCol w:w="851"/>
        <w:gridCol w:w="992"/>
        <w:gridCol w:w="567"/>
        <w:gridCol w:w="709"/>
        <w:gridCol w:w="773"/>
        <w:gridCol w:w="750"/>
        <w:gridCol w:w="990"/>
        <w:gridCol w:w="1030"/>
      </w:tblGrid>
      <w:tr>
        <w:tblPrEx>
          <w:tblCellMar>
            <w:top w:w="15" w:type="dxa"/>
            <w:left w:w="15" w:type="dxa"/>
            <w:bottom w:w="15" w:type="dxa"/>
            <w:right w:w="15" w:type="dxa"/>
          </w:tblCellMar>
        </w:tblPrEx>
        <w:trPr>
          <w:trHeight w:val="43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4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9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9,231.11</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3,642.82</w:t>
            </w:r>
          </w:p>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5,588.29</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2080799</w:t>
            </w:r>
          </w:p>
        </w:tc>
        <w:tc>
          <w:tcPr>
            <w:tcW w:w="14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其他就业补助支出</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75.25</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75.25</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2120104</w:t>
            </w:r>
          </w:p>
        </w:tc>
        <w:tc>
          <w:tcPr>
            <w:tcW w:w="14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城管执法</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2,307.69</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2,147.77</w:t>
            </w:r>
          </w:p>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159.93</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2120199</w:t>
            </w:r>
          </w:p>
        </w:tc>
        <w:tc>
          <w:tcPr>
            <w:tcW w:w="14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其他城乡社区管理事务支出</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5,773.00</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1,495.06</w:t>
            </w:r>
          </w:p>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4,277.94</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2299901</w:t>
            </w:r>
          </w:p>
        </w:tc>
        <w:tc>
          <w:tcPr>
            <w:tcW w:w="14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其他支出</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1,075.17</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1,075.17</w:t>
            </w:r>
          </w:p>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keepNext w:val="0"/>
        <w:keepLines w:val="0"/>
        <w:widowControl/>
        <w:suppressLineNumbers w:val="0"/>
        <w:jc w:val="left"/>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公开03表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 xml:space="preserve">局              </w:t>
      </w:r>
      <w:r>
        <w:rPr>
          <w:rFonts w:hint="eastAsia" w:ascii="宋体" w:hAnsi="宋体" w:eastAsia="宋体" w:cs="宋体"/>
          <w:b/>
          <w:bCs/>
          <w:sz w:val="21"/>
          <w:szCs w:val="21"/>
        </w:rPr>
        <w:t>金额单位：万元</w:t>
      </w:r>
    </w:p>
    <w:tbl>
      <w:tblPr>
        <w:tblStyle w:val="9"/>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9,113.89</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2,151.48</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6,962.40</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2010499</w:t>
            </w:r>
          </w:p>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其他发展与改革事务支出</w:t>
            </w:r>
          </w:p>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10.50</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10.50</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2080799</w:t>
            </w:r>
          </w:p>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其他就业补助支出</w:t>
            </w:r>
          </w:p>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111.87</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111.87</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2120104</w:t>
            </w:r>
          </w:p>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城管执法</w:t>
            </w:r>
          </w:p>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2,307.76</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2,151.48</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156.27</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2120199</w:t>
            </w:r>
          </w:p>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其他城乡社区管理事务支出</w:t>
            </w:r>
          </w:p>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5,608.60</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5,608.60</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2299901</w:t>
            </w:r>
          </w:p>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其他支出</w:t>
            </w:r>
          </w:p>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1,075.17</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1,075.17</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bl>
    <w:p>
      <w:pPr>
        <w:jc w:val="center"/>
        <w:rPr>
          <w:rFonts w:ascii="宋体" w:hAnsi="宋体" w:cs="宋体"/>
          <w:b/>
          <w:bCs/>
          <w:sz w:val="32"/>
          <w:szCs w:val="32"/>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局</w:t>
      </w:r>
      <w:r>
        <w:rPr>
          <w:rFonts w:hint="eastAsia" w:ascii="宋体" w:hAnsi="宋体" w:cs="宋体"/>
          <w:b/>
          <w:bCs/>
          <w:szCs w:val="21"/>
        </w:rPr>
        <w:t xml:space="preserve">  </w:t>
      </w:r>
      <w:r>
        <w:rPr>
          <w:rFonts w:hint="eastAsia" w:ascii="宋体" w:hAnsi="宋体" w:cs="宋体" w:eastAsiaTheme="minorEastAsia"/>
          <w:b/>
          <w:bCs/>
          <w:szCs w:val="21"/>
        </w:rPr>
        <w:t xml:space="preserve">        </w:t>
      </w:r>
      <w:r>
        <w:rPr>
          <w:rFonts w:hint="eastAsia" w:ascii="宋体" w:hAnsi="宋体" w:eastAsia="宋体" w:cs="宋体"/>
          <w:b/>
          <w:bCs/>
          <w:sz w:val="21"/>
          <w:szCs w:val="21"/>
        </w:rPr>
        <w:t>金额单位：万元</w:t>
      </w:r>
    </w:p>
    <w:tbl>
      <w:tblPr>
        <w:tblStyle w:val="9"/>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471"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3,642.82</w:t>
            </w:r>
          </w:p>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524"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9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3,642.89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3,642.89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110"/>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局</w:t>
      </w:r>
      <w:r>
        <w:rPr>
          <w:rFonts w:hint="eastAsia" w:ascii="宋体" w:hAnsi="宋体" w:cs="宋体"/>
          <w:b/>
          <w:bCs/>
          <w:szCs w:val="21"/>
        </w:rPr>
        <w:t xml:space="preserve"> </w:t>
      </w:r>
      <w:r>
        <w:rPr>
          <w:rFonts w:hint="eastAsia" w:ascii="宋体" w:hAnsi="宋体" w:cs="宋体" w:eastAsiaTheme="minorEastAsia"/>
          <w:b/>
          <w:bCs/>
          <w:szCs w:val="21"/>
        </w:rPr>
        <w:t xml:space="preserve">       </w:t>
      </w:r>
      <w:r>
        <w:rPr>
          <w:rFonts w:hint="eastAsia" w:ascii="宋体" w:hAnsi="宋体" w:eastAsia="宋体" w:cs="宋体"/>
          <w:b/>
          <w:bCs/>
          <w:sz w:val="21"/>
          <w:szCs w:val="21"/>
        </w:rPr>
        <w:t>金额单位：万元</w:t>
      </w:r>
    </w:p>
    <w:tbl>
      <w:tblPr>
        <w:tblStyle w:val="9"/>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3,642.82</w:t>
            </w:r>
          </w:p>
          <w:p>
            <w:pPr>
              <w:widowControl/>
              <w:jc w:val="right"/>
              <w:textAlignment w:val="center"/>
              <w:rPr>
                <w:rFonts w:ascii="宋体" w:hAnsi="宋体" w:cs="宋体"/>
                <w:color w:val="00000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3,642.89</w:t>
            </w:r>
          </w:p>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3,642.89</w:t>
            </w:r>
          </w:p>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1.32</w:t>
            </w:r>
          </w:p>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1.26</w:t>
            </w:r>
          </w:p>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1.26</w:t>
            </w:r>
          </w:p>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一、一般公共预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3,642.82</w:t>
            </w:r>
          </w:p>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二、政府性基金预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3,644.14</w:t>
            </w:r>
          </w:p>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3,644.14</w:t>
            </w:r>
          </w:p>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3,644.14</w:t>
            </w:r>
          </w:p>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 w:val="32"/>
          <w:szCs w:val="32"/>
        </w:rPr>
      </w:pPr>
      <w:r>
        <w:rPr>
          <w:rFonts w:hint="eastAsia" w:ascii="宋体" w:hAnsi="宋体" w:cs="宋体"/>
          <w:b/>
          <w:bCs/>
          <w:szCs w:val="21"/>
        </w:rPr>
        <w:t xml:space="preserve"> 公开05表</w:t>
      </w:r>
    </w:p>
    <w:p>
      <w:pPr>
        <w:pStyle w:val="16"/>
        <w:spacing w:after="0"/>
        <w:ind w:firstLine="517" w:firstLineChars="245"/>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 xml:space="preserve">局                  </w:t>
      </w:r>
      <w:r>
        <w:rPr>
          <w:rFonts w:hint="eastAsia" w:ascii="宋体" w:hAnsi="宋体" w:eastAsia="宋体" w:cs="宋体"/>
          <w:b/>
          <w:bCs/>
          <w:sz w:val="21"/>
          <w:szCs w:val="21"/>
        </w:rPr>
        <w:t>金额单位：万元</w:t>
      </w:r>
    </w:p>
    <w:tbl>
      <w:tblPr>
        <w:tblStyle w:val="9"/>
        <w:tblW w:w="8777" w:type="dxa"/>
        <w:tblInd w:w="0" w:type="dxa"/>
        <w:tblLayout w:type="fixed"/>
        <w:tblCellMar>
          <w:top w:w="15" w:type="dxa"/>
          <w:left w:w="15" w:type="dxa"/>
          <w:bottom w:w="15" w:type="dxa"/>
          <w:right w:w="15" w:type="dxa"/>
        </w:tblCellMar>
      </w:tblPr>
      <w:tblGrid>
        <w:gridCol w:w="1170"/>
        <w:gridCol w:w="1537"/>
        <w:gridCol w:w="1136"/>
        <w:gridCol w:w="992"/>
        <w:gridCol w:w="1134"/>
        <w:gridCol w:w="850"/>
        <w:gridCol w:w="1134"/>
        <w:gridCol w:w="824"/>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1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76"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8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847"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3,642.89</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2,147.83</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2,129.38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18.45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1,495.06</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0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城乡社区支出</w:t>
            </w:r>
          </w:p>
          <w:p>
            <w:pPr>
              <w:widowControl/>
              <w:textAlignment w:val="center"/>
              <w:rPr>
                <w:rFonts w:ascii="宋体" w:hAnsi="宋体" w:cs="宋体"/>
                <w:color w:val="000000"/>
                <w:szCs w:val="21"/>
              </w:rPr>
            </w:pP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3,642.89</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2,147.83</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2,129.38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18.45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1,495.06</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1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w:t>
            </w:r>
          </w:p>
          <w:p>
            <w:pPr>
              <w:jc w:val="left"/>
              <w:rPr>
                <w:rFonts w:ascii="宋体" w:hAnsi="宋体" w:cs="Arial"/>
                <w:color w:val="000000"/>
                <w:sz w:val="22"/>
                <w:szCs w:val="22"/>
              </w:rPr>
            </w:pPr>
            <w:r>
              <w:rPr>
                <w:rFonts w:hint="eastAsia" w:cs="Arial"/>
                <w:color w:val="000000"/>
                <w:sz w:val="22"/>
                <w:szCs w:val="22"/>
              </w:rPr>
              <w:t>21201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城乡社区管理事务</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3,642.89</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2,147.83</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2,129.38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18.45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1,495.06</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w:t>
            </w:r>
          </w:p>
          <w:p>
            <w:pPr>
              <w:jc w:val="left"/>
              <w:rPr>
                <w:rFonts w:ascii="宋体" w:hAnsi="宋体" w:cs="Arial"/>
                <w:color w:val="000000"/>
                <w:sz w:val="22"/>
                <w:szCs w:val="22"/>
              </w:rPr>
            </w:pPr>
            <w:r>
              <w:rPr>
                <w:rFonts w:hint="eastAsia" w:cs="Arial"/>
                <w:color w:val="000000"/>
                <w:sz w:val="22"/>
                <w:szCs w:val="22"/>
              </w:rPr>
              <w:t>2120104</w:t>
            </w:r>
          </w:p>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 xml:space="preserve">  城管执法</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2,147.83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2,147.83</w:t>
            </w:r>
          </w:p>
        </w:tc>
        <w:tc>
          <w:tcPr>
            <w:tcW w:w="1134"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宋体" w:hAnsi="宋体" w:cs="宋体"/>
                <w:szCs w:val="21"/>
              </w:rPr>
            </w:pPr>
            <w:r>
              <w:rPr>
                <w:rFonts w:hint="eastAsia" w:cs="Arial"/>
                <w:color w:val="000000"/>
                <w:sz w:val="22"/>
                <w:szCs w:val="22"/>
              </w:rPr>
              <w:t>2,129.38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18.45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2120199</w:t>
            </w:r>
          </w:p>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其他城乡社区管理事务支出</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1,495.06</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1,495.06</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 xml:space="preserve">局                </w:t>
      </w:r>
      <w:r>
        <w:rPr>
          <w:rFonts w:hint="eastAsia" w:ascii="宋体" w:hAnsi="宋体" w:eastAsia="宋体" w:cs="宋体"/>
          <w:b/>
          <w:bCs/>
          <w:sz w:val="21"/>
          <w:szCs w:val="21"/>
        </w:rPr>
        <w:t>金额单位：万元</w:t>
      </w:r>
    </w:p>
    <w:tbl>
      <w:tblPr>
        <w:tblStyle w:val="9"/>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r>
              <w:rPr>
                <w:rFonts w:hint="eastAsia" w:cs="Arial"/>
                <w:color w:val="000000"/>
                <w:sz w:val="22"/>
                <w:szCs w:val="22"/>
              </w:rPr>
              <w:t>2,147.82</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r>
              <w:rPr>
                <w:rFonts w:hint="eastAsia" w:cs="Arial"/>
                <w:color w:val="000000"/>
                <w:sz w:val="22"/>
                <w:szCs w:val="22"/>
              </w:rPr>
              <w:t>2,129.38</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r>
              <w:rPr>
                <w:rFonts w:hint="eastAsia" w:cs="Arial"/>
                <w:color w:val="000000"/>
                <w:sz w:val="22"/>
                <w:szCs w:val="22"/>
              </w:rPr>
              <w:t>18.44</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55"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2,128.45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2,128.45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93"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662.94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662.94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104.90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104.90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394.74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394.74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2.39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2.39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540.20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540.20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198.67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198.67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224.61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224.61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17.01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17.01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1.08</w:t>
            </w:r>
          </w:p>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99"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538"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ascii="宋体" w:hAnsi="宋体" w:cs="宋体"/>
                <w:color w:val="000000"/>
                <w:sz w:val="18"/>
                <w:szCs w:val="18"/>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0.37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0.37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ascii="宋体" w:hAnsi="宋体" w:cs="宋体"/>
                <w:color w:val="000000"/>
                <w:sz w:val="18"/>
                <w:szCs w:val="18"/>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2.64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2.64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ascii="宋体" w:hAnsi="宋体" w:cs="宋体"/>
                <w:color w:val="000000"/>
                <w:sz w:val="18"/>
                <w:szCs w:val="18"/>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0.62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0.62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51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sz w:val="18"/>
                <w:szCs w:val="18"/>
              </w:rPr>
            </w:pPr>
            <w:r>
              <w:rPr>
                <w:rFonts w:hint="eastAsia" w:ascii="宋体" w:hAnsi="宋体" w:cs="宋体"/>
                <w:sz w:val="18"/>
                <w:szCs w:val="18"/>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sz w:val="18"/>
                <w:szCs w:val="18"/>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C55A11" w:themeColor="accent2" w:themeShade="BF"/>
                <w:sz w:val="22"/>
                <w:szCs w:val="22"/>
              </w:rPr>
            </w:pPr>
            <w:r>
              <w:rPr>
                <w:rFonts w:hint="eastAsia" w:cs="Arial"/>
                <w:color w:val="000000"/>
                <w:sz w:val="22"/>
                <w:szCs w:val="22"/>
              </w:rPr>
              <w:t>0.07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C55A11" w:themeColor="accent2" w:themeShade="BF"/>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0.07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sz w:val="18"/>
                <w:szCs w:val="18"/>
              </w:rPr>
            </w:pPr>
            <w:r>
              <w:rPr>
                <w:rFonts w:hint="eastAsia" w:ascii="宋体" w:hAnsi="宋体" w:cs="宋体"/>
                <w:sz w:val="18"/>
                <w:szCs w:val="18"/>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sz w:val="18"/>
                <w:szCs w:val="18"/>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2.90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2.90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sz w:val="18"/>
                <w:szCs w:val="18"/>
              </w:rPr>
            </w:pPr>
            <w:r>
              <w:rPr>
                <w:rFonts w:hint="eastAsia" w:ascii="宋体" w:hAnsi="宋体" w:cs="宋体"/>
                <w:sz w:val="18"/>
                <w:szCs w:val="18"/>
              </w:rPr>
              <w:t>30218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sz w:val="18"/>
                <w:szCs w:val="18"/>
              </w:rPr>
              <w:t>专用材料费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C55A11" w:themeColor="accent2" w:themeShade="BF"/>
                <w:sz w:val="22"/>
                <w:szCs w:val="22"/>
              </w:rPr>
            </w:pPr>
            <w:r>
              <w:rPr>
                <w:rFonts w:hint="eastAsia" w:cs="Arial"/>
                <w:color w:val="000000"/>
                <w:sz w:val="22"/>
                <w:szCs w:val="22"/>
              </w:rPr>
              <w:t>0.69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0.69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4.80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4.80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其他交通费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1.92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1.92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1.91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1.91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p>
            <w:pPr>
              <w:jc w:val="left"/>
              <w:rPr>
                <w:rFonts w:ascii="宋体" w:hAnsi="宋体" w:cs="宋体"/>
                <w:color w:val="000000"/>
                <w:sz w:val="18"/>
                <w:szCs w:val="18"/>
              </w:rPr>
            </w:pPr>
            <w:r>
              <w:rPr>
                <w:rFonts w:hint="eastAsia" w:ascii="宋体" w:hAnsi="宋体" w:cs="宋体"/>
                <w:color w:val="000000"/>
                <w:sz w:val="18"/>
                <w:szCs w:val="18"/>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0.93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0.93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0.72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0.72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0.21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1.43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1.43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31002</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1.43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1.43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公开07表</w:t>
      </w:r>
    </w:p>
    <w:p>
      <w:pPr>
        <w:ind w:firstLine="413" w:firstLineChars="196"/>
        <w:rPr>
          <w:rFonts w:ascii="宋体" w:hAnsi="宋体" w:cs="宋体"/>
          <w:b/>
          <w:bCs/>
          <w:szCs w:val="21"/>
        </w:rPr>
      </w:pPr>
      <w:r>
        <w:rPr>
          <w:rFonts w:hint="eastAsia" w:ascii="宋体" w:hAnsi="宋体" w:cs="宋体"/>
          <w:b/>
          <w:bCs/>
          <w:szCs w:val="21"/>
        </w:rPr>
        <w:t>编制部门：</w:t>
      </w:r>
      <w:r>
        <w:rPr>
          <w:rFonts w:hint="eastAsia" w:asciiTheme="minorEastAsia" w:hAnsiTheme="minorEastAsia" w:eastAsiaTheme="minorEastAsia"/>
          <w:szCs w:val="21"/>
        </w:rPr>
        <w:t>杨凌示范区城管执法局</w:t>
      </w:r>
      <w:r>
        <w:rPr>
          <w:rFonts w:hint="eastAsia" w:ascii="宋体" w:hAnsi="宋体" w:cs="宋体"/>
          <w:szCs w:val="21"/>
        </w:rPr>
        <w:t>杨陵</w:t>
      </w:r>
      <w:r>
        <w:rPr>
          <w:rFonts w:hint="eastAsia" w:asciiTheme="minorEastAsia" w:hAnsiTheme="minorEastAsia" w:eastAsiaTheme="minorEastAsia"/>
          <w:szCs w:val="21"/>
        </w:rPr>
        <w:t>分</w:t>
      </w:r>
      <w:r>
        <w:rPr>
          <w:rFonts w:hint="eastAsia" w:ascii="宋体" w:hAnsi="宋体" w:cs="宋体"/>
          <w:szCs w:val="21"/>
        </w:rPr>
        <w:t>局</w:t>
      </w:r>
      <w:r>
        <w:rPr>
          <w:rFonts w:hint="eastAsia" w:ascii="宋体" w:hAnsi="宋体" w:cs="宋体"/>
          <w:b/>
          <w:bCs/>
          <w:szCs w:val="21"/>
        </w:rPr>
        <w:t xml:space="preserve">                        金额单位：万元</w:t>
      </w:r>
    </w:p>
    <w:tbl>
      <w:tblPr>
        <w:tblStyle w:val="9"/>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4.04</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3.01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1.03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lang w:val="en-US" w:eastAsia="zh-CN"/>
              </w:rPr>
              <w:t>2.9</w:t>
            </w:r>
            <w:r>
              <w:rPr>
                <w:rFonts w:ascii="宋体" w:hAnsi="宋体" w:cs="宋体"/>
                <w:b/>
                <w:color w:val="000000"/>
                <w:szCs w:val="21"/>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C55A11" w:themeColor="accent2" w:themeShade="BF"/>
                <w:szCs w:val="21"/>
              </w:rPr>
            </w:pPr>
            <w:r>
              <w:rPr>
                <w:rFonts w:ascii="宋体" w:hAnsi="宋体" w:cs="宋体"/>
                <w:b/>
                <w:color w:val="000000" w:themeColor="text1"/>
                <w:szCs w:val="21"/>
                <w14:textFill>
                  <w14:solidFill>
                    <w14:schemeClr w14:val="tx1"/>
                  </w14:solidFill>
                </w14:textFill>
              </w:rPr>
              <w:t>2.90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局</w:t>
      </w:r>
      <w:r>
        <w:rPr>
          <w:rFonts w:hint="eastAsia" w:ascii="宋体" w:hAnsi="宋体" w:cs="宋体"/>
          <w:b/>
          <w:bCs/>
          <w:szCs w:val="21"/>
        </w:rPr>
        <w:t xml:space="preserve"> </w:t>
      </w:r>
      <w:r>
        <w:rPr>
          <w:rFonts w:hint="eastAsia" w:ascii="宋体" w:hAnsi="宋体" w:cs="宋体" w:eastAsiaTheme="minorEastAsia"/>
          <w:b/>
          <w:bCs/>
          <w:szCs w:val="21"/>
        </w:rPr>
        <w:t xml:space="preserve">         </w:t>
      </w:r>
      <w:r>
        <w:rPr>
          <w:rFonts w:hint="eastAsia" w:ascii="宋体" w:hAnsi="宋体" w:eastAsia="宋体" w:cs="宋体"/>
          <w:b/>
          <w:bCs/>
          <w:sz w:val="21"/>
          <w:szCs w:val="21"/>
        </w:rPr>
        <w:t>金额单位：万元</w:t>
      </w:r>
    </w:p>
    <w:tbl>
      <w:tblPr>
        <w:tblStyle w:val="9"/>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r>
        <w:rPr>
          <w:rFonts w:hint="eastAsia" w:ascii="宋体" w:hAnsi="宋体" w:cs="宋体"/>
          <w:b/>
          <w:bCs/>
          <w:sz w:val="32"/>
          <w:szCs w:val="32"/>
        </w:rPr>
        <w:br w:type="page"/>
      </w: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仿宋_GB2312" w:hAnsi="仿宋_GB2312" w:eastAsia="仿宋_GB2312" w:cs="仿宋_GB2312"/>
          <w:color w:val="C55A11" w:themeColor="accent2" w:themeShade="BF"/>
          <w:sz w:val="32"/>
          <w:szCs w:val="32"/>
        </w:rPr>
      </w:pPr>
      <w:r>
        <w:rPr>
          <w:rFonts w:hint="eastAsia" w:ascii="黑体" w:hAnsi="黑体" w:eastAsia="黑体"/>
          <w:color w:val="000000"/>
          <w:kern w:val="0"/>
          <w:sz w:val="32"/>
          <w:szCs w:val="32"/>
        </w:rPr>
        <w:t>一、收入支出决算总体情况说明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w:t>
      </w:r>
      <w:r>
        <w:rPr>
          <w:rFonts w:hint="eastAsia" w:cs="Arial"/>
          <w:color w:val="000000"/>
          <w:sz w:val="32"/>
          <w:szCs w:val="32"/>
        </w:rPr>
        <w:t>9,231.11</w:t>
      </w:r>
      <w:r>
        <w:rPr>
          <w:rFonts w:ascii="仿宋_GB2312" w:hAnsi="宋体" w:eastAsia="仿宋_GB2312" w:cs="仿宋_GB2312"/>
          <w:color w:val="000000"/>
          <w:kern w:val="0"/>
          <w:sz w:val="32"/>
          <w:szCs w:val="32"/>
        </w:rPr>
        <w:t>万元，</w:t>
      </w:r>
      <w:r>
        <w:rPr>
          <w:rFonts w:hint="eastAsia" w:ascii="仿宋_GB2312" w:hAnsi="仿宋" w:eastAsia="仿宋_GB2312"/>
          <w:sz w:val="32"/>
          <w:szCs w:val="32"/>
        </w:rPr>
        <w:t>比上年减少746.52万元，主要是项目拨款减少。</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2019年支出</w:t>
      </w:r>
      <w:r>
        <w:rPr>
          <w:rFonts w:hint="eastAsia" w:cs="Arial"/>
          <w:color w:val="000000"/>
          <w:sz w:val="32"/>
          <w:szCs w:val="32"/>
        </w:rPr>
        <w:t>9,113.89</w:t>
      </w:r>
      <w:r>
        <w:rPr>
          <w:rFonts w:ascii="仿宋_GB2312" w:hAnsi="宋体" w:eastAsia="仿宋_GB2312" w:cs="仿宋_GB2312"/>
          <w:color w:val="000000"/>
          <w:kern w:val="0"/>
          <w:sz w:val="32"/>
          <w:szCs w:val="32"/>
        </w:rPr>
        <w:t>万元，</w:t>
      </w:r>
      <w:r>
        <w:rPr>
          <w:rFonts w:hint="eastAsia" w:ascii="仿宋_GB2312" w:hAnsi="仿宋" w:eastAsia="仿宋_GB2312"/>
          <w:sz w:val="32"/>
          <w:szCs w:val="32"/>
        </w:rPr>
        <w:t>比上年减少712.58万元，主要是项目费用减少。</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hint="eastAsia" w:eastAsia="仿宋_GB2312"/>
          <w:lang w:eastAsia="zh-CN"/>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cs="Arial"/>
          <w:color w:val="000000"/>
          <w:sz w:val="32"/>
          <w:szCs w:val="32"/>
        </w:rPr>
        <w:t>9,231.11</w:t>
      </w:r>
      <w:r>
        <w:rPr>
          <w:rFonts w:ascii="仿宋_GB2312" w:hAnsi="宋体" w:eastAsia="仿宋_GB2312" w:cs="仿宋_GB2312"/>
          <w:color w:val="000000"/>
          <w:kern w:val="0"/>
          <w:sz w:val="32"/>
          <w:szCs w:val="32"/>
        </w:rPr>
        <w:t>万元，其中：财政拨款收入</w:t>
      </w:r>
      <w:r>
        <w:rPr>
          <w:rFonts w:hint="eastAsia" w:cs="Arial"/>
          <w:color w:val="000000"/>
          <w:sz w:val="32"/>
          <w:szCs w:val="32"/>
        </w:rPr>
        <w:t>3,642.82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39.46</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cs="Arial"/>
          <w:color w:val="000000"/>
          <w:sz w:val="32"/>
          <w:szCs w:val="32"/>
        </w:rPr>
        <w:t>5,588.29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60.54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eastAsia="仿宋_GB2312"/>
          <w:lang w:eastAsia="zh-CN"/>
        </w:rPr>
        <w:drawing>
          <wp:inline distT="0" distB="0" distL="114300" distR="114300">
            <wp:extent cx="5051425" cy="3590925"/>
            <wp:effectExtent l="4445" t="4445" r="1143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ind w:firstLine="640" w:firstLineChars="200"/>
        <w:jc w:val="left"/>
        <w:rPr>
          <w:rFonts w:ascii="宋体" w:hAnsi="宋体" w:cs="Arial"/>
          <w:color w:val="00000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cs="Arial"/>
          <w:color w:val="000000"/>
          <w:sz w:val="32"/>
          <w:szCs w:val="32"/>
        </w:rPr>
        <w:t>9,113.89</w:t>
      </w:r>
      <w:r>
        <w:rPr>
          <w:rFonts w:ascii="仿宋_GB2312" w:hAnsi="宋体" w:eastAsia="仿宋_GB2312" w:cs="仿宋_GB2312"/>
          <w:color w:val="000000"/>
          <w:kern w:val="0"/>
          <w:sz w:val="32"/>
          <w:szCs w:val="32"/>
        </w:rPr>
        <w:t>万元，其中：基本支出</w:t>
      </w:r>
      <w:r>
        <w:rPr>
          <w:rFonts w:hint="eastAsia" w:cs="Arial"/>
          <w:color w:val="000000"/>
          <w:sz w:val="32"/>
          <w:szCs w:val="32"/>
        </w:rPr>
        <w:t>2,151.48</w:t>
      </w:r>
    </w:p>
    <w:p>
      <w:pPr>
        <w:ind w:right="640"/>
        <w:jc w:val="left"/>
        <w:rPr>
          <w:rFonts w:hint="eastAsia" w:ascii="宋体" w:hAnsi="宋体" w:eastAsia="仿宋_GB2312" w:cs="Arial"/>
          <w:color w:val="000000"/>
          <w:sz w:val="22"/>
          <w:szCs w:val="22"/>
          <w:lang w:eastAsia="zh-CN"/>
        </w:rPr>
      </w:pP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23.6</w:t>
      </w:r>
      <w:r>
        <w:rPr>
          <w:rFonts w:ascii="仿宋_GB2312" w:hAnsi="宋体" w:eastAsia="仿宋_GB2312" w:cs="仿宋_GB2312"/>
          <w:color w:val="000000"/>
          <w:kern w:val="0"/>
          <w:sz w:val="32"/>
          <w:szCs w:val="32"/>
        </w:rPr>
        <w:t>%；项目支出</w:t>
      </w:r>
      <w:r>
        <w:rPr>
          <w:rFonts w:hint="eastAsia" w:cs="Arial"/>
          <w:color w:val="000000"/>
          <w:sz w:val="32"/>
          <w:szCs w:val="32"/>
        </w:rPr>
        <w:t>6,962.40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76.4</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宋体" w:hAnsi="宋体" w:eastAsia="仿宋_GB2312" w:cs="Arial"/>
          <w:color w:val="000000"/>
          <w:sz w:val="22"/>
          <w:szCs w:val="22"/>
          <w:lang w:eastAsia="zh-CN"/>
        </w:rPr>
        <w:drawing>
          <wp:inline distT="0" distB="0" distL="114300" distR="114300">
            <wp:extent cx="5137785" cy="4105275"/>
            <wp:effectExtent l="4445" t="4445" r="2032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right="640" w:firstLine="440" w:firstLineChars="200"/>
        <w:rPr>
          <w:rFonts w:ascii="宋体" w:hAnsi="宋体" w:cs="Arial"/>
          <w:color w:val="000000"/>
          <w:sz w:val="22"/>
          <w:szCs w:val="2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cs="Arial"/>
          <w:color w:val="000000"/>
          <w:sz w:val="32"/>
          <w:szCs w:val="32"/>
        </w:rPr>
        <w:t>3,642.82</w:t>
      </w:r>
      <w:r>
        <w:rPr>
          <w:rFonts w:ascii="仿宋_GB2312" w:hAnsi="宋体" w:eastAsia="仿宋_GB2312" w:cs="仿宋_GB2312"/>
          <w:color w:val="000000"/>
          <w:kern w:val="0"/>
          <w:sz w:val="32"/>
          <w:szCs w:val="32"/>
        </w:rPr>
        <w:t>万元，</w:t>
      </w:r>
      <w:r>
        <w:rPr>
          <w:rFonts w:hint="eastAsia" w:ascii="仿宋_GB2312" w:hAnsi="仿宋" w:eastAsia="仿宋_GB2312"/>
          <w:sz w:val="32"/>
          <w:szCs w:val="32"/>
        </w:rPr>
        <w:t>比上年减少2624.36万元，减少的主要原因项目拨款减少。</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w:t>
      </w:r>
      <w:r>
        <w:rPr>
          <w:rFonts w:hint="eastAsia" w:cs="Arial"/>
          <w:color w:val="000000"/>
          <w:sz w:val="32"/>
          <w:szCs w:val="32"/>
        </w:rPr>
        <w:t>3,642.89</w:t>
      </w:r>
      <w:r>
        <w:rPr>
          <w:rFonts w:ascii="仿宋_GB2312" w:hAnsi="宋体" w:eastAsia="仿宋_GB2312" w:cs="仿宋_GB2312"/>
          <w:color w:val="000000"/>
          <w:kern w:val="0"/>
          <w:sz w:val="32"/>
          <w:szCs w:val="32"/>
        </w:rPr>
        <w:t>万元，</w:t>
      </w:r>
      <w:r>
        <w:rPr>
          <w:rFonts w:hint="eastAsia" w:ascii="仿宋_GB2312" w:hAnsi="仿宋" w:eastAsia="仿宋_GB2312"/>
          <w:sz w:val="32"/>
          <w:szCs w:val="32"/>
        </w:rPr>
        <w:t>比上年减少2624.06万元，减少的主要原因项目</w:t>
      </w:r>
      <w:r>
        <w:rPr>
          <w:rFonts w:hint="eastAsia" w:ascii="仿宋_GB2312" w:hAnsi="仿宋" w:eastAsia="仿宋_GB2312"/>
          <w:color w:val="auto"/>
          <w:sz w:val="32"/>
          <w:szCs w:val="32"/>
          <w:highlight w:val="none"/>
        </w:rPr>
        <w:t>费用减少</w:t>
      </w:r>
      <w:r>
        <w:rPr>
          <w:rFonts w:hint="eastAsia" w:ascii="仿宋_GB2312" w:hAnsi="仿宋" w:eastAsia="仿宋_GB2312"/>
          <w:sz w:val="32"/>
          <w:szCs w:val="32"/>
        </w:rPr>
        <w:t>。</w:t>
      </w:r>
      <w:r>
        <w:rPr>
          <w:rFonts w:hint="eastAsia" w:ascii="仿宋_GB2312" w:hAnsi="仿宋" w:eastAsia="仿宋_GB2312"/>
          <w:sz w:val="32"/>
          <w:szCs w:val="3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w:t>
      </w:r>
      <w:r>
        <w:rPr>
          <w:rFonts w:hint="eastAsia" w:cs="Arial"/>
          <w:color w:val="000000"/>
          <w:sz w:val="32"/>
          <w:szCs w:val="32"/>
        </w:rPr>
        <w:t>3,642.89</w:t>
      </w:r>
      <w:r>
        <w:rPr>
          <w:rFonts w:ascii="仿宋_GB2312" w:hAnsi="宋体" w:eastAsia="仿宋_GB2312" w:cs="仿宋_GB2312"/>
          <w:color w:val="000000"/>
          <w:kern w:val="0"/>
          <w:sz w:val="32"/>
          <w:szCs w:val="32"/>
        </w:rPr>
        <w:t xml:space="preserve"> 万元，占本年支出合 </w:t>
      </w:r>
    </w:p>
    <w:p>
      <w:pPr>
        <w:widowControl/>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计的</w:t>
      </w:r>
      <w:r>
        <w:rPr>
          <w:rFonts w:hint="eastAsia" w:ascii="仿宋_GB2312" w:hAnsi="宋体" w:eastAsia="仿宋_GB2312" w:cs="仿宋_GB2312"/>
          <w:color w:val="000000"/>
          <w:kern w:val="0"/>
          <w:sz w:val="32"/>
          <w:szCs w:val="32"/>
        </w:rPr>
        <w:t>39.</w:t>
      </w:r>
      <w:r>
        <w:rPr>
          <w:rFonts w:hint="eastAsia" w:ascii="仿宋_GB2312" w:hAnsi="宋体" w:eastAsia="仿宋_GB2312" w:cs="仿宋_GB2312"/>
          <w:color w:val="000000"/>
          <w:kern w:val="0"/>
          <w:sz w:val="32"/>
          <w:szCs w:val="32"/>
          <w:lang w:val="en-US" w:eastAsia="zh-CN"/>
        </w:rPr>
        <w:t>97</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cs="Arial"/>
          <w:color w:val="000000"/>
          <w:sz w:val="32"/>
          <w:szCs w:val="32"/>
        </w:rPr>
        <w:t>2,624.06</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72</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原因是项目</w:t>
      </w:r>
      <w:r>
        <w:rPr>
          <w:rFonts w:hint="eastAsia" w:ascii="仿宋_GB2312" w:hAnsi="宋体" w:eastAsia="仿宋_GB2312" w:cs="仿宋_GB2312"/>
          <w:color w:val="000000"/>
          <w:kern w:val="0"/>
          <w:sz w:val="32"/>
          <w:szCs w:val="32"/>
          <w:highlight w:val="none"/>
        </w:rPr>
        <w:t>费用</w:t>
      </w:r>
      <w:r>
        <w:rPr>
          <w:rFonts w:hint="eastAsia" w:ascii="仿宋_GB2312" w:hAnsi="宋体" w:eastAsia="仿宋_GB2312" w:cs="仿宋_GB2312"/>
          <w:color w:val="000000" w:themeColor="text1"/>
          <w:kern w:val="0"/>
          <w:sz w:val="32"/>
          <w:szCs w:val="32"/>
          <w:highlight w:val="none"/>
          <w14:textFill>
            <w14:solidFill>
              <w14:schemeClr w14:val="tx1"/>
            </w14:solidFill>
          </w14:textFill>
        </w:rPr>
        <w:t>减少</w:t>
      </w:r>
      <w:r>
        <w:rPr>
          <w:rFonts w:hint="eastAsia" w:ascii="仿宋_GB2312" w:hAnsi="宋体" w:eastAsia="仿宋_GB2312" w:cs="仿宋_GB2312"/>
          <w:color w:val="000000"/>
          <w:kern w:val="0"/>
          <w:sz w:val="32"/>
          <w:szCs w:val="32"/>
        </w:rPr>
        <w:t>。</w:t>
      </w:r>
    </w:p>
    <w:p>
      <w:pPr>
        <w:pStyle w:val="2"/>
        <w:jc w:val="center"/>
        <w:rPr>
          <w:rFonts w:hint="eastAsia" w:eastAsia="仿宋_GB2312"/>
          <w:lang w:eastAsia="zh-CN"/>
        </w:rPr>
      </w:pPr>
      <w:r>
        <w:rPr>
          <w:rFonts w:hint="eastAsia" w:eastAsia="仿宋_GB2312"/>
          <w:lang w:eastAsia="zh-CN"/>
        </w:rPr>
        <w:drawing>
          <wp:inline distT="0" distB="0" distL="114300" distR="114300">
            <wp:extent cx="3956685" cy="3846830"/>
            <wp:effectExtent l="4445" t="4445" r="20320" b="158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年财政拨款支出决算为</w:t>
      </w:r>
      <w:r>
        <w:rPr>
          <w:rFonts w:hint="eastAsia" w:cs="Arial"/>
          <w:color w:val="000000"/>
          <w:sz w:val="32"/>
          <w:szCs w:val="32"/>
        </w:rPr>
        <w:t>3,642.89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r>
        <w:t xml:space="preserve"> </w:t>
      </w:r>
    </w:p>
    <w:p>
      <w:pPr>
        <w:widowControl/>
        <w:ind w:firstLine="440" w:firstLineChars="200"/>
        <w:jc w:val="left"/>
      </w:pPr>
      <w:r>
        <w:rPr>
          <w:rFonts w:hint="eastAsia" w:cs="Arial"/>
          <w:color w:val="000000"/>
          <w:sz w:val="22"/>
          <w:szCs w:val="22"/>
        </w:rPr>
        <w:t xml:space="preserve"> </w:t>
      </w:r>
      <w:r>
        <w:rPr>
          <w:rFonts w:hint="eastAsia" w:cs="Arial"/>
          <w:color w:val="000000"/>
          <w:sz w:val="22"/>
          <w:szCs w:val="22"/>
          <w:lang w:val="en-US" w:eastAsia="zh-CN"/>
        </w:rPr>
        <w:t xml:space="preserve">  </w:t>
      </w:r>
      <w:r>
        <w:rPr>
          <w:rFonts w:hint="eastAsia" w:cs="Arial"/>
          <w:color w:val="000000"/>
          <w:sz w:val="32"/>
          <w:szCs w:val="32"/>
        </w:rPr>
        <w:t>城乡社区支出，</w:t>
      </w:r>
      <w:r>
        <w:rPr>
          <w:rFonts w:ascii="仿宋_GB2312" w:hAnsi="宋体" w:eastAsia="仿宋_GB2312" w:cs="仿宋_GB2312"/>
          <w:color w:val="000000"/>
          <w:kern w:val="0"/>
          <w:sz w:val="32"/>
          <w:szCs w:val="32"/>
        </w:rPr>
        <w:t>年初预算为</w:t>
      </w:r>
      <w:r>
        <w:rPr>
          <w:rFonts w:hint="eastAsia" w:cs="Arial"/>
          <w:color w:val="000000"/>
          <w:sz w:val="32"/>
          <w:szCs w:val="32"/>
        </w:rPr>
        <w:t>2,</w:t>
      </w:r>
      <w:r>
        <w:rPr>
          <w:rFonts w:hint="eastAsia" w:cs="Arial"/>
          <w:color w:val="000000"/>
          <w:sz w:val="32"/>
          <w:szCs w:val="32"/>
          <w:lang w:val="en-US" w:eastAsia="zh-CN"/>
        </w:rPr>
        <w:t>916.89</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3</w:t>
      </w:r>
      <w:r>
        <w:rPr>
          <w:rFonts w:hint="eastAsia" w:cs="Arial"/>
          <w:color w:val="000000"/>
          <w:sz w:val="32"/>
          <w:szCs w:val="32"/>
        </w:rPr>
        <w:t>,</w:t>
      </w:r>
      <w:r>
        <w:rPr>
          <w:rFonts w:hint="eastAsia" w:cs="Arial"/>
          <w:color w:val="000000"/>
          <w:sz w:val="32"/>
          <w:szCs w:val="32"/>
          <w:lang w:val="en-US" w:eastAsia="zh-CN"/>
        </w:rPr>
        <w:t>6</w:t>
      </w:r>
      <w:r>
        <w:rPr>
          <w:rFonts w:hint="eastAsia" w:cs="Arial"/>
          <w:color w:val="000000"/>
          <w:sz w:val="32"/>
          <w:szCs w:val="32"/>
        </w:rPr>
        <w:t>4</w:t>
      </w:r>
      <w:r>
        <w:rPr>
          <w:rFonts w:hint="eastAsia" w:cs="Arial"/>
          <w:color w:val="000000"/>
          <w:sz w:val="32"/>
          <w:szCs w:val="32"/>
          <w:lang w:val="en-US" w:eastAsia="zh-CN"/>
        </w:rPr>
        <w:t>2</w:t>
      </w:r>
      <w:r>
        <w:rPr>
          <w:rFonts w:hint="eastAsia" w:cs="Arial"/>
          <w:color w:val="000000"/>
          <w:sz w:val="32"/>
          <w:szCs w:val="32"/>
        </w:rPr>
        <w:t>.</w:t>
      </w:r>
      <w:r>
        <w:rPr>
          <w:rFonts w:hint="eastAsia" w:cs="Arial"/>
          <w:color w:val="000000"/>
          <w:sz w:val="32"/>
          <w:szCs w:val="32"/>
          <w:lang w:val="en-US" w:eastAsia="zh-CN"/>
        </w:rPr>
        <w:t>89</w:t>
      </w:r>
      <w:r>
        <w:rPr>
          <w:rFonts w:ascii="仿宋_GB2312" w:hAnsi="宋体" w:eastAsia="仿宋_GB2312" w:cs="仿宋_GB2312"/>
          <w:color w:val="000000"/>
          <w:kern w:val="0"/>
          <w:sz w:val="32"/>
          <w:szCs w:val="32"/>
        </w:rPr>
        <w:t>万元，完成年初预算的</w:t>
      </w:r>
      <w:r>
        <w:rPr>
          <w:rFonts w:hint="eastAsia" w:eastAsia="仿宋_GB2312" w:asciiTheme="minorHAnsi" w:hAnsiTheme="minorHAnsi" w:cstheme="minorHAnsi"/>
          <w:color w:val="000000"/>
          <w:kern w:val="0"/>
          <w:sz w:val="32"/>
          <w:szCs w:val="32"/>
          <w:lang w:val="en-US" w:eastAsia="zh-CN"/>
        </w:rPr>
        <w:t>124.88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w:t>
      </w:r>
      <w:r>
        <w:rPr>
          <w:rFonts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其他收入</w:t>
      </w:r>
      <w:r>
        <w:rPr>
          <w:rFonts w:hint="eastAsia" w:ascii="仿宋_GB2312" w:hAnsi="宋体" w:eastAsia="仿宋_GB2312" w:cs="仿宋_GB2312"/>
          <w:color w:val="000000"/>
          <w:kern w:val="0"/>
          <w:sz w:val="32"/>
          <w:szCs w:val="32"/>
        </w:rPr>
        <w:t>项目拨款</w:t>
      </w:r>
      <w:r>
        <w:rPr>
          <w:rFonts w:hint="eastAsia" w:ascii="仿宋_GB2312" w:hAnsi="宋体" w:eastAsia="仿宋_GB2312" w:cs="仿宋_GB2312"/>
          <w:color w:val="000000"/>
          <w:kern w:val="0"/>
          <w:sz w:val="32"/>
          <w:szCs w:val="32"/>
          <w:lang w:val="en-US" w:eastAsia="zh-CN"/>
        </w:rPr>
        <w:t>增加</w:t>
      </w:r>
      <w:r>
        <w:rPr>
          <w:rFonts w:hint="eastAsia" w:ascii="仿宋_GB2312" w:hAnsi="宋体" w:eastAsia="仿宋_GB2312" w:cs="仿宋_GB2312"/>
          <w:color w:val="000000"/>
          <w:kern w:val="0"/>
          <w:sz w:val="32"/>
          <w:szCs w:val="32"/>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spacing w:line="360" w:lineRule="auto"/>
        <w:ind w:firstLine="620" w:firstLineChars="200"/>
        <w:rPr>
          <w:rFonts w:ascii="仿宋_GB2312" w:hAnsi="仿宋" w:eastAsia="仿宋_GB2312"/>
          <w:sz w:val="32"/>
          <w:szCs w:val="32"/>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eastAsia="仿宋_GB2312" w:cs="Arial"/>
          <w:color w:val="000000"/>
          <w:sz w:val="32"/>
          <w:szCs w:val="32"/>
          <w:lang w:val="en-US" w:eastAsia="zh-CN"/>
        </w:rPr>
        <w:t>2</w:t>
      </w:r>
      <w:r>
        <w:rPr>
          <w:rFonts w:hint="eastAsia" w:cs="Arial"/>
          <w:color w:val="000000"/>
          <w:sz w:val="32"/>
          <w:szCs w:val="32"/>
        </w:rPr>
        <w:t>,</w:t>
      </w:r>
      <w:r>
        <w:rPr>
          <w:rFonts w:hint="eastAsia" w:cs="Arial"/>
          <w:color w:val="000000"/>
          <w:sz w:val="32"/>
          <w:szCs w:val="32"/>
          <w:lang w:val="en-US" w:eastAsia="zh-CN"/>
        </w:rPr>
        <w:t>1</w:t>
      </w:r>
      <w:r>
        <w:rPr>
          <w:rFonts w:hint="eastAsia" w:cs="Arial"/>
          <w:color w:val="000000"/>
          <w:sz w:val="32"/>
          <w:szCs w:val="32"/>
        </w:rPr>
        <w:t>4</w:t>
      </w:r>
      <w:r>
        <w:rPr>
          <w:rFonts w:hint="eastAsia" w:cs="Arial"/>
          <w:color w:val="000000"/>
          <w:sz w:val="32"/>
          <w:szCs w:val="32"/>
          <w:lang w:val="en-US" w:eastAsia="zh-CN"/>
        </w:rPr>
        <w:t>7</w:t>
      </w:r>
      <w:r>
        <w:rPr>
          <w:rFonts w:hint="eastAsia" w:cs="Arial"/>
          <w:color w:val="000000"/>
          <w:sz w:val="32"/>
          <w:szCs w:val="32"/>
        </w:rPr>
        <w:t>.8</w:t>
      </w:r>
      <w:r>
        <w:rPr>
          <w:rFonts w:hint="eastAsia" w:cs="Arial"/>
          <w:color w:val="000000"/>
          <w:sz w:val="32"/>
          <w:szCs w:val="32"/>
          <w:lang w:val="en-US" w:eastAsia="zh-CN"/>
        </w:rPr>
        <w:t>2</w:t>
      </w:r>
      <w:r>
        <w:rPr>
          <w:rFonts w:ascii="仿宋_GB2312" w:hAnsi="仿宋_GB2312" w:eastAsia="仿宋_GB2312" w:cs="仿宋_GB2312"/>
          <w:color w:val="000000"/>
          <w:kern w:val="0"/>
          <w:sz w:val="31"/>
          <w:szCs w:val="31"/>
        </w:rPr>
        <w:t>万元，包括：人员经费支出</w:t>
      </w:r>
      <w:r>
        <w:rPr>
          <w:rFonts w:hint="eastAsia" w:cs="Arial"/>
          <w:color w:val="000000"/>
          <w:sz w:val="32"/>
          <w:szCs w:val="32"/>
        </w:rPr>
        <w:t>2,129.38</w:t>
      </w:r>
      <w:r>
        <w:rPr>
          <w:rFonts w:ascii="仿宋_GB2312" w:hAnsi="仿宋_GB2312" w:eastAsia="仿宋_GB2312" w:cs="仿宋_GB2312"/>
          <w:color w:val="000000"/>
          <w:kern w:val="0"/>
          <w:sz w:val="31"/>
          <w:szCs w:val="31"/>
        </w:rPr>
        <w:t>万元和公用经费支出</w:t>
      </w:r>
      <w:r>
        <w:rPr>
          <w:rFonts w:hint="eastAsia" w:cs="Arial"/>
          <w:color w:val="000000"/>
          <w:sz w:val="32"/>
          <w:szCs w:val="32"/>
        </w:rPr>
        <w:t>18.45</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cs="Arial"/>
          <w:color w:val="000000"/>
          <w:sz w:val="32"/>
          <w:szCs w:val="32"/>
        </w:rPr>
        <w:t>2,129.38</w:t>
      </w:r>
      <w:r>
        <w:rPr>
          <w:rFonts w:ascii="仿宋_GB2312" w:hAnsi="宋体" w:eastAsia="仿宋_GB2312" w:cs="仿宋_GB2312"/>
          <w:color w:val="000000"/>
          <w:kern w:val="0"/>
          <w:sz w:val="32"/>
          <w:szCs w:val="32"/>
        </w:rPr>
        <w:t>万元，</w:t>
      </w:r>
      <w:r>
        <w:rPr>
          <w:rFonts w:hint="eastAsia" w:ascii="仿宋" w:hAnsi="仿宋" w:eastAsia="仿宋" w:cs="宋体"/>
          <w:color w:val="000000"/>
          <w:kern w:val="0"/>
          <w:sz w:val="32"/>
          <w:szCs w:val="32"/>
        </w:rPr>
        <w:t>基本工资662.94万元，津贴补贴104.9万元，</w:t>
      </w:r>
      <w:r>
        <w:rPr>
          <w:rFonts w:hint="eastAsia" w:ascii="仿宋" w:hAnsi="仿宋" w:eastAsia="仿宋" w:cs="宋体"/>
          <w:color w:val="000000"/>
          <w:sz w:val="32"/>
          <w:szCs w:val="32"/>
        </w:rPr>
        <w:t>奖金394.74万元，伙食补助费2.39万元，绩效工资540.2万元，机关事业单位基本养老保险缴费198.67万元，住房公积金224.61万元，生活补助0.72万元，奖励金0.21万元</w:t>
      </w:r>
      <w:r>
        <w:rPr>
          <w:rFonts w:ascii="仿宋" w:hAnsi="仿宋" w:eastAsia="仿宋" w:cs="仿宋_GB2312"/>
          <w:color w:val="000000"/>
          <w:kern w:val="0"/>
          <w:sz w:val="32"/>
          <w:szCs w:val="32"/>
        </w:rPr>
        <w:t>；</w:t>
      </w:r>
      <w:r>
        <w:rPr>
          <w:rFonts w:ascii="仿宋_GB2312" w:hAnsi="宋体" w:eastAsia="仿宋_GB2312" w:cs="仿宋_GB2312"/>
          <w:color w:val="000000"/>
          <w:kern w:val="0"/>
          <w:sz w:val="32"/>
          <w:szCs w:val="32"/>
        </w:rPr>
        <w:t xml:space="preserve"> </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cs="Arial"/>
          <w:color w:val="000000"/>
          <w:sz w:val="32"/>
          <w:szCs w:val="32"/>
        </w:rPr>
        <w:t>18.4</w:t>
      </w:r>
      <w:r>
        <w:rPr>
          <w:rFonts w:hint="eastAsia" w:cs="Arial"/>
          <w:color w:val="000000"/>
          <w:sz w:val="32"/>
          <w:szCs w:val="32"/>
          <w:lang w:val="en-US" w:eastAsia="zh-CN"/>
        </w:rPr>
        <w:t>5</w:t>
      </w:r>
      <w:r>
        <w:rPr>
          <w:rFonts w:ascii="仿宋_GB2312" w:hAnsi="宋体" w:eastAsia="仿宋_GB2312" w:cs="仿宋_GB2312"/>
          <w:color w:val="000000"/>
          <w:kern w:val="0"/>
          <w:sz w:val="32"/>
          <w:szCs w:val="32"/>
        </w:rPr>
        <w:t>万元，</w:t>
      </w:r>
      <w:r>
        <w:rPr>
          <w:rFonts w:hint="eastAsia" w:ascii="仿宋" w:hAnsi="仿宋" w:eastAsia="仿宋"/>
          <w:color w:val="222222"/>
          <w:sz w:val="32"/>
          <w:szCs w:val="32"/>
          <w:shd w:val="clear" w:color="auto" w:fill="FFFFFF"/>
        </w:rPr>
        <w:t>主要包括办公费1.08万元，手续费0.01万元、水费0.37万元，邮电费2.64万元、差旅费0.62万元、维修（护）费0.07万元、公务接待费2.9万元、</w:t>
      </w:r>
      <w:r>
        <w:rPr>
          <w:rFonts w:hint="eastAsia" w:ascii="宋体" w:hAnsi="宋体" w:cs="宋体"/>
          <w:color w:val="000000"/>
          <w:sz w:val="18"/>
          <w:szCs w:val="18"/>
        </w:rPr>
        <w:t>，</w:t>
      </w:r>
      <w:r>
        <w:rPr>
          <w:rFonts w:hint="eastAsia" w:ascii="仿宋" w:hAnsi="仿宋" w:eastAsia="仿宋"/>
          <w:color w:val="222222"/>
          <w:sz w:val="32"/>
          <w:szCs w:val="32"/>
          <w:shd w:val="clear" w:color="auto" w:fill="FFFFFF"/>
        </w:rPr>
        <w:t>专用材料费0.69万元、工会经费4.8万元、</w:t>
      </w:r>
      <w:r>
        <w:rPr>
          <w:rFonts w:hint="eastAsia" w:ascii="仿宋" w:hAnsi="仿宋" w:eastAsia="仿宋" w:cs="宋体"/>
          <w:color w:val="000000"/>
          <w:sz w:val="32"/>
          <w:szCs w:val="32"/>
        </w:rPr>
        <w:t>其他交通费1.92</w:t>
      </w:r>
      <w:r>
        <w:rPr>
          <w:rFonts w:hint="eastAsia" w:ascii="仿宋" w:hAnsi="仿宋" w:eastAsia="仿宋"/>
          <w:color w:val="222222"/>
          <w:sz w:val="32"/>
          <w:szCs w:val="32"/>
          <w:shd w:val="clear" w:color="auto" w:fill="FFFFFF"/>
        </w:rPr>
        <w:t>万元、</w:t>
      </w:r>
      <w:r>
        <w:rPr>
          <w:rFonts w:hint="eastAsia" w:ascii="仿宋" w:hAnsi="仿宋" w:eastAsia="仿宋" w:cs="宋体"/>
          <w:color w:val="000000"/>
          <w:sz w:val="32"/>
          <w:szCs w:val="32"/>
        </w:rPr>
        <w:t>其他商品和服务支出</w:t>
      </w:r>
      <w:r>
        <w:rPr>
          <w:rFonts w:hint="eastAsia" w:ascii="仿宋" w:hAnsi="仿宋" w:eastAsia="仿宋"/>
          <w:color w:val="222222"/>
          <w:sz w:val="32"/>
          <w:szCs w:val="32"/>
          <w:shd w:val="clear" w:color="auto" w:fill="FFFFFF"/>
        </w:rPr>
        <w:t>1.91万元，</w:t>
      </w:r>
      <w:r>
        <w:rPr>
          <w:rFonts w:hint="eastAsia" w:ascii="仿宋" w:hAnsi="仿宋" w:eastAsia="仿宋" w:cs="宋体"/>
          <w:color w:val="000000"/>
          <w:sz w:val="32"/>
          <w:szCs w:val="32"/>
        </w:rPr>
        <w:t>办公设备购置1.43万元</w:t>
      </w:r>
      <w:r>
        <w:rPr>
          <w:rFonts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4.04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71.78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减少1.14万元，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控制费用支出。</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2.9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没有变化，</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单位无</w:t>
      </w:r>
      <w:r>
        <w:rPr>
          <w:rFonts w:hint="eastAsia" w:ascii="仿宋_GB2312" w:hAnsi="宋体" w:eastAsia="仿宋_GB2312" w:cs="仿宋_GB2312"/>
          <w:color w:val="000000"/>
          <w:kern w:val="0"/>
          <w:sz w:val="32"/>
          <w:szCs w:val="32"/>
        </w:rPr>
        <w:t>此计划。</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支出决算</w:t>
      </w:r>
      <w:r>
        <w:rPr>
          <w:rFonts w:ascii="仿宋_GB2312" w:hAnsi="宋体" w:eastAsia="仿宋_GB2312" w:cs="仿宋_GB2312"/>
          <w:color w:val="000000"/>
          <w:kern w:val="0"/>
          <w:sz w:val="32"/>
          <w:szCs w:val="32"/>
        </w:rPr>
        <w:t>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没有变化，</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本部门没有购置公务车辆。</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1.03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没有变化，</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无公务车辆。</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 w:eastAsia="仿宋_GB2312"/>
          <w:sz w:val="32"/>
          <w:szCs w:val="32"/>
          <w:lang w:val="en-US" w:eastAsia="zh-CN"/>
        </w:rPr>
        <w:t>4</w:t>
      </w:r>
      <w:r>
        <w:rPr>
          <w:rFonts w:hint="eastAsia" w:ascii="仿宋_GB2312" w:hAnsi="仿宋_GB2312" w:eastAsia="仿宋_GB2312" w:cs="仿宋_GB2312"/>
          <w:sz w:val="32"/>
          <w:szCs w:val="32"/>
        </w:rPr>
        <w:t>1批次，3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3.01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96.35%，决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减少0.11万元，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控制招待费用支出。</w:t>
      </w:r>
    </w:p>
    <w:p>
      <w:pPr>
        <w:ind w:firstLine="643" w:firstLineChars="200"/>
        <w:rPr>
          <w:rFonts w:hint="eastAsia"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ind w:firstLine="640" w:firstLineChars="200"/>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没有变化，</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单位无此计划。</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没有变化，</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单位无此计划。</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296.60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19.84</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rPr>
        <w:t>组织对 2019年</w:t>
      </w:r>
      <w:r>
        <w:rPr>
          <w:rFonts w:hint="eastAsia" w:ascii="仿宋_GB2312" w:hAnsi="仿宋_GB2312" w:eastAsia="仿宋_GB2312" w:cs="仿宋_GB2312"/>
          <w:color w:val="000000"/>
          <w:kern w:val="0"/>
          <w:sz w:val="31"/>
          <w:szCs w:val="31"/>
          <w:lang w:val="en-US" w:eastAsia="zh-CN"/>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lang w:val="en-US" w:eastAsia="zh-CN"/>
        </w:rPr>
        <w:t>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lang w:val="en-US" w:eastAsia="zh-CN"/>
        </w:rPr>
        <w:t>0</w:t>
      </w:r>
      <w:r>
        <w:rPr>
          <w:rFonts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1"/>
          <w:szCs w:val="31"/>
          <w:lang w:val="en-US" w:eastAsia="zh-CN" w:bidi="ar"/>
        </w:rPr>
        <w:t>城市维护费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85</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1709.67</w:t>
      </w:r>
      <w:r>
        <w:rPr>
          <w:rFonts w:ascii="仿宋_GB2312" w:hAnsi="仿宋_GB2312" w:eastAsia="仿宋_GB2312" w:cs="仿宋_GB2312"/>
          <w:color w:val="000000"/>
          <w:kern w:val="0"/>
          <w:sz w:val="31"/>
          <w:szCs w:val="31"/>
          <w:lang w:bidi="ar"/>
        </w:rPr>
        <w:t xml:space="preserve">万元，执行数 </w:t>
      </w:r>
      <w:r>
        <w:rPr>
          <w:rFonts w:hint="eastAsia" w:ascii="仿宋_GB2312" w:hAnsi="仿宋_GB2312" w:eastAsia="仿宋_GB2312" w:cs="仿宋_GB2312"/>
          <w:color w:val="000000"/>
          <w:kern w:val="0"/>
          <w:sz w:val="31"/>
          <w:szCs w:val="31"/>
          <w:lang w:val="en-US" w:eastAsia="zh-CN" w:bidi="ar"/>
        </w:rPr>
        <w:t>1495.06</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87.45</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i w:val="0"/>
          <w:caps w:val="0"/>
          <w:color w:val="000000"/>
          <w:spacing w:val="0"/>
          <w:sz w:val="32"/>
          <w:szCs w:val="32"/>
          <w:shd w:val="clear" w:color="auto" w:fill="FFFFFF"/>
        </w:rPr>
        <w:t>主要产出和效果：通过项目实施，确保了城区环境卫生干净整洁，城市维护各项工作正常运行。对</w:t>
      </w:r>
      <w:r>
        <w:rPr>
          <w:rFonts w:hint="eastAsia" w:ascii="仿宋_GB2312" w:hAnsi="仿宋_GB2312" w:eastAsia="仿宋_GB2312" w:cs="仿宋_GB2312"/>
          <w:i w:val="0"/>
          <w:caps w:val="0"/>
          <w:color w:val="000000"/>
          <w:spacing w:val="0"/>
          <w:sz w:val="32"/>
          <w:szCs w:val="32"/>
          <w:shd w:val="clear" w:color="auto" w:fill="FFFFFF"/>
          <w:lang w:val="en-US" w:eastAsia="zh-CN"/>
        </w:rPr>
        <w:t>城区</w:t>
      </w:r>
      <w:r>
        <w:rPr>
          <w:rFonts w:hint="eastAsia" w:ascii="仿宋_GB2312" w:hAnsi="仿宋_GB2312" w:eastAsia="仿宋_GB2312" w:cs="仿宋_GB2312"/>
          <w:i w:val="0"/>
          <w:caps w:val="0"/>
          <w:color w:val="000000"/>
          <w:spacing w:val="0"/>
          <w:sz w:val="32"/>
          <w:szCs w:val="32"/>
          <w:shd w:val="clear" w:color="auto" w:fill="FFFFFF"/>
        </w:rPr>
        <w:t>主次干道及环卫公用设施进行日常维护，确保辖区内道路清扫保洁到位；确保公厕、果皮箱、垃圾桶等环卫设施设备的维护维修到位；确保城区生活垃圾日产日清。及对城区范围内市政道路（含车行道和人行道）及市政配套设施的维修维护，确保市政公用设施完好无损，发现问题，及时维修；防汛期前开展市政设施排查，及时对道路雨污水管网进行疏通，提升防汛排涝能力，全力做好防汛等市政维护工作，使市政日常维护常态化，精细化，确保了道路平整及市政设施完好运行；路灯及夜景亮化亮灯率达98%；对区域内主次干道、广场、斜坡等公共绿地进行日常维护，确保对缺株的行道树、灌木、草坪等进行及时的补栽补种，及时做好抗旱、防寒、修剪抹枝、病虫害防治等工作，确保园林设施的完好，绿化、绿篱整齐完整，保障了城市服务功能及基本设施的正常运行。发现的问题及原因：</w:t>
      </w:r>
      <w:r>
        <w:rPr>
          <w:rFonts w:hint="eastAsia" w:ascii="仿宋_GB2312" w:hAnsi="仿宋_GB2312" w:eastAsia="仿宋_GB2312" w:cs="仿宋_GB2312"/>
          <w:b/>
          <w:color w:val="000000"/>
          <w:sz w:val="32"/>
          <w:szCs w:val="32"/>
        </w:rPr>
        <w:t>一</w:t>
      </w:r>
      <w:r>
        <w:rPr>
          <w:rFonts w:hint="eastAsia" w:ascii="仿宋_GB2312" w:hAnsi="仿宋_GB2312" w:eastAsia="仿宋_GB2312" w:cs="仿宋_GB2312"/>
          <w:i w:val="0"/>
          <w:caps w:val="0"/>
          <w:color w:val="000000"/>
          <w:spacing w:val="0"/>
          <w:sz w:val="32"/>
          <w:szCs w:val="32"/>
          <w:shd w:val="clear" w:color="auto" w:fill="FFFFFF"/>
        </w:rPr>
        <w:t>是城区环境卫生一体化仍然不足，部分区域还存在市容环境卫生“脏乱差”现象，市民满意度不够高。二是城市基础设施建设仍然滞后。垃圾处理设施、集贸市场、停车场等公共服务设施建设相对滞后，造成建筑垃圾随意倾倒，车辆乱停乱放，流动经营、占道经营等问题依然较为突出。三是城区绿化与国家园林城市标准要求还有差距，绿化色彩不够丰富，文化内涵不足，工作标准偏低，大尺度、大色块的城市绿化景观有待进一步完善。四是热点难点整治效果不佳，出店经营、噪音扰民、游街摊贩、停车管理等城市管理热点难点问题仍屡禁不止，个别问题整治—回潮—再整治的怪圈依旧没有打破；五是城市管理公众参与度还处于较低层次，城管工作宣传方法单一，形式呆板，与公众的互动性不强，效果不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rPr>
        <w:t>下一步改进措施：</w:t>
      </w:r>
      <w:r>
        <w:rPr>
          <w:rFonts w:hint="eastAsia" w:ascii="仿宋_GB2312" w:hAnsi="仿宋_GB2312" w:eastAsia="仿宋_GB2312" w:cs="仿宋_GB2312"/>
          <w:i w:val="0"/>
          <w:caps w:val="0"/>
          <w:color w:val="000000"/>
          <w:spacing w:val="0"/>
          <w:sz w:val="32"/>
          <w:szCs w:val="32"/>
          <w:shd w:val="clear" w:color="auto" w:fill="FFFFFF"/>
          <w:lang w:val="en-US" w:eastAsia="zh-CN"/>
        </w:rPr>
        <w:t>一是投入城市管理经费不足。随着我区社会经济的不断发展，构建新型城市管理模式，已成为各地区间竞争的重要一环。但目前我区城市管理经费整体投入不足，这不仅增加了城管系统在老城区改造、基础设施维护、日常管理以及专项治理工作上的难度，一定程度上也制约了我区城市管理向精细化发展转变。</w:t>
      </w:r>
      <w:r>
        <w:rPr>
          <w:rFonts w:hint="eastAsia" w:ascii="仿宋_GB2312" w:hAnsi="仿宋_GB2312" w:eastAsia="仿宋_GB2312" w:cs="仿宋_GB2312"/>
          <w:i w:val="0"/>
          <w:caps w:val="0"/>
          <w:color w:val="000000"/>
          <w:spacing w:val="0"/>
          <w:sz w:val="32"/>
          <w:szCs w:val="32"/>
          <w:shd w:val="clear" w:color="auto" w:fill="FFFFFF"/>
        </w:rPr>
        <w:t>2.建议各建设部门加强联动研讨机制，充分发挥城市市政配套功能；3.建议实施城区部分年份较长且人流量和车流量较大的道路提质改造，进一步提升城市品位</w:t>
      </w:r>
      <w:r>
        <w:rPr>
          <w:rFonts w:hint="eastAsia" w:ascii="仿宋_GB2312" w:hAnsi="仿宋_GB2312" w:eastAsia="仿宋_GB2312" w:cs="仿宋_GB2312"/>
          <w:i w:val="0"/>
          <w:caps w:val="0"/>
          <w:color w:val="000000"/>
          <w:spacing w:val="0"/>
          <w:sz w:val="32"/>
          <w:szCs w:val="32"/>
          <w:shd w:val="clear" w:color="auto" w:fill="FFFFFF"/>
          <w:lang w:eastAsia="zh-CN"/>
        </w:rPr>
        <w:t>。</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宋体" w:hAnsi="宋体" w:cs="宋体"/>
          <w:szCs w:val="21"/>
        </w:rPr>
      </w:pPr>
    </w:p>
    <w:p>
      <w:pPr>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597.55pt;width:462.95pt;" o:ole="t" filled="f" o:preferrelative="t" stroked="f" coordsize="21600,21600">
            <v:path/>
            <v:fill on="f" focussize="0,0"/>
            <v:stroke on="f"/>
            <v:imagedata r:id="rId13" o:title=""/>
            <o:lock v:ext="edit" aspectratio="t"/>
            <w10:wrap type="none"/>
            <w10:anchorlock/>
          </v:shape>
          <o:OLEObject Type="Embed" ProgID="Excel.Sheet.8" ShapeID="_x0000_i1025" DrawAspect="Content" ObjectID="_1468075725" r:id="rId12">
            <o:LockedField>false</o:LockedField>
          </o:OLEObject>
        </w:objec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object>
          <v:shape id="_x0000_i1026" o:spt="75" type="#_x0000_t75" style="height:597.65pt;width:462.95pt;" o:ole="t" filled="f" o:preferrelative="t" stroked="f" coordsize="21600,21600">
            <v:path/>
            <v:fill on="f" focussize="0,0"/>
            <v:stroke on="f"/>
            <v:imagedata r:id="rId15" o:title=""/>
            <o:lock v:ext="edit" aspectratio="t"/>
            <w10:wrap type="none"/>
            <w10:anchorlock/>
          </v:shape>
          <o:OLEObject Type="Embed" ProgID="Excel.Sheet.8" ShapeID="_x0000_i1026" DrawAspect="Content" ObjectID="_1468075726" r:id="rId14">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7" o:spt="75" type="#_x0000_t75" style="height:1335.9pt;width:631.5pt;" o:ole="t" filled="f" o:preferrelative="t" stroked="f" coordsize="21600,21600">
            <v:path/>
            <v:fill on="f" focussize="0,0"/>
            <v:stroke on="f"/>
            <v:imagedata r:id="rId17" o:title=""/>
            <o:lock v:ext="edit" aspectratio="t"/>
            <w10:wrap type="none"/>
            <w10:anchorlock/>
          </v:shape>
          <o:OLEObject Type="Embed" ProgID="Excel.Sheet.8" ShapeID="_x0000_i1027" DrawAspect="Content" ObjectID="_1468075727" r:id="rId16">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8" o:spt="75" type="#_x0000_t75" style="height:387.1pt;width:647.4pt;" o:ole="t" filled="f" o:preferrelative="t" stroked="f" coordsize="21600,21600">
            <v:path/>
            <v:fill on="f" focussize="0,0"/>
            <v:stroke on="f"/>
            <v:imagedata r:id="rId19" o:title=""/>
            <o:lock v:ext="edit" aspectratio="t"/>
            <w10:wrap type="none"/>
            <w10:anchorlock/>
          </v:shape>
          <o:OLEObject Type="Embed" ProgID="Excel.Sheet.8" ShapeID="_x0000_i1028" DrawAspect="Content" ObjectID="_1468075728" r:id="rId18">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9" o:spt="75" type="#_x0000_t75" style="height:339pt;width:645pt;" o:ole="t" filled="f" o:preferrelative="t" stroked="f" coordsize="21600,21600">
            <v:path/>
            <v:fill on="f" focussize="0,0"/>
            <v:stroke on="f"/>
            <v:imagedata r:id="rId21" o:title=""/>
            <o:lock v:ext="edit" aspectratio="t"/>
            <w10:wrap type="none"/>
            <w10:anchorlock/>
          </v:shape>
          <o:OLEObject Type="Embed" ProgID="Excel.Sheet.8" ShapeID="_x0000_i1029" DrawAspect="Content" ObjectID="_1468075729" r:id="rId20">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17.6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18.45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104.83</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增加0.85万元，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餐补未预算。</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864.5</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259</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602.5</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截至2019年末，本部门机关及所属单位共有巡查、执法车辆11辆；单价50万元以上的通用设备0台（套）；单价100万元以上的专用设备0台（套）。201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rFonts w:hint="eastAsia"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13B79AC"/>
    <w:rsid w:val="016E09DB"/>
    <w:rsid w:val="02943940"/>
    <w:rsid w:val="05C52382"/>
    <w:rsid w:val="066F59E3"/>
    <w:rsid w:val="075C1901"/>
    <w:rsid w:val="0A022B0D"/>
    <w:rsid w:val="0AC51BF4"/>
    <w:rsid w:val="0C7F2DCA"/>
    <w:rsid w:val="125E2600"/>
    <w:rsid w:val="132E46A0"/>
    <w:rsid w:val="13C2053C"/>
    <w:rsid w:val="14411117"/>
    <w:rsid w:val="1586116E"/>
    <w:rsid w:val="15E76A41"/>
    <w:rsid w:val="16E74D37"/>
    <w:rsid w:val="177C7CD4"/>
    <w:rsid w:val="17F0122B"/>
    <w:rsid w:val="18BB4AD7"/>
    <w:rsid w:val="1B3A453F"/>
    <w:rsid w:val="1B4A3FDA"/>
    <w:rsid w:val="1B524C98"/>
    <w:rsid w:val="1C5E2F73"/>
    <w:rsid w:val="1D6E0C0D"/>
    <w:rsid w:val="1DF00D2C"/>
    <w:rsid w:val="21EB7552"/>
    <w:rsid w:val="221C15BB"/>
    <w:rsid w:val="22DA6F71"/>
    <w:rsid w:val="24217BC5"/>
    <w:rsid w:val="24DE3E33"/>
    <w:rsid w:val="250655AA"/>
    <w:rsid w:val="256420CB"/>
    <w:rsid w:val="2577619B"/>
    <w:rsid w:val="29785A6B"/>
    <w:rsid w:val="29E108D6"/>
    <w:rsid w:val="2C5452F0"/>
    <w:rsid w:val="2D1F3974"/>
    <w:rsid w:val="2DB52EF2"/>
    <w:rsid w:val="2DDE082F"/>
    <w:rsid w:val="2F1F656C"/>
    <w:rsid w:val="31AA6038"/>
    <w:rsid w:val="324A12C3"/>
    <w:rsid w:val="333F1998"/>
    <w:rsid w:val="334B7CDF"/>
    <w:rsid w:val="33887EE3"/>
    <w:rsid w:val="34357288"/>
    <w:rsid w:val="34677C61"/>
    <w:rsid w:val="35FB35D2"/>
    <w:rsid w:val="380838C8"/>
    <w:rsid w:val="38D72D6E"/>
    <w:rsid w:val="3B121AD1"/>
    <w:rsid w:val="3B387D2C"/>
    <w:rsid w:val="3CFD0D2E"/>
    <w:rsid w:val="3DA761AA"/>
    <w:rsid w:val="3E7A578D"/>
    <w:rsid w:val="3E7E22E4"/>
    <w:rsid w:val="3EFB0DD5"/>
    <w:rsid w:val="3FEC35AB"/>
    <w:rsid w:val="410B2EC4"/>
    <w:rsid w:val="41603979"/>
    <w:rsid w:val="41AC382B"/>
    <w:rsid w:val="41CF436B"/>
    <w:rsid w:val="44747F70"/>
    <w:rsid w:val="4602337E"/>
    <w:rsid w:val="4619368A"/>
    <w:rsid w:val="46541178"/>
    <w:rsid w:val="471F2499"/>
    <w:rsid w:val="4BCE706C"/>
    <w:rsid w:val="4C3D1DD8"/>
    <w:rsid w:val="4C456AFA"/>
    <w:rsid w:val="4CCA58B4"/>
    <w:rsid w:val="4D6E0FDF"/>
    <w:rsid w:val="4EE4307A"/>
    <w:rsid w:val="506B116E"/>
    <w:rsid w:val="51470F92"/>
    <w:rsid w:val="5153143F"/>
    <w:rsid w:val="525D1767"/>
    <w:rsid w:val="54F12DEE"/>
    <w:rsid w:val="5843521C"/>
    <w:rsid w:val="5AEE1C62"/>
    <w:rsid w:val="5B8D564A"/>
    <w:rsid w:val="5C502A39"/>
    <w:rsid w:val="5C686AAE"/>
    <w:rsid w:val="5C8352EC"/>
    <w:rsid w:val="5C947C37"/>
    <w:rsid w:val="5CDF56CB"/>
    <w:rsid w:val="616421FD"/>
    <w:rsid w:val="620A2B46"/>
    <w:rsid w:val="65074FBA"/>
    <w:rsid w:val="651D13A2"/>
    <w:rsid w:val="6731347C"/>
    <w:rsid w:val="67D96FA2"/>
    <w:rsid w:val="6823671B"/>
    <w:rsid w:val="69512523"/>
    <w:rsid w:val="69976DB2"/>
    <w:rsid w:val="6B0B1CE4"/>
    <w:rsid w:val="6D5908E4"/>
    <w:rsid w:val="70084693"/>
    <w:rsid w:val="71086DB5"/>
    <w:rsid w:val="71933077"/>
    <w:rsid w:val="75C31473"/>
    <w:rsid w:val="76F34013"/>
    <w:rsid w:val="7AC627D7"/>
    <w:rsid w:val="7B012F35"/>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Autospacing="1" w:afterAutospacing="1"/>
      <w:jc w:val="left"/>
    </w:pPr>
    <w:rPr>
      <w:rFonts w:hint="eastAsia" w:ascii="宋体" w:hAnsi="宋体"/>
      <w:sz w:val="24"/>
    </w:r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4"/>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批注文字 字符"/>
    <w:basedOn w:val="11"/>
    <w:link w:val="3"/>
    <w:qFormat/>
    <w:uiPriority w:val="0"/>
    <w:rPr>
      <w:rFonts w:ascii="Calibri" w:hAnsi="Calibri" w:cs="黑体"/>
      <w:kern w:val="2"/>
      <w:sz w:val="21"/>
      <w:szCs w:val="24"/>
    </w:rPr>
  </w:style>
  <w:style w:type="character" w:customStyle="1" w:styleId="14">
    <w:name w:val="批注主题 字符"/>
    <w:basedOn w:val="13"/>
    <w:link w:val="8"/>
    <w:qFormat/>
    <w:uiPriority w:val="0"/>
    <w:rPr>
      <w:rFonts w:ascii="Calibri" w:hAnsi="Calibri" w:cs="黑体"/>
      <w:b/>
      <w:bCs/>
      <w:kern w:val="2"/>
      <w:sz w:val="21"/>
      <w:szCs w:val="24"/>
    </w:rPr>
  </w:style>
  <w:style w:type="character" w:customStyle="1" w:styleId="15">
    <w:name w:val="批注框文本 字符"/>
    <w:basedOn w:val="11"/>
    <w:link w:val="4"/>
    <w:qFormat/>
    <w:uiPriority w:val="0"/>
    <w:rPr>
      <w:rFonts w:ascii="Calibri" w:hAnsi="Calibri" w:cs="黑体"/>
      <w:kern w:val="2"/>
      <w:sz w:val="18"/>
      <w:szCs w:val="18"/>
    </w:rPr>
  </w:style>
  <w:style w:type="paragraph" w:customStyle="1" w:styleId="16">
    <w:name w:val="Heading #1|1"/>
    <w:basedOn w:val="1"/>
    <w:qFormat/>
    <w:uiPriority w:val="0"/>
    <w:pPr>
      <w:spacing w:after="780"/>
      <w:jc w:val="center"/>
      <w:outlineLvl w:val="0"/>
    </w:pPr>
    <w:rPr>
      <w:rFonts w:ascii="宋体" w:hAnsi="宋体" w:eastAsia="宋体" w:cs="宋体"/>
      <w:kern w:val="0"/>
      <w:sz w:val="40"/>
      <w:szCs w:val="40"/>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人员编制</c:v>
                </c:pt>
              </c:strCache>
            </c:strRef>
          </c:tx>
          <c:spPr/>
          <c:explosion val="0"/>
          <c:dPt>
            <c:idx val="0"/>
            <c:bubble3D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Lbl>
              <c:idx val="0"/>
              <c:layout>
                <c:manualLayout>
                  <c:x val="0.175264770802923"/>
                  <c:y val="0.073709805269632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行政编制5人</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2869614193185"/>
                      <c:h val="0.121283538796229"/>
                    </c:manualLayout>
                  </c15:layout>
                </c:ext>
              </c:extLst>
            </c:dLbl>
            <c:dLbl>
              <c:idx val="1"/>
              <c:layout>
                <c:manualLayout>
                  <c:x val="-0.0342403793359502"/>
                  <c:y val="-0.27765080638014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事业编制318人</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32920304139679"/>
                      <c:h val="0.11493836113125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行政编制</c:v>
                </c:pt>
                <c:pt idx="1">
                  <c:v>事业编制</c:v>
                </c:pt>
              </c:strCache>
            </c:strRef>
          </c:cat>
          <c:val>
            <c:numRef>
              <c:f>Sheet1!$B$2:$B$3</c:f>
              <c:numCache>
                <c:formatCode>General</c:formatCode>
                <c:ptCount val="2"/>
                <c:pt idx="0">
                  <c:v>5</c:v>
                </c:pt>
                <c:pt idx="1">
                  <c:v>318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实有人数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80021178609492"/>
                  <c:y val="0.095104517393014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行政人数 </a:t>
                    </a:r>
                    <a:r>
                      <a:rPr lang="en-US" altLang="zh-CN"/>
                      <a:t>5</a:t>
                    </a:r>
                    <a:r>
                      <a:rPr altLang="en-US"/>
                      <a:t>人</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30404365468029"/>
                      <c:h val="0.108972972972973"/>
                    </c:manualLayout>
                  </c15:layout>
                </c:ext>
              </c:extLst>
            </c:dLbl>
            <c:dLbl>
              <c:idx val="1"/>
              <c:layout>
                <c:manualLayout>
                  <c:x val="0.00249819603870295"/>
                  <c:y val="-0.2010892219614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事业人数318人</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35301525115433"/>
                      <c:h val="0.1429189189189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行政人数</c:v>
                </c:pt>
                <c:pt idx="1">
                  <c:v>事业人数</c:v>
                </c:pt>
              </c:strCache>
            </c:strRef>
          </c:cat>
          <c:val>
            <c:numRef>
              <c:f>Sheet1!$B$2:$B$3</c:f>
              <c:numCache>
                <c:formatCode>General</c:formatCode>
                <c:ptCount val="2"/>
                <c:pt idx="0">
                  <c:v>5</c:v>
                </c:pt>
                <c:pt idx="1">
                  <c:v>318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收入支出对比图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9977.63</c:v>
                </c:pt>
                <c:pt idx="1">
                  <c:v>9826.47</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9231.11</c:v>
                </c:pt>
                <c:pt idx="1">
                  <c:v>9113.89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0650079"/>
        <c:axId val="976448053"/>
      </c:barChart>
      <c:catAx>
        <c:axId val="7306500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6448053"/>
        <c:crosses val="autoZero"/>
        <c:auto val="1"/>
        <c:lblAlgn val="ctr"/>
        <c:lblOffset val="100"/>
        <c:noMultiLvlLbl val="0"/>
      </c:catAx>
      <c:valAx>
        <c:axId val="9764480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650079"/>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财政拨款收入39.46%</a:t>
                    </a:r>
                  </a:p>
                </c:rich>
              </c:tx>
              <c:dLblPos val="inEnd"/>
              <c:showLegendKey val="0"/>
              <c:showVal val="0"/>
              <c:showCatName val="0"/>
              <c:showSerName val="0"/>
              <c:showPercent val="1"/>
              <c:showBubbleSize val="0"/>
              <c:extLst>
                <c:ext xmlns:c15="http://schemas.microsoft.com/office/drawing/2012/chart" uri="{CE6537A1-D6FC-4f65-9D91-7224C49458BB}">
                  <c15:layout>
                    <c:manualLayout>
                      <c:w val="0.169125"/>
                      <c:h val="0.0888333333333333"/>
                    </c:manualLayout>
                  </c15:layout>
                </c:ext>
              </c:extLst>
            </c:dLbl>
            <c:dLbl>
              <c:idx val="1"/>
              <c:layout>
                <c:manualLayout>
                  <c:x val="0.186957576775421"/>
                  <c:y val="-0.02870661909760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其他收入60.54%</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30125"/>
                      <c:h val="0.089666666666666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0.00%</c:formatCode>
                <c:ptCount val="2"/>
                <c:pt idx="0">
                  <c:v>0.3946</c:v>
                </c:pt>
                <c:pt idx="1">
                  <c:v>0.6054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46988170492362"/>
                  <c:y val="0.14885343568152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基本支出24%</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34841181559758"/>
                      <c:h val="0.184686774941995"/>
                    </c:manualLayout>
                  </c15:layout>
                </c:ext>
              </c:extLst>
            </c:dLbl>
            <c:dLbl>
              <c:idx val="1"/>
              <c:layout>
                <c:manualLayout>
                  <c:x val="0.173842403281037"/>
                  <c:y val="-0.19257561828422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项目支出76%</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13582993449512"/>
                      <c:h val="0.12590873936581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0.236</c:v>
                </c:pt>
                <c:pt idx="1">
                  <c:v>0.764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收入支出对比图</a:t>
            </a:r>
          </a:p>
        </c:rich>
      </c:tx>
      <c:layout/>
      <c:overlay val="0"/>
      <c:spPr>
        <a:noFill/>
        <a:ln>
          <a:noFill/>
        </a:ln>
        <a:effectLst/>
      </c:spPr>
    </c:title>
    <c:autoTitleDeleted val="0"/>
    <c:plotArea>
      <c:layout>
        <c:manualLayout>
          <c:layoutTarget val="inner"/>
          <c:xMode val="edge"/>
          <c:yMode val="edge"/>
          <c:x val="0.0787"/>
          <c:y val="0.092"/>
          <c:w val="0.8938"/>
          <c:h val="0.7169"/>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6267.18</c:v>
                </c:pt>
                <c:pt idx="1">
                  <c:v>6266.95</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3642.82</c:v>
                </c:pt>
                <c:pt idx="1">
                  <c:v>3642.89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71244752"/>
        <c:axId val="807879022"/>
      </c:barChart>
      <c:catAx>
        <c:axId val="1712447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879022"/>
        <c:crosses val="autoZero"/>
        <c:auto val="1"/>
        <c:lblAlgn val="ctr"/>
        <c:lblOffset val="100"/>
        <c:noMultiLvlLbl val="0"/>
      </c:catAx>
      <c:valAx>
        <c:axId val="8078790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1244752"/>
        <c:crosses val="autoZero"/>
        <c:crossBetween val="between"/>
      </c:valAx>
      <c:spPr>
        <a:noFill/>
        <a:ln>
          <a:noFill/>
        </a:ln>
        <a:effectLst/>
      </c:spPr>
    </c:plotArea>
    <c:legend>
      <c:legendPos val="b"/>
      <c:legendEntry>
        <c:idx val="2"/>
        <c:delete val="1"/>
      </c:legendEntry>
      <c:layout>
        <c:manualLayout>
          <c:xMode val="edge"/>
          <c:yMode val="edge"/>
          <c:x val="0.399"/>
          <c:y val="0.924166666666667"/>
          <c:w val="0.20787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支出情况对比图</a:t>
            </a:r>
          </a:p>
        </c:rich>
      </c:tx>
      <c:layout/>
      <c:overlay val="0"/>
      <c:spPr>
        <a:noFill/>
        <a:ln>
          <a:noFill/>
        </a:ln>
        <a:effectLst/>
      </c:spPr>
    </c:title>
    <c:autoTitleDeleted val="0"/>
    <c:plotArea>
      <c:layout/>
      <c:barChart>
        <c:barDir val="col"/>
        <c:grouping val="clustered"/>
        <c:varyColors val="0"/>
        <c:ser>
          <c:idx val="0"/>
          <c:order val="0"/>
          <c:tx>
            <c:strRef>
              <c:f>Sheet1!$A$1</c:f>
              <c:strCache>
                <c:ptCount val="1"/>
                <c:pt idx="0">
                  <c:v>2019年总支出</c:v>
                </c:pt>
              </c:strCache>
            </c:strRef>
          </c:tx>
          <c:spPr>
            <a:solidFill>
              <a:schemeClr val="accent1"/>
            </a:solidFill>
            <a:ln>
              <a:noFill/>
            </a:ln>
            <a:effectLst/>
          </c:spPr>
          <c:invertIfNegative val="0"/>
          <c:dLbls>
            <c:delete val="1"/>
          </c:dLbls>
          <c:cat>
            <c:numRef>
              <c:f>Sheet1!#REF!</c:f>
              <c:numCache>
                <c:ptCount val="0"/>
              </c:numCache>
            </c:numRef>
          </c:cat>
          <c:val>
            <c:numRef>
              <c:f>Sheet1!$A$2</c:f>
              <c:numCache>
                <c:formatCode>General</c:formatCode>
                <c:ptCount val="1"/>
                <c:pt idx="0">
                  <c:v>9113.89</c:v>
                </c:pt>
              </c:numCache>
            </c:numRef>
          </c:val>
        </c:ser>
        <c:ser>
          <c:idx val="1"/>
          <c:order val="1"/>
          <c:tx>
            <c:strRef>
              <c:f>Sheet1!$B$1</c:f>
              <c:strCache>
                <c:ptCount val="1"/>
                <c:pt idx="0">
                  <c:v>2019年财政拨款支出</c:v>
                </c:pt>
              </c:strCache>
            </c:strRef>
          </c:tx>
          <c:spPr>
            <a:solidFill>
              <a:schemeClr val="accent2"/>
            </a:solidFill>
            <a:ln>
              <a:noFill/>
            </a:ln>
            <a:effectLst/>
          </c:spPr>
          <c:invertIfNegative val="0"/>
          <c:dLbls>
            <c:delete val="1"/>
          </c:dLbls>
          <c:cat>
            <c:numRef>
              <c:f>Sheet1!#REF!</c:f>
              <c:numCache>
                <c:ptCount val="0"/>
              </c:numCache>
            </c:numRef>
          </c:cat>
          <c:val>
            <c:numRef>
              <c:f>Sheet1!$B$2</c:f>
              <c:numCache>
                <c:formatCode>General</c:formatCode>
                <c:ptCount val="1"/>
                <c:pt idx="0">
                  <c:v>3642.89</c:v>
                </c:pt>
              </c:numCache>
            </c:numRef>
          </c:val>
        </c:ser>
        <c:ser>
          <c:idx val="2"/>
          <c:order val="2"/>
          <c:tx>
            <c:strRef>
              <c:f>Sheet1!$C$1</c:f>
              <c:strCache>
                <c:ptCount val="1"/>
                <c:pt idx="0">
                  <c:v>2018年财政拨款支出</c:v>
                </c:pt>
              </c:strCache>
            </c:strRef>
          </c:tx>
          <c:spPr>
            <a:solidFill>
              <a:schemeClr val="accent3"/>
            </a:solidFill>
            <a:ln>
              <a:noFill/>
            </a:ln>
            <a:effectLst/>
          </c:spPr>
          <c:invertIfNegative val="0"/>
          <c:dLbls>
            <c:delete val="1"/>
          </c:dLbls>
          <c:cat>
            <c:numRef>
              <c:f>Sheet1!#REF!</c:f>
              <c:numCache>
                <c:ptCount val="0"/>
              </c:numCache>
            </c:numRef>
          </c:cat>
          <c:val>
            <c:numRef>
              <c:f>Sheet1!$C$2</c:f>
              <c:numCache>
                <c:formatCode>General</c:formatCode>
                <c:ptCount val="1"/>
                <c:pt idx="0">
                  <c:v>6266.95</c:v>
                </c:pt>
              </c:numCache>
            </c:numRef>
          </c:val>
        </c:ser>
        <c:dLbls>
          <c:showLegendKey val="0"/>
          <c:showVal val="0"/>
          <c:showCatName val="0"/>
          <c:showSerName val="0"/>
          <c:showPercent val="0"/>
          <c:showBubbleSize val="0"/>
        </c:dLbls>
        <c:gapWidth val="219"/>
        <c:overlap val="-27"/>
        <c:axId val="736020884"/>
        <c:axId val="855308282"/>
      </c:barChart>
      <c:catAx>
        <c:axId val="7360208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5308282"/>
        <c:crosses val="autoZero"/>
        <c:auto val="1"/>
        <c:lblAlgn val="ctr"/>
        <c:lblOffset val="100"/>
        <c:noMultiLvlLbl val="0"/>
      </c:catAx>
      <c:valAx>
        <c:axId val="8553082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60208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0</TotalTime>
  <ScaleCrop>false</ScaleCrop>
  <LinksUpToDate>false</LinksUpToDate>
  <CharactersWithSpaces>8778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WPS_1602466249</cp:lastModifiedBy>
  <cp:lastPrinted>2020-07-28T02:12:00Z</cp:lastPrinted>
  <dcterms:modified xsi:type="dcterms:W3CDTF">2020-11-04T03:36:29Z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