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C0E430">
      <w:pPr>
        <w:spacing w:before="143" w:line="249" w:lineRule="auto"/>
        <w:ind w:left="2440" w:right="996" w:hanging="1571"/>
        <w:rPr>
          <w:rFonts w:hint="eastAsia" w:ascii="宋体" w:hAnsi="宋体" w:eastAsia="宋体" w:cs="宋体"/>
          <w:spacing w:val="-1"/>
          <w:sz w:val="44"/>
          <w:szCs w:val="44"/>
          <w:lang w:val="en-US" w:eastAsia="zh-CN"/>
        </w:rPr>
      </w:pPr>
      <w:r>
        <w:rPr>
          <w:rFonts w:hint="eastAsia" w:ascii="宋体" w:hAnsi="宋体" w:eastAsia="宋体" w:cs="宋体"/>
          <w:spacing w:val="-1"/>
          <w:sz w:val="44"/>
          <w:szCs w:val="44"/>
          <w:lang w:val="en-US" w:eastAsia="zh-CN"/>
        </w:rPr>
        <w:t>杨陵区</w:t>
      </w:r>
      <w:r>
        <w:rPr>
          <w:rFonts w:ascii="宋体" w:hAnsi="宋体" w:eastAsia="宋体" w:cs="宋体"/>
          <w:spacing w:val="-1"/>
          <w:sz w:val="44"/>
          <w:szCs w:val="44"/>
        </w:rPr>
        <w:t>生态环境</w:t>
      </w:r>
      <w:r>
        <w:rPr>
          <w:rFonts w:hint="eastAsia" w:ascii="宋体" w:hAnsi="宋体" w:eastAsia="宋体" w:cs="宋体"/>
          <w:spacing w:val="-1"/>
          <w:sz w:val="44"/>
          <w:szCs w:val="44"/>
          <w:lang w:val="en-US" w:eastAsia="zh-CN"/>
        </w:rPr>
        <w:t>局</w:t>
      </w:r>
      <w:r>
        <w:rPr>
          <w:rFonts w:ascii="宋体" w:hAnsi="宋体" w:eastAsia="宋体" w:cs="宋体"/>
          <w:spacing w:val="-1"/>
          <w:sz w:val="44"/>
          <w:szCs w:val="44"/>
        </w:rPr>
        <w:t>行政执法事项</w:t>
      </w:r>
      <w:r>
        <w:rPr>
          <w:rFonts w:hint="eastAsia" w:ascii="宋体" w:hAnsi="宋体" w:eastAsia="宋体" w:cs="宋体"/>
          <w:spacing w:val="-1"/>
          <w:sz w:val="44"/>
          <w:szCs w:val="44"/>
          <w:lang w:val="en-US" w:eastAsia="zh-CN"/>
        </w:rPr>
        <w:t>清单</w:t>
      </w:r>
    </w:p>
    <w:p w14:paraId="067FB6D7">
      <w:pPr>
        <w:keepNext w:val="0"/>
        <w:keepLines w:val="0"/>
        <w:pageBreakBefore w:val="0"/>
        <w:widowControl w:val="0"/>
        <w:suppressLineNumbers w:val="0"/>
        <w:kinsoku/>
        <w:wordWrap/>
        <w:overflowPunct/>
        <w:topLinePunct w:val="0"/>
        <w:autoSpaceDE/>
        <w:autoSpaceDN/>
        <w:bidi w:val="0"/>
        <w:adjustRightInd/>
        <w:snapToGrid/>
        <w:spacing w:after="0" w:afterLines="-2147483648" w:line="320" w:lineRule="exact"/>
        <w:ind w:left="240" w:leftChars="100" w:firstLine="420" w:firstLineChars="200"/>
        <w:jc w:val="both"/>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p>
    <w:tbl>
      <w:tblPr>
        <w:tblStyle w:val="98"/>
        <w:tblW w:w="14442" w:type="dxa"/>
        <w:tblInd w:w="-14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57"/>
        <w:gridCol w:w="2355"/>
        <w:gridCol w:w="1094"/>
        <w:gridCol w:w="8317"/>
        <w:gridCol w:w="1129"/>
        <w:gridCol w:w="1"/>
        <w:gridCol w:w="989"/>
      </w:tblGrid>
      <w:tr w14:paraId="380FA4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5" w:hRule="atLeast"/>
        </w:trPr>
        <w:tc>
          <w:tcPr>
            <w:tcW w:w="14442" w:type="dxa"/>
            <w:gridSpan w:val="7"/>
            <w:tcBorders>
              <w:top w:val="single" w:color="auto" w:sz="4" w:space="0"/>
              <w:left w:val="single" w:color="auto" w:sz="4" w:space="0"/>
              <w:bottom w:val="single" w:color="auto" w:sz="4" w:space="0"/>
              <w:right w:val="single" w:color="auto" w:sz="4" w:space="0"/>
            </w:tcBorders>
            <w:shd w:val="clear" w:color="auto" w:fill="auto"/>
            <w:vAlign w:val="center"/>
          </w:tcPr>
          <w:p w14:paraId="0A1DAE8C">
            <w:pPr>
              <w:spacing w:before="143" w:line="183" w:lineRule="auto"/>
              <w:jc w:val="center"/>
              <w:rPr>
                <w:rFonts w:hint="default" w:ascii="宋体" w:hAnsi="宋体" w:eastAsia="宋体" w:cs="宋体"/>
                <w:b/>
                <w:bCs/>
                <w:spacing w:val="-1"/>
                <w:kern w:val="2"/>
                <w:sz w:val="28"/>
                <w:szCs w:val="28"/>
                <w:lang w:val="en-US" w:eastAsia="zh-CN" w:bidi="ar-SA"/>
              </w:rPr>
            </w:pPr>
            <w:r>
              <w:rPr>
                <w:rFonts w:hint="eastAsia" w:ascii="宋体" w:hAnsi="宋体" w:eastAsia="宋体" w:cs="宋体"/>
                <w:b/>
                <w:bCs/>
                <w:spacing w:val="-1"/>
                <w:sz w:val="28"/>
                <w:szCs w:val="28"/>
                <w:lang w:val="en-US" w:eastAsia="zh-CN"/>
              </w:rPr>
              <w:t>执法主体事项清单</w:t>
            </w:r>
          </w:p>
        </w:tc>
      </w:tr>
      <w:tr w14:paraId="614DFF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0" w:hRule="atLeast"/>
        </w:trPr>
        <w:tc>
          <w:tcPr>
            <w:tcW w:w="14442" w:type="dxa"/>
            <w:gridSpan w:val="7"/>
            <w:tcBorders>
              <w:top w:val="single" w:color="auto" w:sz="4" w:space="0"/>
              <w:left w:val="single" w:color="auto" w:sz="4" w:space="0"/>
              <w:bottom w:val="single" w:color="auto" w:sz="4" w:space="0"/>
              <w:right w:val="single" w:color="auto" w:sz="4" w:space="0"/>
            </w:tcBorders>
            <w:shd w:val="clear" w:color="auto" w:fill="auto"/>
            <w:vAlign w:val="center"/>
          </w:tcPr>
          <w:p w14:paraId="4AB2A05C">
            <w:pPr>
              <w:spacing w:before="71" w:line="244" w:lineRule="auto"/>
              <w:ind w:right="58" w:rightChars="0"/>
              <w:jc w:val="center"/>
              <w:rPr>
                <w:rFonts w:hint="default" w:ascii="宋体" w:hAnsi="宋体" w:eastAsia="宋体" w:cs="宋体"/>
                <w:b/>
                <w:bCs/>
                <w:spacing w:val="-1"/>
                <w:kern w:val="2"/>
                <w:sz w:val="28"/>
                <w:szCs w:val="28"/>
                <w:lang w:val="en-US" w:eastAsia="zh-CN" w:bidi="ar-SA"/>
              </w:rPr>
            </w:pPr>
            <w:r>
              <w:rPr>
                <w:rFonts w:hint="eastAsia" w:ascii="宋体" w:hAnsi="宋体" w:eastAsia="宋体" w:cs="宋体"/>
                <w:b/>
                <w:bCs/>
                <w:spacing w:val="-1"/>
                <w:sz w:val="28"/>
                <w:szCs w:val="28"/>
                <w:lang w:val="en-US" w:eastAsia="zh-CN"/>
              </w:rPr>
              <w:t>执法主体：杨陵区生态环境局</w:t>
            </w:r>
          </w:p>
        </w:tc>
      </w:tr>
      <w:tr w14:paraId="6FF540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557" w:type="dxa"/>
            <w:tcBorders>
              <w:top w:val="single" w:color="auto" w:sz="4" w:space="0"/>
              <w:left w:val="single" w:color="auto" w:sz="4" w:space="0"/>
              <w:bottom w:val="single" w:color="auto" w:sz="4" w:space="0"/>
              <w:right w:val="single" w:color="auto" w:sz="4" w:space="0"/>
            </w:tcBorders>
            <w:shd w:val="clear" w:color="auto" w:fill="auto"/>
            <w:vAlign w:val="center"/>
          </w:tcPr>
          <w:p w14:paraId="24769D26">
            <w:pPr>
              <w:keepNext w:val="0"/>
              <w:keepLines w:val="0"/>
              <w:pageBreakBefore w:val="0"/>
              <w:widowControl w:val="0"/>
              <w:kinsoku/>
              <w:wordWrap/>
              <w:overflowPunct/>
              <w:topLinePunct w:val="0"/>
              <w:autoSpaceDE/>
              <w:autoSpaceDN/>
              <w:bidi w:val="0"/>
              <w:spacing w:before="68" w:line="320" w:lineRule="exact"/>
              <w:ind w:left="0" w:leftChars="0" w:firstLine="0" w:firstLineChars="0"/>
              <w:jc w:val="center"/>
              <w:rPr>
                <w:rFonts w:hint="eastAsia" w:ascii="黑体" w:hAnsi="黑体" w:eastAsia="黑体" w:cs="黑体"/>
                <w:spacing w:val="-8"/>
                <w:sz w:val="24"/>
                <w:szCs w:val="24"/>
                <w:lang w:val="en-US" w:eastAsia="zh-CN"/>
              </w:rPr>
            </w:pPr>
            <w:r>
              <w:rPr>
                <w:rFonts w:hint="eastAsia" w:ascii="黑体" w:hAnsi="黑体" w:eastAsia="黑体" w:cs="黑体"/>
                <w:spacing w:val="-8"/>
                <w:sz w:val="24"/>
                <w:szCs w:val="24"/>
                <w:lang w:val="en-US" w:eastAsia="zh-CN"/>
              </w:rPr>
              <w:t>序号</w:t>
            </w:r>
          </w:p>
        </w:tc>
        <w:tc>
          <w:tcPr>
            <w:tcW w:w="2355" w:type="dxa"/>
            <w:tcBorders>
              <w:top w:val="single" w:color="auto" w:sz="4" w:space="0"/>
              <w:left w:val="single" w:color="auto" w:sz="4" w:space="0"/>
              <w:bottom w:val="single" w:color="auto" w:sz="4" w:space="0"/>
              <w:right w:val="single" w:color="auto" w:sz="4" w:space="0"/>
            </w:tcBorders>
            <w:shd w:val="clear" w:color="auto" w:fill="auto"/>
            <w:vAlign w:val="center"/>
          </w:tcPr>
          <w:p w14:paraId="74303EE8">
            <w:pPr>
              <w:keepNext w:val="0"/>
              <w:keepLines w:val="0"/>
              <w:pageBreakBefore w:val="0"/>
              <w:widowControl w:val="0"/>
              <w:kinsoku/>
              <w:wordWrap/>
              <w:overflowPunct/>
              <w:topLinePunct w:val="0"/>
              <w:autoSpaceDE/>
              <w:autoSpaceDN/>
              <w:bidi w:val="0"/>
              <w:spacing w:before="68" w:line="320" w:lineRule="exact"/>
              <w:ind w:left="240" w:leftChars="100" w:right="127" w:rightChars="53" w:firstLine="0" w:firstLineChars="0"/>
              <w:jc w:val="center"/>
              <w:rPr>
                <w:rFonts w:hint="eastAsia" w:ascii="宋体" w:hAnsi="宋体" w:eastAsia="宋体" w:cs="宋体"/>
                <w:spacing w:val="-8"/>
                <w:sz w:val="21"/>
                <w:szCs w:val="21"/>
                <w:lang w:val="en-US" w:eastAsia="zh-CN"/>
              </w:rPr>
            </w:pPr>
            <w:r>
              <w:rPr>
                <w:rFonts w:hint="eastAsia" w:ascii="宋体" w:hAnsi="宋体" w:eastAsia="宋体" w:cs="宋体"/>
                <w:spacing w:val="-8"/>
                <w:sz w:val="24"/>
                <w:szCs w:val="24"/>
                <w:lang w:val="en-US" w:eastAsia="zh-CN"/>
              </w:rPr>
              <w:t>执法事项名称</w:t>
            </w:r>
          </w:p>
        </w:tc>
        <w:tc>
          <w:tcPr>
            <w:tcW w:w="1094" w:type="dxa"/>
            <w:tcBorders>
              <w:top w:val="single" w:color="auto" w:sz="4" w:space="0"/>
              <w:left w:val="single" w:color="auto" w:sz="4" w:space="0"/>
              <w:bottom w:val="single" w:color="auto" w:sz="4" w:space="0"/>
              <w:right w:val="single" w:color="auto" w:sz="4" w:space="0"/>
            </w:tcBorders>
            <w:shd w:val="clear" w:color="auto" w:fill="auto"/>
            <w:vAlign w:val="center"/>
          </w:tcPr>
          <w:p w14:paraId="7E43CF06">
            <w:pPr>
              <w:keepNext w:val="0"/>
              <w:keepLines w:val="0"/>
              <w:pageBreakBefore w:val="0"/>
              <w:widowControl w:val="0"/>
              <w:kinsoku/>
              <w:wordWrap/>
              <w:overflowPunct/>
              <w:topLinePunct w:val="0"/>
              <w:autoSpaceDE/>
              <w:autoSpaceDN/>
              <w:bidi w:val="0"/>
              <w:spacing w:before="68" w:line="320" w:lineRule="exact"/>
              <w:ind w:left="0" w:leftChars="0" w:firstLine="0" w:firstLineChars="0"/>
              <w:jc w:val="center"/>
              <w:rPr>
                <w:rFonts w:hint="eastAsia" w:ascii="黑体" w:hAnsi="黑体" w:eastAsia="黑体" w:cs="黑体"/>
                <w:spacing w:val="-8"/>
                <w:sz w:val="24"/>
                <w:szCs w:val="24"/>
                <w:lang w:val="en-US" w:eastAsia="zh-CN"/>
              </w:rPr>
            </w:pPr>
            <w:r>
              <w:rPr>
                <w:rFonts w:hint="eastAsia" w:ascii="黑体" w:hAnsi="黑体" w:eastAsia="黑体" w:cs="黑体"/>
                <w:spacing w:val="-8"/>
                <w:sz w:val="24"/>
                <w:szCs w:val="24"/>
                <w:lang w:val="en-US" w:eastAsia="zh-CN"/>
              </w:rPr>
              <w:t>执法类别</w:t>
            </w:r>
          </w:p>
        </w:tc>
        <w:tc>
          <w:tcPr>
            <w:tcW w:w="8317" w:type="dxa"/>
            <w:tcBorders>
              <w:top w:val="single" w:color="auto" w:sz="4" w:space="0"/>
              <w:left w:val="single" w:color="auto" w:sz="4" w:space="0"/>
              <w:bottom w:val="single" w:color="auto" w:sz="4" w:space="0"/>
              <w:right w:val="single" w:color="auto" w:sz="4" w:space="0"/>
            </w:tcBorders>
            <w:shd w:val="clear" w:color="auto" w:fill="auto"/>
            <w:vAlign w:val="center"/>
          </w:tcPr>
          <w:p w14:paraId="2120C30D">
            <w:pPr>
              <w:keepNext w:val="0"/>
              <w:keepLines w:val="0"/>
              <w:pageBreakBefore w:val="0"/>
              <w:widowControl w:val="0"/>
              <w:kinsoku/>
              <w:wordWrap/>
              <w:overflowPunct/>
              <w:topLinePunct w:val="0"/>
              <w:autoSpaceDE/>
              <w:autoSpaceDN/>
              <w:bidi w:val="0"/>
              <w:spacing w:before="68" w:line="320" w:lineRule="exact"/>
              <w:ind w:left="0" w:leftChars="0" w:firstLine="0" w:firstLineChars="0"/>
              <w:jc w:val="center"/>
              <w:rPr>
                <w:rFonts w:hint="eastAsia" w:ascii="黑体" w:hAnsi="黑体" w:eastAsia="黑体" w:cs="黑体"/>
                <w:spacing w:val="-8"/>
                <w:sz w:val="24"/>
                <w:szCs w:val="24"/>
                <w:lang w:val="en-US" w:eastAsia="zh-CN"/>
              </w:rPr>
            </w:pPr>
            <w:r>
              <w:rPr>
                <w:rFonts w:hint="eastAsia" w:ascii="黑体" w:hAnsi="黑体" w:eastAsia="黑体" w:cs="黑体"/>
                <w:spacing w:val="-8"/>
                <w:sz w:val="24"/>
                <w:szCs w:val="24"/>
                <w:lang w:val="en-US" w:eastAsia="zh-CN"/>
              </w:rPr>
              <w:t>执法依据</w:t>
            </w:r>
          </w:p>
        </w:tc>
        <w:tc>
          <w:tcPr>
            <w:tcW w:w="1129" w:type="dxa"/>
            <w:tcBorders>
              <w:top w:val="single" w:color="auto" w:sz="4" w:space="0"/>
              <w:left w:val="single" w:color="auto" w:sz="4" w:space="0"/>
              <w:bottom w:val="single" w:color="auto" w:sz="4" w:space="0"/>
              <w:right w:val="single" w:color="auto" w:sz="4" w:space="0"/>
            </w:tcBorders>
            <w:vAlign w:val="center"/>
          </w:tcPr>
          <w:p w14:paraId="116B2E82">
            <w:pPr>
              <w:keepNext w:val="0"/>
              <w:keepLines w:val="0"/>
              <w:pageBreakBefore w:val="0"/>
              <w:widowControl w:val="0"/>
              <w:kinsoku/>
              <w:wordWrap/>
              <w:overflowPunct/>
              <w:topLinePunct w:val="0"/>
              <w:autoSpaceDE/>
              <w:autoSpaceDN/>
              <w:bidi w:val="0"/>
              <w:spacing w:before="68" w:line="320" w:lineRule="exact"/>
              <w:ind w:left="0" w:leftChars="0" w:firstLine="0" w:firstLineChars="0"/>
              <w:jc w:val="center"/>
              <w:rPr>
                <w:rFonts w:hint="eastAsia" w:ascii="黑体" w:hAnsi="黑体" w:eastAsia="黑体" w:cs="黑体"/>
                <w:spacing w:val="-8"/>
                <w:sz w:val="24"/>
                <w:szCs w:val="24"/>
                <w:lang w:val="en-US" w:eastAsia="zh-CN"/>
              </w:rPr>
            </w:pPr>
            <w:r>
              <w:rPr>
                <w:rFonts w:hint="eastAsia" w:ascii="黑体" w:hAnsi="黑体" w:eastAsia="黑体" w:cs="黑体"/>
                <w:spacing w:val="-8"/>
                <w:sz w:val="24"/>
                <w:szCs w:val="24"/>
                <w:lang w:val="en-US" w:eastAsia="zh-CN"/>
              </w:rPr>
              <w:t>责任机构</w:t>
            </w:r>
          </w:p>
        </w:tc>
        <w:tc>
          <w:tcPr>
            <w:tcW w:w="990" w:type="dxa"/>
            <w:gridSpan w:val="2"/>
            <w:tcBorders>
              <w:top w:val="single" w:color="auto" w:sz="4" w:space="0"/>
              <w:left w:val="single" w:color="auto" w:sz="4" w:space="0"/>
              <w:bottom w:val="single" w:color="auto" w:sz="4" w:space="0"/>
              <w:right w:val="single" w:color="auto" w:sz="4" w:space="0"/>
            </w:tcBorders>
            <w:vAlign w:val="center"/>
          </w:tcPr>
          <w:p w14:paraId="20375B83">
            <w:pPr>
              <w:keepNext w:val="0"/>
              <w:keepLines w:val="0"/>
              <w:pageBreakBefore w:val="0"/>
              <w:widowControl w:val="0"/>
              <w:kinsoku/>
              <w:wordWrap/>
              <w:overflowPunct/>
              <w:topLinePunct w:val="0"/>
              <w:autoSpaceDE/>
              <w:autoSpaceDN/>
              <w:bidi w:val="0"/>
              <w:spacing w:before="68" w:line="320" w:lineRule="exact"/>
              <w:ind w:left="0" w:leftChars="0" w:firstLine="0" w:firstLineChars="0"/>
              <w:jc w:val="center"/>
              <w:rPr>
                <w:rFonts w:hint="eastAsia" w:ascii="黑体" w:hAnsi="黑体" w:eastAsia="黑体" w:cs="黑体"/>
                <w:spacing w:val="-8"/>
                <w:sz w:val="24"/>
                <w:szCs w:val="24"/>
                <w:lang w:val="en-US" w:eastAsia="zh-CN"/>
              </w:rPr>
            </w:pPr>
            <w:r>
              <w:rPr>
                <w:rFonts w:hint="eastAsia" w:ascii="黑体" w:hAnsi="黑体" w:eastAsia="黑体" w:cs="黑体"/>
                <w:spacing w:val="-8"/>
                <w:sz w:val="24"/>
                <w:szCs w:val="24"/>
                <w:lang w:val="en-US" w:eastAsia="zh-CN"/>
              </w:rPr>
              <w:t>责任人员</w:t>
            </w:r>
          </w:p>
        </w:tc>
      </w:tr>
      <w:tr w14:paraId="78FA86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557" w:type="dxa"/>
            <w:tcBorders>
              <w:top w:val="single" w:color="auto" w:sz="4" w:space="0"/>
              <w:left w:val="single" w:color="000000" w:sz="10" w:space="0"/>
              <w:bottom w:val="single" w:color="auto" w:sz="4" w:space="0"/>
            </w:tcBorders>
            <w:vAlign w:val="center"/>
          </w:tcPr>
          <w:p w14:paraId="1C243CCF">
            <w:pPr>
              <w:keepNext w:val="0"/>
              <w:keepLines w:val="0"/>
              <w:pageBreakBefore w:val="0"/>
              <w:widowControl w:val="0"/>
              <w:kinsoku/>
              <w:wordWrap/>
              <w:overflowPunct/>
              <w:topLinePunct w:val="0"/>
              <w:autoSpaceDE/>
              <w:autoSpaceDN/>
              <w:bidi w:val="0"/>
              <w:spacing w:before="68" w:line="320" w:lineRule="exact"/>
              <w:ind w:left="0" w:leftChars="0" w:firstLine="0" w:firstLineChars="0"/>
              <w:jc w:val="center"/>
              <w:rPr>
                <w:rFonts w:hint="eastAsia" w:ascii="宋体" w:hAnsi="宋体" w:eastAsia="宋体" w:cs="宋体"/>
                <w:spacing w:val="-8"/>
                <w:sz w:val="21"/>
                <w:szCs w:val="21"/>
                <w:lang w:val="en-US" w:eastAsia="zh-CN"/>
              </w:rPr>
            </w:pPr>
            <w:r>
              <w:rPr>
                <w:rFonts w:hint="eastAsia" w:ascii="宋体" w:hAnsi="宋体" w:eastAsia="宋体" w:cs="宋体"/>
                <w:spacing w:val="-8"/>
                <w:sz w:val="21"/>
                <w:szCs w:val="21"/>
                <w:lang w:val="en-US" w:eastAsia="zh-CN"/>
              </w:rPr>
              <w:t>1</w:t>
            </w:r>
          </w:p>
        </w:tc>
        <w:tc>
          <w:tcPr>
            <w:tcW w:w="2355" w:type="dxa"/>
            <w:tcBorders>
              <w:top w:val="single" w:color="auto" w:sz="4" w:space="0"/>
              <w:bottom w:val="single" w:color="auto" w:sz="4" w:space="0"/>
            </w:tcBorders>
            <w:vAlign w:val="center"/>
          </w:tcPr>
          <w:p w14:paraId="53D95169">
            <w:pPr>
              <w:keepNext w:val="0"/>
              <w:keepLines w:val="0"/>
              <w:pageBreakBefore w:val="0"/>
              <w:widowControl w:val="0"/>
              <w:kinsoku/>
              <w:wordWrap/>
              <w:overflowPunct/>
              <w:topLinePunct w:val="0"/>
              <w:autoSpaceDE/>
              <w:autoSpaceDN/>
              <w:bidi w:val="0"/>
              <w:spacing w:before="68" w:line="320" w:lineRule="exact"/>
              <w:ind w:left="240" w:leftChars="100" w:right="127" w:rightChars="53" w:firstLine="0" w:firstLineChars="0"/>
              <w:jc w:val="center"/>
              <w:rPr>
                <w:rFonts w:hint="eastAsia" w:ascii="宋体" w:hAnsi="宋体" w:eastAsia="宋体" w:cs="宋体"/>
                <w:spacing w:val="-8"/>
                <w:sz w:val="21"/>
                <w:szCs w:val="21"/>
                <w:lang w:val="en-US" w:eastAsia="zh-CN"/>
              </w:rPr>
            </w:pPr>
            <w:r>
              <w:rPr>
                <w:rFonts w:hint="eastAsia" w:ascii="宋体" w:hAnsi="宋体" w:eastAsia="宋体" w:cs="宋体"/>
                <w:spacing w:val="-8"/>
                <w:sz w:val="21"/>
                <w:szCs w:val="21"/>
                <w:lang w:val="en-US" w:eastAsia="zh-CN"/>
              </w:rPr>
              <w:t>对拒不改正违法排放污染物行为的行政处罚</w:t>
            </w:r>
          </w:p>
        </w:tc>
        <w:tc>
          <w:tcPr>
            <w:tcW w:w="1094" w:type="dxa"/>
            <w:tcBorders>
              <w:top w:val="single" w:color="auto" w:sz="4" w:space="0"/>
              <w:bottom w:val="single" w:color="auto" w:sz="4" w:space="0"/>
            </w:tcBorders>
            <w:vAlign w:val="center"/>
          </w:tcPr>
          <w:p w14:paraId="46E9E308">
            <w:pPr>
              <w:keepNext w:val="0"/>
              <w:keepLines w:val="0"/>
              <w:pageBreakBefore w:val="0"/>
              <w:widowControl w:val="0"/>
              <w:kinsoku/>
              <w:wordWrap/>
              <w:overflowPunct/>
              <w:topLinePunct w:val="0"/>
              <w:autoSpaceDE/>
              <w:autoSpaceDN/>
              <w:bidi w:val="0"/>
              <w:spacing w:before="68" w:line="320" w:lineRule="exact"/>
              <w:ind w:left="0" w:leftChars="0" w:firstLine="0" w:firstLineChars="0"/>
              <w:jc w:val="center"/>
              <w:rPr>
                <w:rFonts w:hint="eastAsia" w:ascii="宋体" w:hAnsi="宋体" w:eastAsia="宋体" w:cs="宋体"/>
                <w:spacing w:val="-8"/>
                <w:sz w:val="21"/>
                <w:szCs w:val="21"/>
                <w:lang w:val="en-US" w:eastAsia="zh-CN"/>
              </w:rPr>
            </w:pPr>
            <w:r>
              <w:rPr>
                <w:rFonts w:hint="eastAsia" w:ascii="宋体" w:hAnsi="宋体" w:eastAsia="宋体" w:cs="宋体"/>
                <w:spacing w:val="-8"/>
                <w:sz w:val="21"/>
                <w:szCs w:val="21"/>
                <w:lang w:val="en-US" w:eastAsia="zh-CN"/>
              </w:rPr>
              <w:t>行政处罚</w:t>
            </w:r>
          </w:p>
        </w:tc>
        <w:tc>
          <w:tcPr>
            <w:tcW w:w="8317" w:type="dxa"/>
            <w:tcBorders>
              <w:top w:val="single" w:color="auto" w:sz="4" w:space="0"/>
              <w:bottom w:val="single" w:color="auto" w:sz="4" w:space="0"/>
            </w:tcBorders>
            <w:vAlign w:val="top"/>
          </w:tcPr>
          <w:p w14:paraId="16371750">
            <w:pPr>
              <w:keepNext w:val="0"/>
              <w:keepLines w:val="0"/>
              <w:pageBreakBefore w:val="0"/>
              <w:widowControl w:val="0"/>
              <w:suppressLineNumbers w:val="0"/>
              <w:kinsoku/>
              <w:wordWrap/>
              <w:overflowPunct/>
              <w:topLinePunct w:val="0"/>
              <w:autoSpaceDE/>
              <w:autoSpaceDN/>
              <w:bidi w:val="0"/>
              <w:adjustRightInd/>
              <w:snapToGrid/>
              <w:spacing w:after="0" w:afterLines="-2147483648" w:line="320" w:lineRule="exact"/>
              <w:ind w:left="240" w:leftChars="100" w:firstLine="420" w:firstLineChars="200"/>
              <w:jc w:val="both"/>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中华人民共和国环境保护法》第五十九条企业事业单位和其他生产经营者违法排放污染物，受到罚款处罚，被责令改正，拒不改正的，依法作出处罚决定的行政机关可以自责令改正之日的次日起，按照原处罚数额按日连续处罚。前款规定的罚款处罚，依照有关法律法规按照防治污染设施的运行成本、违法行为造成的直接损失或者违法所得等因素确定的规定执行。地方性法规可以根据环境保护的实际需要，增加第一款规定的按日连续处罚的违法行为的种类。</w:t>
            </w:r>
          </w:p>
          <w:p w14:paraId="686D5B01">
            <w:pPr>
              <w:keepNext w:val="0"/>
              <w:keepLines w:val="0"/>
              <w:pageBreakBefore w:val="0"/>
              <w:widowControl w:val="0"/>
              <w:suppressLineNumbers w:val="0"/>
              <w:kinsoku/>
              <w:wordWrap/>
              <w:overflowPunct/>
              <w:topLinePunct w:val="0"/>
              <w:autoSpaceDE/>
              <w:autoSpaceDN/>
              <w:bidi w:val="0"/>
              <w:adjustRightInd/>
              <w:snapToGrid/>
              <w:spacing w:after="0" w:afterLines="-2147483648" w:line="320" w:lineRule="exact"/>
              <w:ind w:left="240" w:leftChars="100" w:firstLine="420" w:firstLineChars="200"/>
              <w:jc w:val="both"/>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排污许可管理办法（试行）》第五十九条排污单位违法排放大气污染物、水污染物，受到罚款处罚，被责令改正的，依法作出处罚决定的行政机关组织复查，发现其继续违法排放大气污染物、水污染物或者拒绝、阻挠复查的，作出处罚决定的行政机关可以自责令改正之日的次日起，依法按照原处罚数额按日连续处罚。</w:t>
            </w:r>
          </w:p>
          <w:p w14:paraId="790F0251">
            <w:pPr>
              <w:keepNext w:val="0"/>
              <w:keepLines w:val="0"/>
              <w:pageBreakBefore w:val="0"/>
              <w:widowControl w:val="0"/>
              <w:suppressLineNumbers w:val="0"/>
              <w:kinsoku/>
              <w:wordWrap/>
              <w:overflowPunct/>
              <w:topLinePunct w:val="0"/>
              <w:autoSpaceDE/>
              <w:autoSpaceDN/>
              <w:bidi w:val="0"/>
              <w:adjustRightInd/>
              <w:snapToGrid/>
              <w:spacing w:after="0" w:afterLines="-2147483648" w:line="320" w:lineRule="exact"/>
              <w:ind w:left="240" w:leftChars="100" w:firstLine="420" w:firstLineChars="200"/>
              <w:jc w:val="both"/>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3.《中华人民共和国大气污染防治法》第一百二十三条违反本法规定，企业事业单位和其他生产经营者有下列行为之一，受到罚款处罚，被责令改正，拒不改正的，依法作出处罚决定的行政机关可以自责令改正之日的次日起，按照原处罚数额按日连续处罚：（一）未依法取得排污许可证排放大气污染物的；（二）超过大气污染物排放标准或者超过重点大气污染物排放总量控制指标排放大气污染物的；（三）通过逃避监管的方式排放大气污染物的；（四）建筑施工或者贮存易产生扬尘的物料未采取有效措施防治扬尘污染的。</w:t>
            </w:r>
          </w:p>
          <w:p w14:paraId="0D824864">
            <w:pPr>
              <w:keepNext w:val="0"/>
              <w:keepLines w:val="0"/>
              <w:pageBreakBefore w:val="0"/>
              <w:widowControl w:val="0"/>
              <w:suppressLineNumbers w:val="0"/>
              <w:kinsoku/>
              <w:wordWrap/>
              <w:overflowPunct/>
              <w:topLinePunct w:val="0"/>
              <w:autoSpaceDE/>
              <w:autoSpaceDN/>
              <w:bidi w:val="0"/>
              <w:adjustRightInd/>
              <w:snapToGrid/>
              <w:spacing w:after="0" w:afterLines="-2147483648" w:line="320" w:lineRule="exact"/>
              <w:ind w:left="240" w:leftChars="100" w:firstLine="420" w:firstLineChars="200"/>
              <w:jc w:val="both"/>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4.《中华人民共和国水污染防治法》第九十五条企业事业单位和其他生产经营者违法排放水污染物，受到罚款处罚，被责令改正的，依法作出处罚决定的行政机关应当组织复查，发现其继续违法排放水污染物或者拒绝、阻挠复查的，依照《中华人民共和国环境保护法》的规定按日连续处罚。</w:t>
            </w:r>
          </w:p>
          <w:p w14:paraId="12960F9A">
            <w:pPr>
              <w:keepNext w:val="0"/>
              <w:keepLines w:val="0"/>
              <w:pageBreakBefore w:val="0"/>
              <w:widowControl w:val="0"/>
              <w:suppressLineNumbers w:val="0"/>
              <w:kinsoku/>
              <w:wordWrap/>
              <w:overflowPunct/>
              <w:topLinePunct w:val="0"/>
              <w:autoSpaceDE/>
              <w:autoSpaceDN/>
              <w:bidi w:val="0"/>
              <w:adjustRightInd/>
              <w:snapToGrid/>
              <w:spacing w:after="0" w:afterLines="-2147483648" w:line="320" w:lineRule="exact"/>
              <w:ind w:left="240" w:leftChars="100" w:firstLine="420" w:firstLineChars="200"/>
              <w:jc w:val="both"/>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5.《中华人民共和国固体废物污染环境防治法》第一百一十九条单位和其他生产经营者违反本法规定排放固体废物，受到罚款处罚，被责令改正的，依法作出处罚决定的行政机关应当组织复查，发现其继续实施该违法行为的，依照《中华人民共和国环境保护法》的规定按日连续处罚。</w:t>
            </w:r>
          </w:p>
          <w:p w14:paraId="4D3C62B7">
            <w:pPr>
              <w:keepNext w:val="0"/>
              <w:keepLines w:val="0"/>
              <w:pageBreakBefore w:val="0"/>
              <w:widowControl w:val="0"/>
              <w:suppressLineNumbers w:val="0"/>
              <w:kinsoku/>
              <w:wordWrap/>
              <w:overflowPunct/>
              <w:topLinePunct w:val="0"/>
              <w:autoSpaceDE/>
              <w:autoSpaceDN/>
              <w:bidi w:val="0"/>
              <w:adjustRightInd/>
              <w:snapToGrid/>
              <w:spacing w:after="0" w:afterLines="-2147483648" w:line="320" w:lineRule="exact"/>
              <w:ind w:left="240" w:leftChars="100" w:firstLine="420" w:firstLineChars="200"/>
              <w:jc w:val="both"/>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6.《陕西省大气污染防治条例（2019年修正）》第七十五条违反本条例，企业事业单位和其他生产经营者有下列行为之一，受到罚款处罚，被责令改正，拒不改正的，依法作出处罚决定的行政机关可以自责令改正之日的次日起，按照原处罚数额按日连续处罚：（一）未依法取得排污许可证排放大气污染物的；（二）超过大气污染物排放标准或者超过重点大气污染物排放总量控制指标排放大气污染物的；（三）通过逃避监管的方式排放大气污染物的；（四）建筑施工或者贮存易产生扬尘的物料未采取有效措施防治扬尘污染的。</w:t>
            </w:r>
          </w:p>
          <w:p w14:paraId="39F52165">
            <w:pPr>
              <w:keepNext w:val="0"/>
              <w:keepLines w:val="0"/>
              <w:pageBreakBefore w:val="0"/>
              <w:widowControl w:val="0"/>
              <w:suppressLineNumbers w:val="0"/>
              <w:kinsoku/>
              <w:wordWrap/>
              <w:overflowPunct/>
              <w:topLinePunct w:val="0"/>
              <w:autoSpaceDE/>
              <w:autoSpaceDN/>
              <w:bidi w:val="0"/>
              <w:adjustRightInd/>
              <w:snapToGrid/>
              <w:spacing w:after="0" w:afterLines="-2147483648" w:line="320" w:lineRule="exact"/>
              <w:ind w:left="240" w:leftChars="100" w:firstLine="420" w:firstLineChars="200"/>
              <w:jc w:val="both"/>
              <w:textAlignment w:val="center"/>
              <w:rPr>
                <w:rFonts w:hint="eastAsia" w:ascii="宋体" w:hAnsi="宋体" w:eastAsia="宋体" w:cs="宋体"/>
                <w:spacing w:val="-4"/>
                <w:sz w:val="21"/>
                <w:szCs w:val="21"/>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7.《环境保护主管部门实施按日连续处罚办法》第五条排污者有下列行为之一，受到罚款处罚，被责令改正,拒不改正的，依法作出罚款处罚决定的环境保护主管部门可以实施按日连续处罚：（一）超过国家或者地方规定的污染物排放标准，或者超过重点污染物排放总量控制指标排放污染物的；（二）通过暗管、渗井、渗坑、灌注或者篡改、伪造监测数据，或者不正常运行防治污染设施等逃避监管的方式排放污染物的；（三）排放法律、法规规定禁止排放的污染物的；（四）违法倾倒危险废物的；（五）其他违法排放污染物行为。第六条地方性法规可以根据环境保护的实际需要,增加按日连续处罚的违法行为的种类。</w:t>
            </w:r>
          </w:p>
        </w:tc>
        <w:tc>
          <w:tcPr>
            <w:tcW w:w="1129" w:type="dxa"/>
            <w:tcBorders>
              <w:top w:val="single" w:color="auto" w:sz="4" w:space="0"/>
              <w:bottom w:val="single" w:color="auto" w:sz="4" w:space="0"/>
            </w:tcBorders>
            <w:vAlign w:val="top"/>
          </w:tcPr>
          <w:p w14:paraId="40B2297E">
            <w:pPr>
              <w:keepNext w:val="0"/>
              <w:keepLines w:val="0"/>
              <w:pageBreakBefore w:val="0"/>
              <w:widowControl w:val="0"/>
              <w:kinsoku/>
              <w:wordWrap/>
              <w:overflowPunct/>
              <w:topLinePunct w:val="0"/>
              <w:autoSpaceDE/>
              <w:autoSpaceDN/>
              <w:bidi w:val="0"/>
              <w:spacing w:before="68" w:line="320" w:lineRule="exact"/>
              <w:ind w:left="46" w:right="13"/>
              <w:rPr>
                <w:rFonts w:ascii="宋体" w:hAnsi="宋体" w:eastAsia="宋体" w:cs="宋体"/>
                <w:sz w:val="21"/>
                <w:szCs w:val="21"/>
              </w:rPr>
            </w:pPr>
          </w:p>
        </w:tc>
        <w:tc>
          <w:tcPr>
            <w:tcW w:w="990" w:type="dxa"/>
            <w:gridSpan w:val="2"/>
            <w:tcBorders>
              <w:top w:val="single" w:color="auto" w:sz="4" w:space="0"/>
              <w:bottom w:val="single" w:color="auto" w:sz="4" w:space="0"/>
              <w:right w:val="single" w:color="000000" w:sz="10" w:space="0"/>
            </w:tcBorders>
            <w:vAlign w:val="top"/>
          </w:tcPr>
          <w:p w14:paraId="027DFA77">
            <w:pPr>
              <w:keepNext w:val="0"/>
              <w:keepLines w:val="0"/>
              <w:pageBreakBefore w:val="0"/>
              <w:widowControl w:val="0"/>
              <w:kinsoku/>
              <w:wordWrap/>
              <w:overflowPunct/>
              <w:topLinePunct w:val="0"/>
              <w:autoSpaceDE/>
              <w:autoSpaceDN/>
              <w:bidi w:val="0"/>
              <w:spacing w:before="68" w:line="320" w:lineRule="exact"/>
              <w:ind w:firstLine="88"/>
              <w:rPr>
                <w:rFonts w:ascii="宋体" w:hAnsi="宋体" w:eastAsia="宋体" w:cs="宋体"/>
                <w:sz w:val="21"/>
                <w:szCs w:val="21"/>
              </w:rPr>
            </w:pPr>
          </w:p>
        </w:tc>
      </w:tr>
      <w:tr w14:paraId="537A01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3" w:hRule="atLeast"/>
        </w:trPr>
        <w:tc>
          <w:tcPr>
            <w:tcW w:w="557" w:type="dxa"/>
            <w:tcBorders>
              <w:top w:val="single" w:color="auto" w:sz="4" w:space="0"/>
              <w:left w:val="single" w:color="000000" w:sz="10" w:space="0"/>
              <w:bottom w:val="single" w:color="000000" w:sz="10" w:space="0"/>
            </w:tcBorders>
            <w:shd w:val="clear" w:color="auto" w:fill="auto"/>
            <w:vAlign w:val="center"/>
          </w:tcPr>
          <w:p w14:paraId="22E06D89">
            <w:pPr>
              <w:keepNext w:val="0"/>
              <w:keepLines w:val="0"/>
              <w:pageBreakBefore w:val="0"/>
              <w:widowControl w:val="0"/>
              <w:kinsoku/>
              <w:wordWrap/>
              <w:overflowPunct/>
              <w:topLinePunct w:val="0"/>
              <w:autoSpaceDE/>
              <w:autoSpaceDN/>
              <w:bidi w:val="0"/>
              <w:spacing w:before="68" w:line="320" w:lineRule="exact"/>
              <w:ind w:left="0" w:leftChars="0" w:firstLine="0" w:firstLineChars="0"/>
              <w:jc w:val="center"/>
              <w:rPr>
                <w:rFonts w:hint="eastAsia" w:ascii="仿宋_GB2312" w:hAnsi="仿宋_GB2312" w:eastAsia="仿宋_GB2312" w:cs="仿宋_GB2312"/>
                <w:spacing w:val="-8"/>
                <w:sz w:val="24"/>
                <w:szCs w:val="24"/>
                <w:lang w:val="en-US" w:eastAsia="zh-CN"/>
              </w:rPr>
            </w:pPr>
            <w:r>
              <w:rPr>
                <w:rFonts w:hint="eastAsia" w:ascii="仿宋_GB2312" w:hAnsi="仿宋_GB2312" w:eastAsia="仿宋_GB2312" w:cs="仿宋_GB2312"/>
                <w:spacing w:val="-8"/>
                <w:sz w:val="24"/>
                <w:szCs w:val="24"/>
                <w:lang w:val="en-US" w:eastAsia="zh-CN"/>
              </w:rPr>
              <w:t>2</w:t>
            </w:r>
          </w:p>
        </w:tc>
        <w:tc>
          <w:tcPr>
            <w:tcW w:w="2355" w:type="dxa"/>
            <w:tcBorders>
              <w:top w:val="single" w:color="auto" w:sz="4" w:space="0"/>
              <w:bottom w:val="single" w:color="000000" w:sz="10" w:space="0"/>
            </w:tcBorders>
            <w:shd w:val="clear" w:color="auto" w:fill="auto"/>
            <w:vAlign w:val="center"/>
          </w:tcPr>
          <w:p w14:paraId="36DFE462">
            <w:pPr>
              <w:keepNext w:val="0"/>
              <w:keepLines w:val="0"/>
              <w:pageBreakBefore w:val="0"/>
              <w:widowControl w:val="0"/>
              <w:kinsoku/>
              <w:wordWrap/>
              <w:overflowPunct/>
              <w:topLinePunct w:val="0"/>
              <w:autoSpaceDE/>
              <w:autoSpaceDN/>
              <w:bidi w:val="0"/>
              <w:spacing w:before="68" w:line="320" w:lineRule="exact"/>
              <w:ind w:left="240" w:leftChars="100" w:right="127" w:rightChars="53" w:firstLine="0" w:firstLineChars="0"/>
              <w:jc w:val="center"/>
              <w:rPr>
                <w:rFonts w:hint="eastAsia" w:ascii="宋体" w:hAnsi="宋体" w:eastAsia="宋体" w:cs="宋体"/>
                <w:spacing w:val="-8"/>
                <w:sz w:val="21"/>
                <w:szCs w:val="21"/>
                <w:lang w:val="en-US" w:eastAsia="zh-CN"/>
              </w:rPr>
            </w:pPr>
            <w:r>
              <w:rPr>
                <w:rFonts w:hint="eastAsia" w:ascii="宋体" w:hAnsi="宋体" w:eastAsia="宋体" w:cs="宋体"/>
                <w:spacing w:val="-8"/>
                <w:sz w:val="21"/>
                <w:szCs w:val="21"/>
                <w:lang w:val="en-US" w:eastAsia="zh-CN"/>
              </w:rPr>
              <w:t>对超标或超总量排放污染物的行政处罚</w:t>
            </w:r>
          </w:p>
        </w:tc>
        <w:tc>
          <w:tcPr>
            <w:tcW w:w="1094" w:type="dxa"/>
            <w:tcBorders>
              <w:top w:val="single" w:color="auto" w:sz="4" w:space="0"/>
              <w:bottom w:val="single" w:color="000000" w:sz="10" w:space="0"/>
            </w:tcBorders>
            <w:shd w:val="clear" w:color="auto" w:fill="auto"/>
            <w:vAlign w:val="center"/>
          </w:tcPr>
          <w:p w14:paraId="68E6B40F">
            <w:pPr>
              <w:keepNext w:val="0"/>
              <w:keepLines w:val="0"/>
              <w:pageBreakBefore w:val="0"/>
              <w:widowControl w:val="0"/>
              <w:kinsoku/>
              <w:wordWrap/>
              <w:overflowPunct/>
              <w:topLinePunct w:val="0"/>
              <w:autoSpaceDE/>
              <w:autoSpaceDN/>
              <w:bidi w:val="0"/>
              <w:spacing w:before="68" w:line="320" w:lineRule="exact"/>
              <w:ind w:left="0" w:leftChars="0" w:firstLine="0" w:firstLineChars="0"/>
              <w:jc w:val="center"/>
              <w:rPr>
                <w:rFonts w:hint="eastAsia" w:ascii="仿宋_GB2312" w:hAnsi="仿宋_GB2312" w:eastAsia="仿宋_GB2312" w:cs="仿宋_GB2312"/>
                <w:spacing w:val="-8"/>
                <w:sz w:val="24"/>
                <w:szCs w:val="24"/>
                <w:lang w:val="en-US" w:eastAsia="zh-CN"/>
              </w:rPr>
            </w:pPr>
            <w:r>
              <w:rPr>
                <w:rFonts w:hint="eastAsia" w:ascii="仿宋_GB2312" w:hAnsi="仿宋_GB2312" w:eastAsia="仿宋_GB2312" w:cs="仿宋_GB2312"/>
                <w:spacing w:val="-8"/>
                <w:sz w:val="24"/>
                <w:szCs w:val="24"/>
                <w:lang w:val="en-US" w:eastAsia="zh-CN"/>
              </w:rPr>
              <w:t>行政处罚</w:t>
            </w:r>
          </w:p>
        </w:tc>
        <w:tc>
          <w:tcPr>
            <w:tcW w:w="8317" w:type="dxa"/>
            <w:tcBorders>
              <w:top w:val="single" w:color="auto" w:sz="4" w:space="0"/>
              <w:bottom w:val="single" w:color="000000" w:sz="10" w:space="0"/>
            </w:tcBorders>
            <w:shd w:val="clear" w:color="auto" w:fill="auto"/>
            <w:vAlign w:val="top"/>
          </w:tcPr>
          <w:p w14:paraId="5391AADE">
            <w:pPr>
              <w:keepNext w:val="0"/>
              <w:keepLines w:val="0"/>
              <w:pageBreakBefore w:val="0"/>
              <w:widowControl w:val="0"/>
              <w:suppressLineNumbers w:val="0"/>
              <w:kinsoku/>
              <w:wordWrap/>
              <w:overflowPunct/>
              <w:topLinePunct w:val="0"/>
              <w:autoSpaceDE/>
              <w:autoSpaceDN/>
              <w:bidi w:val="0"/>
              <w:adjustRightInd/>
              <w:snapToGrid/>
              <w:spacing w:after="0" w:afterLines="-2147483648" w:line="320" w:lineRule="exact"/>
              <w:ind w:left="240" w:leftChars="100" w:firstLine="420" w:firstLineChars="200"/>
              <w:jc w:val="both"/>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中华人民共和国环境保护法》第六十条企业事业单位和其他生产经营者超过污染物排放标准或者超过重点污染物排放总量控制指标排放污染物的，县级以上人民政府环境保护主管部门可以责令其采取限制生产、停产整治等措施；情节严重的，报经有批准权的人民政府批准，责令停业、关闭。</w:t>
            </w:r>
          </w:p>
          <w:p w14:paraId="5F300DDA">
            <w:pPr>
              <w:keepNext w:val="0"/>
              <w:keepLines w:val="0"/>
              <w:pageBreakBefore w:val="0"/>
              <w:widowControl w:val="0"/>
              <w:suppressLineNumbers w:val="0"/>
              <w:kinsoku/>
              <w:wordWrap/>
              <w:overflowPunct/>
              <w:topLinePunct w:val="0"/>
              <w:autoSpaceDE/>
              <w:autoSpaceDN/>
              <w:bidi w:val="0"/>
              <w:adjustRightInd/>
              <w:snapToGrid/>
              <w:spacing w:after="0" w:afterLines="-2147483648" w:line="320" w:lineRule="exact"/>
              <w:ind w:left="240" w:leftChars="100" w:firstLine="420" w:firstLineChars="200"/>
              <w:jc w:val="both"/>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中华人民共和国大气污染防治法》第九十九条违反本法规定，有下列行为之一的，由县级以上人民政府生态环境主管部门责令改正或者限制生产、停产整治，并处十万元以上一百万元以下的罚款；情节严重的，报经有批准权的人民政府批准，责令停业、关闭：（一）未依法取得排污许可证排放大气污染物的；（二）超过大气污染物排放标准或者超过重点大气污染物排放总量控制指标排放大气污染物的；（三）通过逃避监管的方式排放大气污染物的。</w:t>
            </w:r>
          </w:p>
          <w:p w14:paraId="0F45A015">
            <w:pPr>
              <w:keepNext w:val="0"/>
              <w:keepLines w:val="0"/>
              <w:pageBreakBefore w:val="0"/>
              <w:widowControl w:val="0"/>
              <w:suppressLineNumbers w:val="0"/>
              <w:kinsoku/>
              <w:wordWrap/>
              <w:overflowPunct/>
              <w:topLinePunct w:val="0"/>
              <w:autoSpaceDE/>
              <w:autoSpaceDN/>
              <w:bidi w:val="0"/>
              <w:adjustRightInd/>
              <w:snapToGrid/>
              <w:spacing w:after="0" w:afterLines="-2147483648" w:line="320" w:lineRule="exact"/>
              <w:ind w:left="240" w:leftChars="100" w:firstLine="420" w:firstLineChars="200"/>
              <w:jc w:val="both"/>
              <w:textAlignment w:val="center"/>
              <w:rPr>
                <w:rFonts w:ascii="宋体" w:hAnsi="宋体" w:eastAsia="宋体" w:cs="宋体"/>
                <w:spacing w:val="-1"/>
                <w:sz w:val="21"/>
                <w:szCs w:val="21"/>
                <w:lang w:val="en-US" w:eastAsia="zh-CN"/>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3.《中华人民共和国水污染防治法》第八十三条违反本法规定，有下列行为之一的，由县级以上人民政府环境保护主管部门责令改正或者责令限制生产、停产整治，并处十万元以上一百万元以下的罚款；情节严重的，报经有批准权的人民政府批准，责令停业、关闭：（二）超过水污染物排放标准或者超过重点水污染物排放总量控制指标排放水污染物的；</w:t>
            </w:r>
          </w:p>
        </w:tc>
        <w:tc>
          <w:tcPr>
            <w:tcW w:w="1129" w:type="dxa"/>
            <w:tcBorders>
              <w:top w:val="single" w:color="auto" w:sz="4" w:space="0"/>
              <w:bottom w:val="single" w:color="000000" w:sz="10" w:space="0"/>
            </w:tcBorders>
            <w:vAlign w:val="top"/>
          </w:tcPr>
          <w:p w14:paraId="362F7741">
            <w:pPr>
              <w:keepNext w:val="0"/>
              <w:keepLines w:val="0"/>
              <w:pageBreakBefore w:val="0"/>
              <w:widowControl w:val="0"/>
              <w:kinsoku/>
              <w:wordWrap/>
              <w:overflowPunct/>
              <w:topLinePunct w:val="0"/>
              <w:autoSpaceDE/>
              <w:autoSpaceDN/>
              <w:bidi w:val="0"/>
              <w:spacing w:before="68" w:line="320" w:lineRule="exact"/>
              <w:ind w:left="46" w:right="13"/>
              <w:rPr>
                <w:rFonts w:ascii="宋体" w:hAnsi="宋体" w:eastAsia="宋体" w:cs="宋体"/>
                <w:sz w:val="21"/>
                <w:szCs w:val="21"/>
              </w:rPr>
            </w:pPr>
          </w:p>
        </w:tc>
        <w:tc>
          <w:tcPr>
            <w:tcW w:w="990" w:type="dxa"/>
            <w:gridSpan w:val="2"/>
            <w:tcBorders>
              <w:top w:val="single" w:color="auto" w:sz="4" w:space="0"/>
              <w:bottom w:val="single" w:color="000000" w:sz="10" w:space="0"/>
              <w:right w:val="single" w:color="000000" w:sz="10" w:space="0"/>
            </w:tcBorders>
            <w:vAlign w:val="top"/>
          </w:tcPr>
          <w:p w14:paraId="5EE83A25">
            <w:pPr>
              <w:keepNext w:val="0"/>
              <w:keepLines w:val="0"/>
              <w:pageBreakBefore w:val="0"/>
              <w:widowControl w:val="0"/>
              <w:kinsoku/>
              <w:wordWrap/>
              <w:overflowPunct/>
              <w:topLinePunct w:val="0"/>
              <w:autoSpaceDE/>
              <w:autoSpaceDN/>
              <w:bidi w:val="0"/>
              <w:spacing w:before="68" w:line="320" w:lineRule="exact"/>
              <w:ind w:firstLine="88"/>
              <w:rPr>
                <w:rFonts w:ascii="宋体" w:hAnsi="宋体" w:eastAsia="宋体" w:cs="宋体"/>
                <w:sz w:val="21"/>
                <w:szCs w:val="21"/>
              </w:rPr>
            </w:pPr>
          </w:p>
        </w:tc>
      </w:tr>
      <w:tr w14:paraId="7638AB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557" w:type="dxa"/>
            <w:tcBorders>
              <w:left w:val="single" w:color="000000" w:sz="10" w:space="0"/>
              <w:bottom w:val="single" w:color="000000" w:sz="10" w:space="0"/>
            </w:tcBorders>
            <w:vAlign w:val="center"/>
          </w:tcPr>
          <w:p w14:paraId="56BB136D">
            <w:pPr>
              <w:keepNext w:val="0"/>
              <w:keepLines w:val="0"/>
              <w:pageBreakBefore w:val="0"/>
              <w:widowControl w:val="0"/>
              <w:kinsoku/>
              <w:wordWrap/>
              <w:overflowPunct/>
              <w:topLinePunct w:val="0"/>
              <w:autoSpaceDE/>
              <w:autoSpaceDN/>
              <w:bidi w:val="0"/>
              <w:spacing w:before="68" w:line="320" w:lineRule="exact"/>
              <w:ind w:left="0" w:leftChars="0" w:firstLine="0" w:firstLineChars="0"/>
              <w:jc w:val="center"/>
              <w:rPr>
                <w:rFonts w:hint="eastAsia" w:ascii="仿宋_GB2312" w:hAnsi="仿宋_GB2312" w:eastAsia="仿宋_GB2312" w:cs="仿宋_GB2312"/>
                <w:spacing w:val="-8"/>
                <w:sz w:val="24"/>
                <w:szCs w:val="24"/>
                <w:lang w:val="en-US" w:eastAsia="zh-CN"/>
              </w:rPr>
            </w:pPr>
            <w:r>
              <w:rPr>
                <w:rFonts w:hint="eastAsia" w:ascii="仿宋_GB2312" w:hAnsi="仿宋_GB2312" w:eastAsia="仿宋_GB2312" w:cs="仿宋_GB2312"/>
                <w:spacing w:val="-8"/>
                <w:sz w:val="24"/>
                <w:szCs w:val="24"/>
                <w:lang w:val="en-US" w:eastAsia="zh-CN"/>
              </w:rPr>
              <w:t>3</w:t>
            </w:r>
          </w:p>
        </w:tc>
        <w:tc>
          <w:tcPr>
            <w:tcW w:w="2355" w:type="dxa"/>
            <w:tcBorders>
              <w:bottom w:val="single" w:color="000000" w:sz="10" w:space="0"/>
            </w:tcBorders>
            <w:vAlign w:val="center"/>
          </w:tcPr>
          <w:p w14:paraId="57A50671">
            <w:pPr>
              <w:keepNext w:val="0"/>
              <w:keepLines w:val="0"/>
              <w:pageBreakBefore w:val="0"/>
              <w:widowControl w:val="0"/>
              <w:kinsoku/>
              <w:wordWrap/>
              <w:overflowPunct/>
              <w:topLinePunct w:val="0"/>
              <w:autoSpaceDE/>
              <w:autoSpaceDN/>
              <w:bidi w:val="0"/>
              <w:spacing w:before="68" w:line="320" w:lineRule="exact"/>
              <w:ind w:left="240" w:leftChars="100" w:right="127" w:rightChars="53" w:firstLine="0" w:firstLineChars="0"/>
              <w:jc w:val="center"/>
              <w:rPr>
                <w:rFonts w:hint="eastAsia" w:ascii="宋体" w:hAnsi="宋体" w:eastAsia="宋体" w:cs="宋体"/>
                <w:spacing w:val="-8"/>
                <w:sz w:val="21"/>
                <w:szCs w:val="21"/>
                <w:lang w:val="en-US" w:eastAsia="zh-CN"/>
              </w:rPr>
            </w:pPr>
            <w:r>
              <w:rPr>
                <w:rFonts w:hint="eastAsia" w:ascii="宋体" w:hAnsi="宋体" w:eastAsia="宋体" w:cs="宋体"/>
                <w:spacing w:val="-8"/>
                <w:sz w:val="21"/>
                <w:szCs w:val="21"/>
                <w:lang w:val="en-US" w:eastAsia="zh-CN"/>
              </w:rPr>
              <w:t>对违法排放污染物造成或者可能造成严重污染的行政强制</w:t>
            </w:r>
          </w:p>
        </w:tc>
        <w:tc>
          <w:tcPr>
            <w:tcW w:w="1094" w:type="dxa"/>
            <w:tcBorders>
              <w:bottom w:val="single" w:color="000000" w:sz="10" w:space="0"/>
            </w:tcBorders>
            <w:vAlign w:val="center"/>
          </w:tcPr>
          <w:p w14:paraId="3360C7FD">
            <w:pPr>
              <w:keepNext w:val="0"/>
              <w:keepLines w:val="0"/>
              <w:pageBreakBefore w:val="0"/>
              <w:widowControl w:val="0"/>
              <w:kinsoku/>
              <w:wordWrap/>
              <w:overflowPunct/>
              <w:topLinePunct w:val="0"/>
              <w:autoSpaceDE/>
              <w:autoSpaceDN/>
              <w:bidi w:val="0"/>
              <w:spacing w:before="68" w:line="320" w:lineRule="exact"/>
              <w:ind w:left="0" w:leftChars="0" w:firstLine="0" w:firstLineChars="0"/>
              <w:jc w:val="center"/>
              <w:rPr>
                <w:rFonts w:hint="eastAsia" w:ascii="仿宋_GB2312" w:hAnsi="仿宋_GB2312" w:eastAsia="仿宋_GB2312" w:cs="仿宋_GB2312"/>
                <w:spacing w:val="-8"/>
                <w:sz w:val="24"/>
                <w:szCs w:val="24"/>
                <w:lang w:val="en-US" w:eastAsia="zh-CN"/>
              </w:rPr>
            </w:pPr>
            <w:r>
              <w:rPr>
                <w:rFonts w:hint="eastAsia" w:ascii="仿宋_GB2312" w:hAnsi="仿宋_GB2312" w:eastAsia="仿宋_GB2312" w:cs="仿宋_GB2312"/>
                <w:spacing w:val="-8"/>
                <w:sz w:val="24"/>
                <w:szCs w:val="24"/>
                <w:lang w:val="en-US" w:eastAsia="zh-CN"/>
              </w:rPr>
              <w:t>行政强制</w:t>
            </w:r>
          </w:p>
        </w:tc>
        <w:tc>
          <w:tcPr>
            <w:tcW w:w="8317" w:type="dxa"/>
            <w:tcBorders>
              <w:bottom w:val="single" w:color="000000" w:sz="10" w:space="0"/>
            </w:tcBorders>
            <w:vAlign w:val="top"/>
          </w:tcPr>
          <w:p w14:paraId="19690D59">
            <w:pPr>
              <w:keepNext w:val="0"/>
              <w:keepLines w:val="0"/>
              <w:pageBreakBefore w:val="0"/>
              <w:widowControl w:val="0"/>
              <w:suppressLineNumbers w:val="0"/>
              <w:kinsoku/>
              <w:wordWrap/>
              <w:overflowPunct/>
              <w:topLinePunct w:val="0"/>
              <w:autoSpaceDE/>
              <w:autoSpaceDN/>
              <w:bidi w:val="0"/>
              <w:adjustRightInd/>
              <w:snapToGrid/>
              <w:spacing w:after="0" w:afterLines="-2147483648" w:line="320" w:lineRule="exact"/>
              <w:ind w:left="240" w:leftChars="100" w:firstLine="420" w:firstLineChars="200"/>
              <w:jc w:val="both"/>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中华人民共和国环境保护法》第二十五条企业事业单位和其他生产经营者违反法律法规规定排放污染物，造成或者可能造成严重污染的，县级以上人民政府环境保护主管部门和其他负有环境保护监督管理职责的部门，可以查封、扣押造成污染物排放的设施、设备。</w:t>
            </w:r>
          </w:p>
          <w:p w14:paraId="494CA7CA">
            <w:pPr>
              <w:keepNext w:val="0"/>
              <w:keepLines w:val="0"/>
              <w:pageBreakBefore w:val="0"/>
              <w:widowControl w:val="0"/>
              <w:suppressLineNumbers w:val="0"/>
              <w:kinsoku/>
              <w:wordWrap/>
              <w:overflowPunct/>
              <w:topLinePunct w:val="0"/>
              <w:autoSpaceDE/>
              <w:autoSpaceDN/>
              <w:bidi w:val="0"/>
              <w:adjustRightInd/>
              <w:snapToGrid/>
              <w:spacing w:after="0" w:afterLines="-2147483648" w:line="320" w:lineRule="exact"/>
              <w:ind w:left="240" w:leftChars="100" w:firstLine="420" w:firstLineChars="200"/>
              <w:jc w:val="both"/>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中华人民共和国大气污染防治法》第三十条企业事业单位和其他生产经营者违反法律法规规定排放大气污染物，造成或者可能造成严重大气污染，或者有关证据可能灭失或者被隐匿的，县级以上人民政府生态环境主管部门和其他负有大气环境保护监督管理职责的部门，可以对有关设施、设备、物品采取查封、扣押等行政强制措施。</w:t>
            </w:r>
          </w:p>
          <w:p w14:paraId="5DA34629">
            <w:pPr>
              <w:keepNext w:val="0"/>
              <w:keepLines w:val="0"/>
              <w:pageBreakBefore w:val="0"/>
              <w:widowControl w:val="0"/>
              <w:suppressLineNumbers w:val="0"/>
              <w:kinsoku/>
              <w:wordWrap/>
              <w:overflowPunct/>
              <w:topLinePunct w:val="0"/>
              <w:autoSpaceDE/>
              <w:autoSpaceDN/>
              <w:bidi w:val="0"/>
              <w:adjustRightInd/>
              <w:snapToGrid/>
              <w:spacing w:after="0" w:afterLines="-2147483648" w:line="320" w:lineRule="exact"/>
              <w:ind w:left="240" w:leftChars="100" w:firstLine="420" w:firstLineChars="200"/>
              <w:jc w:val="both"/>
              <w:textAlignment w:val="center"/>
              <w:rPr>
                <w:rFonts w:ascii="宋体" w:hAnsi="宋体" w:eastAsia="宋体" w:cs="宋体"/>
                <w:sz w:val="21"/>
                <w:szCs w:val="21"/>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3.《中华人民共和国固体废物污染环境防治法》第二十七条有下列情形之一，生态环境主管部门和其他负有固体废物污染环境防治监督管理职责的部门，可以对违法收集、贮存、运输、利用、处置的固体废物及设施、设备、场所、工具、物品予以查封、扣押。（一）可能造成证据灭失、被隐匿或者非法转移的；（二）造成或者可能造成严重环境污染的。</w:t>
            </w:r>
          </w:p>
        </w:tc>
        <w:tc>
          <w:tcPr>
            <w:tcW w:w="1129" w:type="dxa"/>
            <w:tcBorders>
              <w:bottom w:val="single" w:color="000000" w:sz="10" w:space="0"/>
            </w:tcBorders>
            <w:vAlign w:val="top"/>
          </w:tcPr>
          <w:p w14:paraId="78AD6E32">
            <w:pPr>
              <w:keepNext w:val="0"/>
              <w:keepLines w:val="0"/>
              <w:pageBreakBefore w:val="0"/>
              <w:widowControl w:val="0"/>
              <w:kinsoku/>
              <w:wordWrap/>
              <w:overflowPunct/>
              <w:topLinePunct w:val="0"/>
              <w:autoSpaceDE/>
              <w:autoSpaceDN/>
              <w:bidi w:val="0"/>
              <w:spacing w:before="68" w:line="320" w:lineRule="exact"/>
              <w:ind w:left="46" w:right="13"/>
              <w:rPr>
                <w:rFonts w:ascii="宋体" w:hAnsi="宋体" w:eastAsia="宋体" w:cs="宋体"/>
                <w:sz w:val="21"/>
                <w:szCs w:val="21"/>
              </w:rPr>
            </w:pPr>
          </w:p>
        </w:tc>
        <w:tc>
          <w:tcPr>
            <w:tcW w:w="990" w:type="dxa"/>
            <w:gridSpan w:val="2"/>
            <w:tcBorders>
              <w:bottom w:val="single" w:color="000000" w:sz="10" w:space="0"/>
              <w:right w:val="single" w:color="000000" w:sz="10" w:space="0"/>
            </w:tcBorders>
            <w:vAlign w:val="top"/>
          </w:tcPr>
          <w:p w14:paraId="2D9BA979">
            <w:pPr>
              <w:keepNext w:val="0"/>
              <w:keepLines w:val="0"/>
              <w:pageBreakBefore w:val="0"/>
              <w:widowControl w:val="0"/>
              <w:kinsoku/>
              <w:wordWrap/>
              <w:overflowPunct/>
              <w:topLinePunct w:val="0"/>
              <w:autoSpaceDE/>
              <w:autoSpaceDN/>
              <w:bidi w:val="0"/>
              <w:spacing w:before="68" w:line="320" w:lineRule="exact"/>
              <w:ind w:firstLine="88"/>
              <w:rPr>
                <w:rFonts w:ascii="宋体" w:hAnsi="宋体" w:eastAsia="宋体" w:cs="宋体"/>
                <w:sz w:val="21"/>
                <w:szCs w:val="21"/>
              </w:rPr>
            </w:pPr>
          </w:p>
        </w:tc>
      </w:tr>
      <w:tr w14:paraId="58D842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15" w:hRule="atLeast"/>
        </w:trPr>
        <w:tc>
          <w:tcPr>
            <w:tcW w:w="557" w:type="dxa"/>
            <w:tcBorders>
              <w:left w:val="single" w:color="000000" w:sz="10" w:space="0"/>
              <w:bottom w:val="single" w:color="000000" w:sz="10" w:space="0"/>
            </w:tcBorders>
            <w:vAlign w:val="center"/>
          </w:tcPr>
          <w:p w14:paraId="113D03E3">
            <w:pPr>
              <w:keepNext w:val="0"/>
              <w:keepLines w:val="0"/>
              <w:pageBreakBefore w:val="0"/>
              <w:widowControl w:val="0"/>
              <w:kinsoku/>
              <w:wordWrap/>
              <w:overflowPunct/>
              <w:topLinePunct w:val="0"/>
              <w:autoSpaceDE/>
              <w:autoSpaceDN/>
              <w:bidi w:val="0"/>
              <w:spacing w:before="68" w:line="320" w:lineRule="exact"/>
              <w:ind w:left="0" w:leftChars="0" w:firstLine="0" w:firstLineChars="0"/>
              <w:jc w:val="center"/>
              <w:rPr>
                <w:rFonts w:hint="eastAsia" w:ascii="仿宋_GB2312" w:hAnsi="仿宋_GB2312" w:eastAsia="仿宋_GB2312" w:cs="仿宋_GB2312"/>
                <w:spacing w:val="-8"/>
                <w:sz w:val="24"/>
                <w:szCs w:val="24"/>
                <w:lang w:val="en-US" w:eastAsia="zh-CN"/>
              </w:rPr>
            </w:pPr>
            <w:r>
              <w:rPr>
                <w:rFonts w:hint="eastAsia" w:ascii="仿宋_GB2312" w:hAnsi="仿宋_GB2312" w:eastAsia="仿宋_GB2312" w:cs="仿宋_GB2312"/>
                <w:spacing w:val="-8"/>
                <w:sz w:val="24"/>
                <w:szCs w:val="24"/>
                <w:lang w:val="en-US" w:eastAsia="zh-CN"/>
              </w:rPr>
              <w:t>4</w:t>
            </w:r>
          </w:p>
        </w:tc>
        <w:tc>
          <w:tcPr>
            <w:tcW w:w="2355" w:type="dxa"/>
            <w:tcBorders>
              <w:bottom w:val="single" w:color="000000" w:sz="10" w:space="0"/>
            </w:tcBorders>
            <w:vAlign w:val="center"/>
          </w:tcPr>
          <w:p w14:paraId="0478A457">
            <w:pPr>
              <w:keepNext w:val="0"/>
              <w:keepLines w:val="0"/>
              <w:pageBreakBefore w:val="0"/>
              <w:widowControl w:val="0"/>
              <w:kinsoku/>
              <w:wordWrap/>
              <w:overflowPunct/>
              <w:topLinePunct w:val="0"/>
              <w:autoSpaceDE/>
              <w:autoSpaceDN/>
              <w:bidi w:val="0"/>
              <w:spacing w:before="68" w:line="320" w:lineRule="exact"/>
              <w:ind w:left="240" w:leftChars="100" w:right="127" w:rightChars="53" w:firstLine="0" w:firstLineChars="0"/>
              <w:jc w:val="center"/>
              <w:rPr>
                <w:rFonts w:hint="eastAsia" w:ascii="宋体" w:hAnsi="宋体" w:eastAsia="宋体" w:cs="宋体"/>
                <w:spacing w:val="-8"/>
                <w:sz w:val="21"/>
                <w:szCs w:val="21"/>
                <w:lang w:val="en-US" w:eastAsia="zh-CN"/>
              </w:rPr>
            </w:pPr>
            <w:r>
              <w:rPr>
                <w:rFonts w:hint="eastAsia" w:ascii="宋体" w:hAnsi="宋体" w:eastAsia="宋体" w:cs="宋体"/>
                <w:spacing w:val="-8"/>
                <w:sz w:val="21"/>
                <w:szCs w:val="21"/>
                <w:lang w:val="en-US" w:eastAsia="zh-CN"/>
              </w:rPr>
              <w:t>对企事业单位等不公开或者不如实公开环境信息的行政处罚</w:t>
            </w:r>
          </w:p>
        </w:tc>
        <w:tc>
          <w:tcPr>
            <w:tcW w:w="1094" w:type="dxa"/>
            <w:tcBorders>
              <w:bottom w:val="single" w:color="000000" w:sz="10" w:space="0"/>
            </w:tcBorders>
            <w:vAlign w:val="center"/>
          </w:tcPr>
          <w:p w14:paraId="75166E3D">
            <w:pPr>
              <w:keepNext w:val="0"/>
              <w:keepLines w:val="0"/>
              <w:pageBreakBefore w:val="0"/>
              <w:widowControl w:val="0"/>
              <w:kinsoku/>
              <w:wordWrap/>
              <w:overflowPunct/>
              <w:topLinePunct w:val="0"/>
              <w:autoSpaceDE/>
              <w:autoSpaceDN/>
              <w:bidi w:val="0"/>
              <w:spacing w:before="68" w:line="320" w:lineRule="exact"/>
              <w:ind w:left="0" w:leftChars="0" w:firstLine="0" w:firstLineChars="0"/>
              <w:jc w:val="center"/>
              <w:rPr>
                <w:rFonts w:hint="eastAsia" w:ascii="仿宋_GB2312" w:hAnsi="仿宋_GB2312" w:eastAsia="仿宋_GB2312" w:cs="仿宋_GB2312"/>
                <w:spacing w:val="-8"/>
                <w:sz w:val="24"/>
                <w:szCs w:val="24"/>
                <w:lang w:val="en-US" w:eastAsia="zh-CN"/>
              </w:rPr>
            </w:pPr>
            <w:r>
              <w:rPr>
                <w:rFonts w:hint="eastAsia" w:ascii="仿宋_GB2312" w:hAnsi="仿宋_GB2312" w:eastAsia="仿宋_GB2312" w:cs="仿宋_GB2312"/>
                <w:spacing w:val="-8"/>
                <w:sz w:val="24"/>
                <w:szCs w:val="24"/>
                <w:lang w:val="en-US" w:eastAsia="zh-CN"/>
              </w:rPr>
              <w:t>行政处罚</w:t>
            </w:r>
          </w:p>
        </w:tc>
        <w:tc>
          <w:tcPr>
            <w:tcW w:w="8317" w:type="dxa"/>
            <w:tcBorders>
              <w:bottom w:val="single" w:color="000000" w:sz="10" w:space="0"/>
            </w:tcBorders>
            <w:vAlign w:val="top"/>
          </w:tcPr>
          <w:p w14:paraId="775FD4FA">
            <w:pPr>
              <w:keepNext w:val="0"/>
              <w:keepLines w:val="0"/>
              <w:pageBreakBefore w:val="0"/>
              <w:widowControl w:val="0"/>
              <w:suppressLineNumbers w:val="0"/>
              <w:kinsoku/>
              <w:wordWrap/>
              <w:overflowPunct/>
              <w:topLinePunct w:val="0"/>
              <w:autoSpaceDE/>
              <w:autoSpaceDN/>
              <w:bidi w:val="0"/>
              <w:adjustRightInd/>
              <w:snapToGrid/>
              <w:spacing w:after="0" w:afterLines="-2147483648" w:line="320" w:lineRule="exact"/>
              <w:ind w:left="240" w:leftChars="100" w:firstLine="420" w:firstLineChars="200"/>
              <w:jc w:val="both"/>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中华人民共和国环境保护法》第五十五条重点排污单位应当如实向社会公开其主要污染物的名称、排放方式、排放浓度和总量、超标排放情况，以及防治污染设施的建设和运行情况，接受社会监督。第六十二条违反本法规定，重点排污单位不公开或者不如实公开环境信息的，由县级以上地方人民政府环境保护主管部门责令公开，处以罚款，并予以公告。</w:t>
            </w:r>
          </w:p>
          <w:p w14:paraId="3F3F59AE">
            <w:pPr>
              <w:keepNext w:val="0"/>
              <w:keepLines w:val="0"/>
              <w:pageBreakBefore w:val="0"/>
              <w:widowControl w:val="0"/>
              <w:suppressLineNumbers w:val="0"/>
              <w:kinsoku/>
              <w:wordWrap/>
              <w:overflowPunct/>
              <w:topLinePunct w:val="0"/>
              <w:autoSpaceDE/>
              <w:autoSpaceDN/>
              <w:bidi w:val="0"/>
              <w:adjustRightInd/>
              <w:snapToGrid/>
              <w:spacing w:after="0" w:afterLines="-2147483648" w:line="320" w:lineRule="exact"/>
              <w:ind w:left="240" w:leftChars="100" w:firstLine="420" w:firstLineChars="200"/>
              <w:jc w:val="both"/>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中华人民共和国清洁生产促进法》第十七条省、自治区、直辖市人民政府负责清洁生产综合协调的部门、环境保护部门，根据促进清洁生产工作的需要，在本地区主要媒体上公布未达到能源消耗控制指标、重点污染物排放控制指标的企业的名单，为公众监督企业实施清洁生产提供依据。列入前款规定名单的企业，应当按照国务院清洁生产综合协调部门、环境保护部门的规定公布能源消耗或者重点污染物产生、排放情况，接受公众监督。第三十六条违反本法第十七条第二款规定，未按照规定公布能源消耗或者重点污染物产生、排放情况的，由县级以上地方人民政府负责清洁生产综合协调的部门、环境保护部门按照职责分工责令公布，可以处十万元以下的罚款。</w:t>
            </w:r>
          </w:p>
          <w:p w14:paraId="4EAD1B79">
            <w:pPr>
              <w:keepNext w:val="0"/>
              <w:keepLines w:val="0"/>
              <w:pageBreakBefore w:val="0"/>
              <w:widowControl w:val="0"/>
              <w:suppressLineNumbers w:val="0"/>
              <w:kinsoku/>
              <w:wordWrap/>
              <w:overflowPunct/>
              <w:topLinePunct w:val="0"/>
              <w:autoSpaceDE/>
              <w:autoSpaceDN/>
              <w:bidi w:val="0"/>
              <w:adjustRightInd/>
              <w:snapToGrid/>
              <w:spacing w:after="0" w:afterLines="-2147483648" w:line="320" w:lineRule="exact"/>
              <w:ind w:left="240" w:leftChars="100" w:firstLine="420" w:firstLineChars="200"/>
              <w:jc w:val="both"/>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3.《企业事业单位环境信息公开办法》第十六条重点排污单位违反本办法规定，有下列行为之一的，由县级以上环境保护主管部门根据《中华人民共和国环境保护法》的规定责令公开，处三万元以下罚款，并予以公告：（一）不公开或者不按照本办法第九条规定的内容公开环境信息的；（二）不按照本办法第十条规定的方式公开环境信息的；（三）不按照本办法第十一条规定的时限公开环境信息的；（四）公开内容不真实、弄虚作假的。法律、法规另有规定的，从其规定。</w:t>
            </w:r>
          </w:p>
          <w:p w14:paraId="047D2FC9">
            <w:pPr>
              <w:keepNext w:val="0"/>
              <w:keepLines w:val="0"/>
              <w:pageBreakBefore w:val="0"/>
              <w:widowControl w:val="0"/>
              <w:suppressLineNumbers w:val="0"/>
              <w:kinsoku/>
              <w:wordWrap/>
              <w:overflowPunct/>
              <w:topLinePunct w:val="0"/>
              <w:autoSpaceDE/>
              <w:autoSpaceDN/>
              <w:bidi w:val="0"/>
              <w:adjustRightInd/>
              <w:snapToGrid/>
              <w:spacing w:after="0" w:afterLines="-2147483648" w:line="320" w:lineRule="exact"/>
              <w:ind w:left="240" w:leftChars="100" w:firstLine="420" w:firstLineChars="200"/>
              <w:jc w:val="both"/>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4.《排污许可管理办法（试行）》第五十五条重点排污单位未依法公开或者不如实公开有关环境信息的，由县级以上环境保护主管部门责令公开，依法处以罚款，并予以公告。</w:t>
            </w:r>
          </w:p>
          <w:p w14:paraId="2C0D34AD">
            <w:pPr>
              <w:keepNext w:val="0"/>
              <w:keepLines w:val="0"/>
              <w:pageBreakBefore w:val="0"/>
              <w:widowControl w:val="0"/>
              <w:suppressLineNumbers w:val="0"/>
              <w:kinsoku/>
              <w:wordWrap/>
              <w:overflowPunct/>
              <w:topLinePunct w:val="0"/>
              <w:autoSpaceDE/>
              <w:autoSpaceDN/>
              <w:bidi w:val="0"/>
              <w:adjustRightInd/>
              <w:snapToGrid/>
              <w:spacing w:after="0" w:afterLines="-2147483648" w:line="320" w:lineRule="exact"/>
              <w:ind w:left="240" w:leftChars="100" w:firstLine="420" w:firstLineChars="200"/>
              <w:jc w:val="both"/>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5.《中华人民共和国大气污染防治法》第一百条违反本法规定，有下列行为之一的，由县级以上人民政府生态环境主管部门责令改正，处二万元以上二十万元以下的罚款；拒不改正的，责令停产整治：（四）重点排污单位不公开或者不如实公开自动监测数据的；</w:t>
            </w:r>
          </w:p>
          <w:p w14:paraId="3BFBCDD4">
            <w:pPr>
              <w:keepNext w:val="0"/>
              <w:keepLines w:val="0"/>
              <w:pageBreakBefore w:val="0"/>
              <w:widowControl w:val="0"/>
              <w:suppressLineNumbers w:val="0"/>
              <w:kinsoku/>
              <w:wordWrap/>
              <w:overflowPunct/>
              <w:topLinePunct w:val="0"/>
              <w:autoSpaceDE/>
              <w:autoSpaceDN/>
              <w:bidi w:val="0"/>
              <w:adjustRightInd/>
              <w:snapToGrid/>
              <w:spacing w:after="0" w:afterLines="-2147483648" w:line="320" w:lineRule="exact"/>
              <w:ind w:left="240" w:leftChars="100" w:firstLine="420" w:firstLineChars="200"/>
              <w:jc w:val="both"/>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6.《中华人民共和国水污染防治法》第八十二条违反本法规定，有下列行为之一的，由县级以上人民政府环境保护主管部门责令限期改正，处二万元以上二十万元以下的罚款；逾期不改正的，责令停产整治：（三）未按照规定对有毒有害水污染物的排污口和周边环境进行监测，或者未公开有毒有害水污染物信息的。</w:t>
            </w:r>
          </w:p>
          <w:p w14:paraId="6FF50BD6">
            <w:pPr>
              <w:keepNext w:val="0"/>
              <w:keepLines w:val="0"/>
              <w:pageBreakBefore w:val="0"/>
              <w:widowControl w:val="0"/>
              <w:suppressLineNumbers w:val="0"/>
              <w:kinsoku/>
              <w:wordWrap/>
              <w:overflowPunct/>
              <w:topLinePunct w:val="0"/>
              <w:autoSpaceDE/>
              <w:autoSpaceDN/>
              <w:bidi w:val="0"/>
              <w:adjustRightInd/>
              <w:snapToGrid/>
              <w:spacing w:after="0" w:afterLines="-2147483648" w:line="320" w:lineRule="exact"/>
              <w:ind w:left="240" w:leftChars="100" w:firstLine="420" w:firstLineChars="200"/>
              <w:jc w:val="both"/>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7.《中华人民共和国固体废物污染环境防治法》第一百零二条违反本法规定，有下列行为之一，由生态环境主管部门责令改正，处以罚款，没收违法所得；情节严重的，报经有批准权的人民政府批准，可以责令停业或者关闭：（一）产生、收集、贮存、运输、利用、处置固体废物的单位未依法及时公开固体废物污染环境防治信息的；（二）生活垃圾处理单位未按照国家有关规定安装使用监测设备、实时监测污染物的排放情况并公开污染排放数据的；有前款第一项、第八项行为之一，处五万元以上二十万元以下的罚款；有前款第二项、第三项、第四项、第五项、第六项、第九项、第十项、第十一项行为之一，处十万元以上一百万元以下的罚款；</w:t>
            </w:r>
          </w:p>
          <w:p w14:paraId="0AC6CEC2">
            <w:pPr>
              <w:keepNext w:val="0"/>
              <w:keepLines w:val="0"/>
              <w:pageBreakBefore w:val="0"/>
              <w:widowControl w:val="0"/>
              <w:suppressLineNumbers w:val="0"/>
              <w:kinsoku/>
              <w:wordWrap/>
              <w:overflowPunct/>
              <w:topLinePunct w:val="0"/>
              <w:autoSpaceDE/>
              <w:autoSpaceDN/>
              <w:bidi w:val="0"/>
              <w:adjustRightInd/>
              <w:snapToGrid/>
              <w:spacing w:after="0" w:afterLines="-2147483648" w:line="320" w:lineRule="exact"/>
              <w:ind w:left="240" w:leftChars="100" w:firstLine="420" w:firstLineChars="200"/>
              <w:jc w:val="both"/>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8.《建设项目环境保护管理条例》第二十三条第二款违反本条例规定，建设单位未依法向社会公开环境保护设施验收报告的，由县级以上环境保护行政主管部门责令公开，处5万元以上20万元以下的罚款，并予以公告。</w:t>
            </w:r>
          </w:p>
          <w:p w14:paraId="325F373E">
            <w:pPr>
              <w:keepNext w:val="0"/>
              <w:keepLines w:val="0"/>
              <w:pageBreakBefore w:val="0"/>
              <w:widowControl w:val="0"/>
              <w:suppressLineNumbers w:val="0"/>
              <w:kinsoku/>
              <w:wordWrap/>
              <w:overflowPunct/>
              <w:topLinePunct w:val="0"/>
              <w:autoSpaceDE/>
              <w:autoSpaceDN/>
              <w:bidi w:val="0"/>
              <w:adjustRightInd/>
              <w:snapToGrid/>
              <w:spacing w:after="0" w:afterLines="-2147483648" w:line="320" w:lineRule="exact"/>
              <w:ind w:left="240" w:leftChars="100" w:firstLine="420" w:firstLineChars="200"/>
              <w:jc w:val="both"/>
              <w:textAlignment w:val="center"/>
              <w:rPr>
                <w:rFonts w:ascii="宋体" w:hAnsi="宋体" w:eastAsia="宋体" w:cs="宋体"/>
                <w:spacing w:val="-1"/>
                <w:sz w:val="21"/>
                <w:szCs w:val="21"/>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9.《突发环境事件应急管理办法》第三十八条企业事业单位有下列情形之一的，由县级以上环境保护主管部门责令改正，可以处一万元以上三万元以下罚款：（六）未按规定公开突发环境事件相关信息的。</w:t>
            </w:r>
          </w:p>
        </w:tc>
        <w:tc>
          <w:tcPr>
            <w:tcW w:w="1129" w:type="dxa"/>
            <w:tcBorders>
              <w:bottom w:val="single" w:color="000000" w:sz="10" w:space="0"/>
            </w:tcBorders>
            <w:vAlign w:val="top"/>
          </w:tcPr>
          <w:p w14:paraId="0E5F10C4">
            <w:pPr>
              <w:keepNext w:val="0"/>
              <w:keepLines w:val="0"/>
              <w:pageBreakBefore w:val="0"/>
              <w:widowControl w:val="0"/>
              <w:kinsoku/>
              <w:wordWrap/>
              <w:overflowPunct/>
              <w:topLinePunct w:val="0"/>
              <w:autoSpaceDE/>
              <w:autoSpaceDN/>
              <w:bidi w:val="0"/>
              <w:spacing w:before="68" w:line="320" w:lineRule="exact"/>
              <w:ind w:left="46" w:right="13"/>
              <w:rPr>
                <w:rFonts w:ascii="宋体" w:hAnsi="宋体" w:eastAsia="宋体" w:cs="宋体"/>
                <w:sz w:val="21"/>
                <w:szCs w:val="21"/>
              </w:rPr>
            </w:pPr>
          </w:p>
        </w:tc>
        <w:tc>
          <w:tcPr>
            <w:tcW w:w="990" w:type="dxa"/>
            <w:gridSpan w:val="2"/>
            <w:tcBorders>
              <w:bottom w:val="single" w:color="000000" w:sz="10" w:space="0"/>
              <w:right w:val="single" w:color="000000" w:sz="10" w:space="0"/>
            </w:tcBorders>
            <w:vAlign w:val="top"/>
          </w:tcPr>
          <w:p w14:paraId="3500E0AA">
            <w:pPr>
              <w:keepNext w:val="0"/>
              <w:keepLines w:val="0"/>
              <w:pageBreakBefore w:val="0"/>
              <w:widowControl w:val="0"/>
              <w:kinsoku/>
              <w:wordWrap/>
              <w:overflowPunct/>
              <w:topLinePunct w:val="0"/>
              <w:autoSpaceDE/>
              <w:autoSpaceDN/>
              <w:bidi w:val="0"/>
              <w:spacing w:before="68" w:line="320" w:lineRule="exact"/>
              <w:ind w:firstLine="88"/>
              <w:rPr>
                <w:rFonts w:ascii="宋体" w:hAnsi="宋体" w:eastAsia="宋体" w:cs="宋体"/>
                <w:sz w:val="21"/>
                <w:szCs w:val="21"/>
              </w:rPr>
            </w:pPr>
          </w:p>
        </w:tc>
      </w:tr>
      <w:tr w14:paraId="385AB9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40" w:hRule="atLeast"/>
        </w:trPr>
        <w:tc>
          <w:tcPr>
            <w:tcW w:w="557" w:type="dxa"/>
            <w:tcBorders>
              <w:left w:val="single" w:color="000000" w:sz="10" w:space="0"/>
              <w:bottom w:val="single" w:color="000000" w:sz="10" w:space="0"/>
            </w:tcBorders>
            <w:vAlign w:val="center"/>
          </w:tcPr>
          <w:p w14:paraId="626C7979">
            <w:pPr>
              <w:keepNext w:val="0"/>
              <w:keepLines w:val="0"/>
              <w:pageBreakBefore w:val="0"/>
              <w:widowControl w:val="0"/>
              <w:kinsoku/>
              <w:wordWrap/>
              <w:overflowPunct/>
              <w:topLinePunct w:val="0"/>
              <w:autoSpaceDE/>
              <w:autoSpaceDN/>
              <w:bidi w:val="0"/>
              <w:spacing w:before="68" w:line="320" w:lineRule="exact"/>
              <w:ind w:left="0" w:leftChars="0" w:firstLine="0" w:firstLineChars="0"/>
              <w:jc w:val="center"/>
              <w:rPr>
                <w:rFonts w:hint="eastAsia" w:ascii="仿宋_GB2312" w:hAnsi="仿宋_GB2312" w:eastAsia="仿宋_GB2312" w:cs="仿宋_GB2312"/>
                <w:spacing w:val="-8"/>
                <w:sz w:val="24"/>
                <w:szCs w:val="24"/>
                <w:lang w:val="en-US" w:eastAsia="zh-CN"/>
              </w:rPr>
            </w:pPr>
            <w:r>
              <w:rPr>
                <w:rFonts w:hint="eastAsia" w:ascii="仿宋_GB2312" w:hAnsi="仿宋_GB2312" w:eastAsia="仿宋_GB2312" w:cs="仿宋_GB2312"/>
                <w:spacing w:val="-8"/>
                <w:sz w:val="24"/>
                <w:szCs w:val="24"/>
                <w:lang w:val="en-US" w:eastAsia="zh-CN"/>
              </w:rPr>
              <w:t>5</w:t>
            </w:r>
          </w:p>
        </w:tc>
        <w:tc>
          <w:tcPr>
            <w:tcW w:w="2355" w:type="dxa"/>
            <w:tcBorders>
              <w:bottom w:val="single" w:color="000000" w:sz="10" w:space="0"/>
            </w:tcBorders>
            <w:vAlign w:val="center"/>
          </w:tcPr>
          <w:p w14:paraId="47E88F62">
            <w:pPr>
              <w:keepNext w:val="0"/>
              <w:keepLines w:val="0"/>
              <w:pageBreakBefore w:val="0"/>
              <w:widowControl w:val="0"/>
              <w:kinsoku/>
              <w:wordWrap/>
              <w:overflowPunct/>
              <w:topLinePunct w:val="0"/>
              <w:autoSpaceDE/>
              <w:autoSpaceDN/>
              <w:bidi w:val="0"/>
              <w:spacing w:before="68" w:line="320" w:lineRule="exact"/>
              <w:ind w:left="240" w:leftChars="100" w:right="127" w:rightChars="53" w:firstLine="0" w:firstLineChars="0"/>
              <w:jc w:val="center"/>
              <w:rPr>
                <w:rFonts w:hint="eastAsia" w:ascii="宋体" w:hAnsi="宋体" w:eastAsia="宋体" w:cs="宋体"/>
                <w:spacing w:val="-8"/>
                <w:sz w:val="21"/>
                <w:szCs w:val="21"/>
                <w:lang w:val="en-US" w:eastAsia="zh-CN"/>
              </w:rPr>
            </w:pPr>
            <w:r>
              <w:rPr>
                <w:rFonts w:hint="eastAsia" w:ascii="宋体" w:hAnsi="宋体" w:eastAsia="宋体" w:cs="宋体"/>
                <w:spacing w:val="-8"/>
                <w:sz w:val="21"/>
                <w:szCs w:val="21"/>
                <w:lang w:val="en-US" w:eastAsia="zh-CN"/>
              </w:rPr>
              <w:t>对不实施强制性清洁生产审核或者在清洁生产审核中弄虚作假等行为的行政处罚</w:t>
            </w:r>
          </w:p>
        </w:tc>
        <w:tc>
          <w:tcPr>
            <w:tcW w:w="1094" w:type="dxa"/>
            <w:tcBorders>
              <w:bottom w:val="single" w:color="000000" w:sz="10" w:space="0"/>
            </w:tcBorders>
            <w:vAlign w:val="center"/>
          </w:tcPr>
          <w:p w14:paraId="7114FEBE">
            <w:pPr>
              <w:keepNext w:val="0"/>
              <w:keepLines w:val="0"/>
              <w:pageBreakBefore w:val="0"/>
              <w:widowControl w:val="0"/>
              <w:kinsoku/>
              <w:wordWrap/>
              <w:overflowPunct/>
              <w:topLinePunct w:val="0"/>
              <w:autoSpaceDE/>
              <w:autoSpaceDN/>
              <w:bidi w:val="0"/>
              <w:spacing w:before="68" w:line="320" w:lineRule="exact"/>
              <w:ind w:left="0" w:leftChars="0" w:firstLine="0" w:firstLineChars="0"/>
              <w:jc w:val="center"/>
              <w:rPr>
                <w:rFonts w:hint="eastAsia" w:ascii="仿宋_GB2312" w:hAnsi="仿宋_GB2312" w:eastAsia="仿宋_GB2312" w:cs="仿宋_GB2312"/>
                <w:spacing w:val="-8"/>
                <w:sz w:val="24"/>
                <w:szCs w:val="24"/>
                <w:lang w:val="en-US" w:eastAsia="zh-CN"/>
              </w:rPr>
            </w:pPr>
            <w:r>
              <w:rPr>
                <w:rFonts w:hint="eastAsia" w:ascii="仿宋_GB2312" w:hAnsi="仿宋_GB2312" w:eastAsia="仿宋_GB2312" w:cs="仿宋_GB2312"/>
                <w:spacing w:val="-8"/>
                <w:sz w:val="24"/>
                <w:szCs w:val="24"/>
                <w:lang w:val="en-US" w:eastAsia="zh-CN"/>
              </w:rPr>
              <w:t>行政处罚</w:t>
            </w:r>
          </w:p>
        </w:tc>
        <w:tc>
          <w:tcPr>
            <w:tcW w:w="8317" w:type="dxa"/>
            <w:tcBorders>
              <w:bottom w:val="single" w:color="000000" w:sz="10" w:space="0"/>
            </w:tcBorders>
            <w:vAlign w:val="top"/>
          </w:tcPr>
          <w:p w14:paraId="3889F788">
            <w:pPr>
              <w:keepNext w:val="0"/>
              <w:keepLines w:val="0"/>
              <w:pageBreakBefore w:val="0"/>
              <w:widowControl w:val="0"/>
              <w:suppressLineNumbers w:val="0"/>
              <w:kinsoku/>
              <w:wordWrap/>
              <w:overflowPunct/>
              <w:topLinePunct w:val="0"/>
              <w:autoSpaceDE/>
              <w:autoSpaceDN/>
              <w:bidi w:val="0"/>
              <w:adjustRightInd/>
              <w:snapToGrid/>
              <w:spacing w:after="0" w:afterLines="-2147483648" w:line="320" w:lineRule="exact"/>
              <w:ind w:left="240" w:leftChars="100" w:firstLine="420" w:firstLineChars="200"/>
              <w:jc w:val="both"/>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中华人民共和国清洁生产促进法》第二十七条企业应当对生产和服务过程中的资源消耗以及废物的产生情况进行监测，并根据需要对生产和服务实施清洁生产审核。有下列情形之一的企业，应当实施强制性清洁生产审核：（一）污染物排放超过国家或者地方规定的排放标准，或者虽未超过国家或者地方规定的排放标准，但超过重点污染物排放总量控制指标的；（二）超过单位产品能源消耗限额标准构成高耗能的；（三）使用有毒、有害原料进行生产或者在生产中排放有毒、有害物质的。</w:t>
            </w:r>
          </w:p>
          <w:p w14:paraId="20011783">
            <w:pPr>
              <w:keepNext w:val="0"/>
              <w:keepLines w:val="0"/>
              <w:pageBreakBefore w:val="0"/>
              <w:widowControl w:val="0"/>
              <w:suppressLineNumbers w:val="0"/>
              <w:kinsoku/>
              <w:wordWrap/>
              <w:overflowPunct/>
              <w:topLinePunct w:val="0"/>
              <w:autoSpaceDE/>
              <w:autoSpaceDN/>
              <w:bidi w:val="0"/>
              <w:adjustRightInd/>
              <w:snapToGrid/>
              <w:spacing w:after="0" w:afterLines="-2147483648" w:line="320" w:lineRule="exact"/>
              <w:ind w:left="240" w:leftChars="100" w:firstLine="420" w:firstLineChars="200"/>
              <w:jc w:val="both"/>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污染物排放超过国家或者地方规定的排放标准的企业，应当按照环境保护相关法律的规定治理。实施强制性清洁生产审核的企业，应当将审核结果向所在地县级以上地方人民政府负责清洁生产综合协调的部门、环境保护部门报告，并在本地区主要媒体上公布，接受公众监督，但涉及商业秘密的除外。县级以上地方人民政府有关部门应当对企业实施强制性清洁生产审核的情况进行监督，必要时可以组织对企业实施清洁生产的效果进行评估验收，所需费用纳入同级政府预算。承担评估验收工作的部门或者单位不得向被评估验收企业收取费用。实施清洁生产审核的具体办法，由国务院清洁生产综合协调部门、环境保护部门会同国务院有关部门制定。</w:t>
            </w:r>
          </w:p>
          <w:p w14:paraId="1C21DCB8">
            <w:pPr>
              <w:keepNext w:val="0"/>
              <w:keepLines w:val="0"/>
              <w:pageBreakBefore w:val="0"/>
              <w:widowControl w:val="0"/>
              <w:suppressLineNumbers w:val="0"/>
              <w:kinsoku/>
              <w:wordWrap/>
              <w:overflowPunct/>
              <w:topLinePunct w:val="0"/>
              <w:autoSpaceDE/>
              <w:autoSpaceDN/>
              <w:bidi w:val="0"/>
              <w:adjustRightInd/>
              <w:snapToGrid/>
              <w:spacing w:after="0" w:afterLines="-2147483648" w:line="320" w:lineRule="exact"/>
              <w:ind w:left="240" w:leftChars="100" w:firstLine="420" w:firstLineChars="200"/>
              <w:jc w:val="both"/>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第三十九条第一款违反本法第二十七条第二款、第四款规定，不实施强制性清洁生产审核或者在清洁生产审核中弄虚作假的，或者实施强制性清洁生产审核的企业不报告或者不如实报告审核结果的，由县级以上地方人民政府负责清洁生产综合协调的部门、环境保护部门按照职责分工责令限期改正；拒不改正的，处以五万元以上五十万元以下的罚款。</w:t>
            </w:r>
          </w:p>
        </w:tc>
        <w:tc>
          <w:tcPr>
            <w:tcW w:w="1129" w:type="dxa"/>
            <w:tcBorders>
              <w:bottom w:val="single" w:color="000000" w:sz="10" w:space="0"/>
            </w:tcBorders>
            <w:vAlign w:val="top"/>
          </w:tcPr>
          <w:p w14:paraId="0AD7F162">
            <w:pPr>
              <w:keepNext w:val="0"/>
              <w:keepLines w:val="0"/>
              <w:pageBreakBefore w:val="0"/>
              <w:widowControl w:val="0"/>
              <w:kinsoku/>
              <w:wordWrap/>
              <w:overflowPunct/>
              <w:topLinePunct w:val="0"/>
              <w:autoSpaceDE/>
              <w:autoSpaceDN/>
              <w:bidi w:val="0"/>
              <w:spacing w:before="68" w:line="320" w:lineRule="exact"/>
              <w:ind w:left="46" w:right="13"/>
              <w:rPr>
                <w:rFonts w:ascii="宋体" w:hAnsi="宋体" w:eastAsia="宋体" w:cs="宋体"/>
                <w:sz w:val="21"/>
                <w:szCs w:val="21"/>
              </w:rPr>
            </w:pPr>
          </w:p>
        </w:tc>
        <w:tc>
          <w:tcPr>
            <w:tcW w:w="990" w:type="dxa"/>
            <w:gridSpan w:val="2"/>
            <w:tcBorders>
              <w:bottom w:val="single" w:color="000000" w:sz="10" w:space="0"/>
              <w:right w:val="single" w:color="000000" w:sz="10" w:space="0"/>
            </w:tcBorders>
            <w:vAlign w:val="top"/>
          </w:tcPr>
          <w:p w14:paraId="1CF364D3">
            <w:pPr>
              <w:keepNext w:val="0"/>
              <w:keepLines w:val="0"/>
              <w:pageBreakBefore w:val="0"/>
              <w:widowControl w:val="0"/>
              <w:kinsoku/>
              <w:wordWrap/>
              <w:overflowPunct/>
              <w:topLinePunct w:val="0"/>
              <w:autoSpaceDE/>
              <w:autoSpaceDN/>
              <w:bidi w:val="0"/>
              <w:spacing w:before="68" w:line="320" w:lineRule="exact"/>
              <w:ind w:firstLine="88"/>
              <w:rPr>
                <w:rFonts w:ascii="宋体" w:hAnsi="宋体" w:eastAsia="宋体" w:cs="宋体"/>
                <w:sz w:val="21"/>
                <w:szCs w:val="21"/>
              </w:rPr>
            </w:pPr>
          </w:p>
        </w:tc>
      </w:tr>
      <w:tr w14:paraId="7A004B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557" w:type="dxa"/>
            <w:tcBorders>
              <w:left w:val="single" w:color="000000" w:sz="10" w:space="0"/>
              <w:bottom w:val="single" w:color="000000" w:sz="10" w:space="0"/>
            </w:tcBorders>
            <w:shd w:val="clear" w:color="auto" w:fill="auto"/>
            <w:vAlign w:val="center"/>
          </w:tcPr>
          <w:p w14:paraId="13C47A78">
            <w:pPr>
              <w:keepNext w:val="0"/>
              <w:keepLines w:val="0"/>
              <w:pageBreakBefore w:val="0"/>
              <w:widowControl w:val="0"/>
              <w:kinsoku/>
              <w:wordWrap/>
              <w:overflowPunct/>
              <w:topLinePunct w:val="0"/>
              <w:autoSpaceDE/>
              <w:autoSpaceDN/>
              <w:bidi w:val="0"/>
              <w:spacing w:before="68" w:line="320" w:lineRule="exact"/>
              <w:ind w:left="0" w:leftChars="0" w:firstLine="0" w:firstLineChars="0"/>
              <w:jc w:val="center"/>
              <w:rPr>
                <w:rFonts w:hint="eastAsia" w:ascii="仿宋_GB2312" w:hAnsi="仿宋_GB2312" w:eastAsia="仿宋_GB2312" w:cs="仿宋_GB2312"/>
                <w:spacing w:val="-8"/>
                <w:sz w:val="24"/>
                <w:szCs w:val="24"/>
                <w:lang w:val="en-US" w:eastAsia="zh-CN"/>
              </w:rPr>
            </w:pPr>
            <w:r>
              <w:rPr>
                <w:rFonts w:hint="eastAsia" w:ascii="仿宋_GB2312" w:hAnsi="仿宋_GB2312" w:eastAsia="仿宋_GB2312" w:cs="仿宋_GB2312"/>
                <w:spacing w:val="-8"/>
                <w:sz w:val="24"/>
                <w:szCs w:val="24"/>
                <w:lang w:val="en-US" w:eastAsia="zh-CN"/>
              </w:rPr>
              <w:t>6</w:t>
            </w:r>
          </w:p>
        </w:tc>
        <w:tc>
          <w:tcPr>
            <w:tcW w:w="2355" w:type="dxa"/>
            <w:tcBorders>
              <w:bottom w:val="single" w:color="000000" w:sz="10" w:space="0"/>
            </w:tcBorders>
            <w:shd w:val="clear" w:color="auto" w:fill="auto"/>
            <w:vAlign w:val="center"/>
          </w:tcPr>
          <w:p w14:paraId="74193BCD">
            <w:pPr>
              <w:keepNext w:val="0"/>
              <w:keepLines w:val="0"/>
              <w:pageBreakBefore w:val="0"/>
              <w:widowControl w:val="0"/>
              <w:kinsoku/>
              <w:wordWrap/>
              <w:overflowPunct/>
              <w:topLinePunct w:val="0"/>
              <w:autoSpaceDE/>
              <w:autoSpaceDN/>
              <w:bidi w:val="0"/>
              <w:spacing w:before="68" w:line="320" w:lineRule="exact"/>
              <w:ind w:left="240" w:leftChars="100" w:right="127" w:rightChars="53" w:firstLine="0" w:firstLineChars="0"/>
              <w:jc w:val="center"/>
              <w:rPr>
                <w:rFonts w:hint="eastAsia" w:ascii="宋体" w:hAnsi="宋体" w:eastAsia="宋体" w:cs="宋体"/>
                <w:spacing w:val="-8"/>
                <w:sz w:val="21"/>
                <w:szCs w:val="21"/>
                <w:lang w:val="en-US" w:eastAsia="zh-CN"/>
              </w:rPr>
            </w:pPr>
            <w:r>
              <w:rPr>
                <w:rFonts w:hint="eastAsia" w:ascii="宋体" w:hAnsi="宋体" w:eastAsia="宋体" w:cs="宋体"/>
                <w:spacing w:val="-8"/>
                <w:sz w:val="21"/>
                <w:szCs w:val="21"/>
                <w:lang w:val="en-US" w:eastAsia="zh-CN"/>
              </w:rPr>
              <w:t>对排污单位未申请或未依法取得排污许可证但排放污染物等行为的行政处罚</w:t>
            </w:r>
          </w:p>
        </w:tc>
        <w:tc>
          <w:tcPr>
            <w:tcW w:w="1094" w:type="dxa"/>
            <w:tcBorders>
              <w:bottom w:val="single" w:color="000000" w:sz="10" w:space="0"/>
            </w:tcBorders>
            <w:shd w:val="clear" w:color="auto" w:fill="auto"/>
            <w:vAlign w:val="center"/>
          </w:tcPr>
          <w:p w14:paraId="6F8F4EF7">
            <w:pPr>
              <w:keepNext w:val="0"/>
              <w:keepLines w:val="0"/>
              <w:pageBreakBefore w:val="0"/>
              <w:widowControl w:val="0"/>
              <w:kinsoku/>
              <w:wordWrap/>
              <w:overflowPunct/>
              <w:topLinePunct w:val="0"/>
              <w:autoSpaceDE/>
              <w:autoSpaceDN/>
              <w:bidi w:val="0"/>
              <w:spacing w:before="68" w:line="320" w:lineRule="exact"/>
              <w:ind w:left="0" w:leftChars="0" w:firstLine="0" w:firstLineChars="0"/>
              <w:jc w:val="center"/>
              <w:rPr>
                <w:rFonts w:hint="eastAsia" w:ascii="仿宋_GB2312" w:hAnsi="仿宋_GB2312" w:eastAsia="仿宋_GB2312" w:cs="仿宋_GB2312"/>
                <w:spacing w:val="-8"/>
                <w:sz w:val="24"/>
                <w:szCs w:val="24"/>
                <w:lang w:val="en-US" w:eastAsia="zh-CN"/>
              </w:rPr>
            </w:pPr>
            <w:r>
              <w:rPr>
                <w:rFonts w:hint="eastAsia" w:ascii="仿宋_GB2312" w:hAnsi="仿宋_GB2312" w:eastAsia="仿宋_GB2312" w:cs="仿宋_GB2312"/>
                <w:spacing w:val="-8"/>
                <w:sz w:val="24"/>
                <w:szCs w:val="24"/>
                <w:lang w:val="en-US" w:eastAsia="zh-CN"/>
              </w:rPr>
              <w:t>行政处罚</w:t>
            </w:r>
          </w:p>
        </w:tc>
        <w:tc>
          <w:tcPr>
            <w:tcW w:w="8317" w:type="dxa"/>
            <w:tcBorders>
              <w:bottom w:val="single" w:color="000000" w:sz="10" w:space="0"/>
            </w:tcBorders>
            <w:shd w:val="clear" w:color="auto" w:fill="auto"/>
            <w:vAlign w:val="top"/>
          </w:tcPr>
          <w:p w14:paraId="44829F54">
            <w:pPr>
              <w:keepNext w:val="0"/>
              <w:keepLines w:val="0"/>
              <w:pageBreakBefore w:val="0"/>
              <w:widowControl w:val="0"/>
              <w:suppressLineNumbers w:val="0"/>
              <w:kinsoku/>
              <w:wordWrap/>
              <w:overflowPunct/>
              <w:topLinePunct w:val="0"/>
              <w:autoSpaceDE/>
              <w:autoSpaceDN/>
              <w:bidi w:val="0"/>
              <w:adjustRightInd/>
              <w:snapToGrid/>
              <w:spacing w:after="0" w:afterLines="-2147483648" w:line="320" w:lineRule="exact"/>
              <w:ind w:left="240" w:leftChars="100" w:firstLine="420" w:firstLineChars="200"/>
              <w:jc w:val="both"/>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中华人民共和国大气污染防治法》第九十九条第一款第一项违反本法规定，有下列行为之一的，由县级以上人民政府生态环境主管部门责令改正或者限制生产、停产整治，并处十万元以上一百万元以下的罚款；情节严重的，报经有批准权的人民政府批准，责令停业、关闭：（一）未依法取得排污许可证排放大气污染物的；</w:t>
            </w:r>
          </w:p>
          <w:p w14:paraId="33ED04B4">
            <w:pPr>
              <w:keepNext w:val="0"/>
              <w:keepLines w:val="0"/>
              <w:pageBreakBefore w:val="0"/>
              <w:widowControl w:val="0"/>
              <w:suppressLineNumbers w:val="0"/>
              <w:kinsoku/>
              <w:wordWrap/>
              <w:overflowPunct/>
              <w:topLinePunct w:val="0"/>
              <w:autoSpaceDE/>
              <w:autoSpaceDN/>
              <w:bidi w:val="0"/>
              <w:adjustRightInd/>
              <w:snapToGrid/>
              <w:spacing w:after="0" w:afterLines="-2147483648" w:line="320" w:lineRule="exact"/>
              <w:ind w:left="240" w:leftChars="100" w:firstLine="420" w:firstLineChars="200"/>
              <w:jc w:val="both"/>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中华人民共和国水污染防治法》第八十三条违反本法规定，有下列行为之一的，由县级以上人民政府环境保护主管部门责令改正或者责令限制生产、停产整治，并处十万元以上一百万元以下的罚款；情节严重的，报经有批准权的人民政府批准，责令停业、关闭：（一）未依法取得排污许可证排放水污染物的；（二）超过水污染物排放标准或者超过重点水污染物排放总量控制指标排放水污染物的；（三）利用渗井、渗坑、裂隙、溶洞，私设暗管，篡改、伪造监测数据，或者不正常运行水污染防治设施等逃避监管的方式排放水污染物的；（四）未按照规定进行预处理，向污水集中处理设施排放不符合处理工艺要求的工业废水的。</w:t>
            </w:r>
          </w:p>
          <w:p w14:paraId="0C475188">
            <w:pPr>
              <w:keepNext w:val="0"/>
              <w:keepLines w:val="0"/>
              <w:pageBreakBefore w:val="0"/>
              <w:widowControl w:val="0"/>
              <w:suppressLineNumbers w:val="0"/>
              <w:kinsoku/>
              <w:wordWrap/>
              <w:overflowPunct/>
              <w:topLinePunct w:val="0"/>
              <w:autoSpaceDE/>
              <w:autoSpaceDN/>
              <w:bidi w:val="0"/>
              <w:adjustRightInd/>
              <w:snapToGrid/>
              <w:spacing w:after="0" w:afterLines="-2147483648" w:line="320" w:lineRule="exact"/>
              <w:ind w:left="240" w:leftChars="100" w:firstLine="420" w:firstLineChars="200"/>
              <w:jc w:val="both"/>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3.《中华人民共和国固体废物污染环境防治法》第一百零四条违反本法规定，未依法取得排污许可证产生工业固体废物的，由生态环境主管部门责令改正或者限制生产、停产整治，处十万元以上一百万元以下的罚款；情节严重的，报经有批准权的人民政府批准，责令停业或者关闭。</w:t>
            </w:r>
          </w:p>
          <w:p w14:paraId="38FC2DD5">
            <w:pPr>
              <w:keepNext w:val="0"/>
              <w:keepLines w:val="0"/>
              <w:pageBreakBefore w:val="0"/>
              <w:widowControl w:val="0"/>
              <w:suppressLineNumbers w:val="0"/>
              <w:kinsoku/>
              <w:wordWrap/>
              <w:overflowPunct/>
              <w:topLinePunct w:val="0"/>
              <w:autoSpaceDE/>
              <w:autoSpaceDN/>
              <w:bidi w:val="0"/>
              <w:adjustRightInd/>
              <w:snapToGrid/>
              <w:spacing w:after="0" w:afterLines="-2147483648" w:line="320" w:lineRule="exact"/>
              <w:ind w:left="240" w:leftChars="100" w:firstLine="420" w:firstLineChars="200"/>
              <w:jc w:val="both"/>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4.《排污许可管理办法（试行）》第五十七条排污单位存在以下无排污许可证排放污染物情形的，由县级以上生态环境主管部门依据《中华人民共和国大气污染防治法》《中华人民共和国水污染防治法》的规定，责令改正或者责令限制生产、停产整治，并处十万元以上一百万元以下的罚款；情节严重的，报经有批准权的人民政府批准，责令停业、关闭：（一）依法应当申请排污许可证但未申请，或者申请后未取得排污许可证排放污染物的；（二）排污许可证有效期限届满后未申请延续排污许可证，或者延续申请未经核发环保部门许可仍排放污染物的；（三）被依法撤销排污许可证后仍排放污染物的；（四）法律法规规定的其他情形。</w:t>
            </w:r>
          </w:p>
          <w:p w14:paraId="5864C74B">
            <w:pPr>
              <w:keepNext w:val="0"/>
              <w:keepLines w:val="0"/>
              <w:pageBreakBefore w:val="0"/>
              <w:widowControl w:val="0"/>
              <w:suppressLineNumbers w:val="0"/>
              <w:kinsoku/>
              <w:wordWrap/>
              <w:overflowPunct/>
              <w:topLinePunct w:val="0"/>
              <w:autoSpaceDE/>
              <w:autoSpaceDN/>
              <w:bidi w:val="0"/>
              <w:adjustRightInd/>
              <w:snapToGrid/>
              <w:spacing w:after="0" w:afterLines="-2147483648" w:line="320" w:lineRule="exact"/>
              <w:ind w:left="240" w:leftChars="100" w:firstLine="420" w:firstLineChars="200"/>
              <w:jc w:val="both"/>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5.《陕西省渭河流域管理条例（2012修订）》第六十四条违反本条例第二十八条规定，未取得排污许可证、伪造排污许可证、持过期排污许可证或者排污许可证已被撤销、吊销、注销，排污单位排放污染物的，由环境保护行政主管部门责令停止排放污染物，处一万元以上十万元以下罚款。</w:t>
            </w:r>
          </w:p>
        </w:tc>
        <w:tc>
          <w:tcPr>
            <w:tcW w:w="1129" w:type="dxa"/>
            <w:tcBorders>
              <w:bottom w:val="single" w:color="000000" w:sz="10" w:space="0"/>
            </w:tcBorders>
            <w:vAlign w:val="top"/>
          </w:tcPr>
          <w:p w14:paraId="7163F4D8">
            <w:pPr>
              <w:keepNext w:val="0"/>
              <w:keepLines w:val="0"/>
              <w:pageBreakBefore w:val="0"/>
              <w:widowControl w:val="0"/>
              <w:kinsoku/>
              <w:wordWrap/>
              <w:overflowPunct/>
              <w:topLinePunct w:val="0"/>
              <w:autoSpaceDE/>
              <w:autoSpaceDN/>
              <w:bidi w:val="0"/>
              <w:spacing w:before="68" w:line="320" w:lineRule="exact"/>
              <w:ind w:left="46" w:right="13"/>
              <w:rPr>
                <w:rFonts w:ascii="宋体" w:hAnsi="宋体" w:eastAsia="宋体" w:cs="宋体"/>
                <w:sz w:val="21"/>
                <w:szCs w:val="21"/>
              </w:rPr>
            </w:pPr>
          </w:p>
        </w:tc>
        <w:tc>
          <w:tcPr>
            <w:tcW w:w="990" w:type="dxa"/>
            <w:gridSpan w:val="2"/>
            <w:tcBorders>
              <w:bottom w:val="single" w:color="000000" w:sz="10" w:space="0"/>
              <w:right w:val="single" w:color="000000" w:sz="10" w:space="0"/>
            </w:tcBorders>
            <w:vAlign w:val="top"/>
          </w:tcPr>
          <w:p w14:paraId="3D7A02FC">
            <w:pPr>
              <w:keepNext w:val="0"/>
              <w:keepLines w:val="0"/>
              <w:pageBreakBefore w:val="0"/>
              <w:widowControl w:val="0"/>
              <w:kinsoku/>
              <w:wordWrap/>
              <w:overflowPunct/>
              <w:topLinePunct w:val="0"/>
              <w:autoSpaceDE/>
              <w:autoSpaceDN/>
              <w:bidi w:val="0"/>
              <w:spacing w:before="68" w:line="320" w:lineRule="exact"/>
              <w:ind w:firstLine="88"/>
              <w:rPr>
                <w:rFonts w:ascii="宋体" w:hAnsi="宋体" w:eastAsia="宋体" w:cs="宋体"/>
                <w:sz w:val="21"/>
                <w:szCs w:val="21"/>
              </w:rPr>
            </w:pPr>
          </w:p>
        </w:tc>
      </w:tr>
      <w:tr w14:paraId="3159AD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1" w:hRule="atLeast"/>
        </w:trPr>
        <w:tc>
          <w:tcPr>
            <w:tcW w:w="557" w:type="dxa"/>
            <w:tcBorders>
              <w:left w:val="single" w:color="000000" w:sz="10" w:space="0"/>
            </w:tcBorders>
            <w:vAlign w:val="center"/>
          </w:tcPr>
          <w:p w14:paraId="3236CBDA">
            <w:pPr>
              <w:keepNext w:val="0"/>
              <w:keepLines w:val="0"/>
              <w:pageBreakBefore w:val="0"/>
              <w:widowControl w:val="0"/>
              <w:kinsoku/>
              <w:wordWrap/>
              <w:overflowPunct/>
              <w:topLinePunct w:val="0"/>
              <w:autoSpaceDE/>
              <w:autoSpaceDN/>
              <w:bidi w:val="0"/>
              <w:spacing w:before="68" w:line="320" w:lineRule="exact"/>
              <w:ind w:left="0" w:leftChars="0" w:firstLine="0" w:firstLineChars="0"/>
              <w:jc w:val="center"/>
              <w:rPr>
                <w:rFonts w:hint="eastAsia" w:ascii="仿宋_GB2312" w:hAnsi="仿宋_GB2312" w:eastAsia="仿宋_GB2312" w:cs="仿宋_GB2312"/>
                <w:spacing w:val="-8"/>
                <w:sz w:val="24"/>
                <w:szCs w:val="24"/>
                <w:lang w:val="en-US" w:eastAsia="zh-CN"/>
              </w:rPr>
            </w:pPr>
            <w:r>
              <w:rPr>
                <w:rFonts w:hint="eastAsia" w:ascii="仿宋_GB2312" w:hAnsi="仿宋_GB2312" w:eastAsia="仿宋_GB2312" w:cs="仿宋_GB2312"/>
                <w:spacing w:val="-8"/>
                <w:sz w:val="24"/>
                <w:szCs w:val="24"/>
                <w:lang w:val="en-US" w:eastAsia="zh-CN"/>
              </w:rPr>
              <w:t>7</w:t>
            </w:r>
          </w:p>
        </w:tc>
        <w:tc>
          <w:tcPr>
            <w:tcW w:w="2355" w:type="dxa"/>
            <w:vAlign w:val="center"/>
          </w:tcPr>
          <w:p w14:paraId="17E1E40D">
            <w:pPr>
              <w:keepNext w:val="0"/>
              <w:keepLines w:val="0"/>
              <w:pageBreakBefore w:val="0"/>
              <w:widowControl w:val="0"/>
              <w:kinsoku/>
              <w:wordWrap/>
              <w:overflowPunct/>
              <w:topLinePunct w:val="0"/>
              <w:autoSpaceDE/>
              <w:autoSpaceDN/>
              <w:bidi w:val="0"/>
              <w:spacing w:before="68" w:line="320" w:lineRule="exact"/>
              <w:ind w:left="240" w:leftChars="100" w:right="127" w:rightChars="53" w:firstLine="0" w:firstLineChars="0"/>
              <w:jc w:val="center"/>
              <w:rPr>
                <w:rFonts w:hint="eastAsia" w:ascii="宋体" w:hAnsi="宋体" w:eastAsia="宋体" w:cs="宋体"/>
                <w:spacing w:val="-8"/>
                <w:sz w:val="21"/>
                <w:szCs w:val="21"/>
                <w:lang w:val="en-US" w:eastAsia="zh-CN"/>
              </w:rPr>
            </w:pPr>
            <w:r>
              <w:rPr>
                <w:rFonts w:hint="eastAsia" w:ascii="宋体" w:hAnsi="宋体" w:eastAsia="宋体" w:cs="宋体"/>
                <w:spacing w:val="-8"/>
                <w:sz w:val="21"/>
                <w:szCs w:val="21"/>
                <w:lang w:val="en-US" w:eastAsia="zh-CN"/>
              </w:rPr>
              <w:t>对排污单位隐瞒有关情况或者提供虚假材料申请行政许可的行政处罚</w:t>
            </w:r>
          </w:p>
        </w:tc>
        <w:tc>
          <w:tcPr>
            <w:tcW w:w="1094" w:type="dxa"/>
            <w:vAlign w:val="center"/>
          </w:tcPr>
          <w:p w14:paraId="035FAE22">
            <w:pPr>
              <w:keepNext w:val="0"/>
              <w:keepLines w:val="0"/>
              <w:pageBreakBefore w:val="0"/>
              <w:widowControl w:val="0"/>
              <w:kinsoku/>
              <w:wordWrap/>
              <w:overflowPunct/>
              <w:topLinePunct w:val="0"/>
              <w:autoSpaceDE/>
              <w:autoSpaceDN/>
              <w:bidi w:val="0"/>
              <w:spacing w:before="68" w:line="320" w:lineRule="exact"/>
              <w:ind w:left="0" w:leftChars="0" w:firstLine="0" w:firstLineChars="0"/>
              <w:jc w:val="center"/>
              <w:rPr>
                <w:rFonts w:hint="eastAsia" w:ascii="仿宋_GB2312" w:hAnsi="仿宋_GB2312" w:eastAsia="仿宋_GB2312" w:cs="仿宋_GB2312"/>
                <w:spacing w:val="-8"/>
                <w:sz w:val="24"/>
                <w:szCs w:val="24"/>
                <w:lang w:val="en-US" w:eastAsia="zh-CN"/>
              </w:rPr>
            </w:pPr>
            <w:r>
              <w:rPr>
                <w:rFonts w:hint="eastAsia" w:ascii="仿宋_GB2312" w:hAnsi="仿宋_GB2312" w:eastAsia="仿宋_GB2312" w:cs="仿宋_GB2312"/>
                <w:spacing w:val="-8"/>
                <w:sz w:val="24"/>
                <w:szCs w:val="24"/>
                <w:lang w:val="en-US" w:eastAsia="zh-CN"/>
              </w:rPr>
              <w:t>行政处罚</w:t>
            </w:r>
          </w:p>
        </w:tc>
        <w:tc>
          <w:tcPr>
            <w:tcW w:w="8317" w:type="dxa"/>
            <w:vAlign w:val="top"/>
          </w:tcPr>
          <w:p w14:paraId="549F8503">
            <w:pPr>
              <w:keepNext w:val="0"/>
              <w:keepLines w:val="0"/>
              <w:pageBreakBefore w:val="0"/>
              <w:widowControl w:val="0"/>
              <w:suppressLineNumbers w:val="0"/>
              <w:kinsoku/>
              <w:wordWrap/>
              <w:overflowPunct/>
              <w:topLinePunct w:val="0"/>
              <w:autoSpaceDE/>
              <w:autoSpaceDN/>
              <w:bidi w:val="0"/>
              <w:adjustRightInd/>
              <w:snapToGrid/>
              <w:spacing w:after="0" w:afterLines="-2147483648" w:line="320" w:lineRule="exact"/>
              <w:ind w:left="240" w:leftChars="100" w:firstLine="420" w:firstLineChars="200"/>
              <w:jc w:val="both"/>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1.《排污许可管理办法（试行）》第五十三条排污单位隐瞒有关情况或者提供虚假材料申请行政许可的，核发环保部门不予受理或者不予行政许可，并给予警告。</w:t>
            </w:r>
          </w:p>
        </w:tc>
        <w:tc>
          <w:tcPr>
            <w:tcW w:w="1130" w:type="dxa"/>
            <w:gridSpan w:val="2"/>
            <w:vAlign w:val="top"/>
          </w:tcPr>
          <w:p w14:paraId="7F0BDB53">
            <w:pPr>
              <w:keepNext w:val="0"/>
              <w:keepLines w:val="0"/>
              <w:pageBreakBefore w:val="0"/>
              <w:widowControl w:val="0"/>
              <w:kinsoku/>
              <w:wordWrap/>
              <w:overflowPunct/>
              <w:topLinePunct w:val="0"/>
              <w:autoSpaceDE/>
              <w:autoSpaceDN/>
              <w:bidi w:val="0"/>
              <w:spacing w:before="158" w:line="320" w:lineRule="exact"/>
              <w:ind w:left="46" w:right="26"/>
              <w:rPr>
                <w:rFonts w:ascii="宋体" w:hAnsi="宋体" w:eastAsia="宋体" w:cs="宋体"/>
                <w:sz w:val="21"/>
                <w:szCs w:val="21"/>
              </w:rPr>
            </w:pPr>
          </w:p>
        </w:tc>
        <w:tc>
          <w:tcPr>
            <w:tcW w:w="989" w:type="dxa"/>
            <w:tcBorders>
              <w:right w:val="single" w:color="000000" w:sz="10" w:space="0"/>
            </w:tcBorders>
            <w:vAlign w:val="top"/>
          </w:tcPr>
          <w:p w14:paraId="36F3202D">
            <w:pPr>
              <w:keepNext w:val="0"/>
              <w:keepLines w:val="0"/>
              <w:pageBreakBefore w:val="0"/>
              <w:widowControl w:val="0"/>
              <w:kinsoku/>
              <w:wordWrap/>
              <w:overflowPunct/>
              <w:topLinePunct w:val="0"/>
              <w:autoSpaceDE/>
              <w:autoSpaceDN/>
              <w:bidi w:val="0"/>
              <w:spacing w:before="288" w:line="320" w:lineRule="exact"/>
              <w:ind w:firstLine="87"/>
              <w:rPr>
                <w:rFonts w:ascii="宋体" w:hAnsi="宋体" w:eastAsia="宋体" w:cs="宋体"/>
                <w:sz w:val="21"/>
                <w:szCs w:val="21"/>
              </w:rPr>
            </w:pPr>
          </w:p>
        </w:tc>
      </w:tr>
      <w:tr w14:paraId="793B38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1" w:hRule="atLeast"/>
        </w:trPr>
        <w:tc>
          <w:tcPr>
            <w:tcW w:w="557" w:type="dxa"/>
            <w:tcBorders>
              <w:left w:val="single" w:color="000000" w:sz="10" w:space="0"/>
            </w:tcBorders>
            <w:shd w:val="clear" w:color="auto" w:fill="auto"/>
            <w:vAlign w:val="center"/>
          </w:tcPr>
          <w:p w14:paraId="31C2C4EF">
            <w:pPr>
              <w:keepNext w:val="0"/>
              <w:keepLines w:val="0"/>
              <w:pageBreakBefore w:val="0"/>
              <w:widowControl w:val="0"/>
              <w:kinsoku/>
              <w:wordWrap/>
              <w:overflowPunct/>
              <w:topLinePunct w:val="0"/>
              <w:autoSpaceDE/>
              <w:autoSpaceDN/>
              <w:bidi w:val="0"/>
              <w:spacing w:before="68" w:line="320" w:lineRule="exact"/>
              <w:ind w:left="0" w:leftChars="0" w:firstLine="0" w:firstLineChars="0"/>
              <w:jc w:val="center"/>
              <w:rPr>
                <w:rFonts w:hint="eastAsia" w:ascii="仿宋_GB2312" w:hAnsi="仿宋_GB2312" w:eastAsia="仿宋_GB2312" w:cs="仿宋_GB2312"/>
                <w:spacing w:val="-8"/>
                <w:sz w:val="24"/>
                <w:szCs w:val="24"/>
                <w:lang w:val="en-US" w:eastAsia="zh-CN"/>
              </w:rPr>
            </w:pPr>
            <w:r>
              <w:rPr>
                <w:rFonts w:hint="eastAsia" w:ascii="仿宋_GB2312" w:hAnsi="仿宋_GB2312" w:eastAsia="仿宋_GB2312" w:cs="仿宋_GB2312"/>
                <w:spacing w:val="-8"/>
                <w:sz w:val="24"/>
                <w:szCs w:val="24"/>
                <w:lang w:val="en-US" w:eastAsia="zh-CN"/>
              </w:rPr>
              <w:t>8</w:t>
            </w:r>
          </w:p>
        </w:tc>
        <w:tc>
          <w:tcPr>
            <w:tcW w:w="2355" w:type="dxa"/>
            <w:shd w:val="clear" w:color="auto" w:fill="auto"/>
            <w:vAlign w:val="center"/>
          </w:tcPr>
          <w:p w14:paraId="5B8AC495">
            <w:pPr>
              <w:keepNext w:val="0"/>
              <w:keepLines w:val="0"/>
              <w:pageBreakBefore w:val="0"/>
              <w:widowControl w:val="0"/>
              <w:kinsoku/>
              <w:wordWrap/>
              <w:overflowPunct/>
              <w:topLinePunct w:val="0"/>
              <w:autoSpaceDE/>
              <w:autoSpaceDN/>
              <w:bidi w:val="0"/>
              <w:spacing w:before="68" w:line="320" w:lineRule="exact"/>
              <w:ind w:left="240" w:leftChars="100" w:right="127" w:rightChars="53" w:firstLine="0" w:firstLineChars="0"/>
              <w:jc w:val="center"/>
              <w:rPr>
                <w:rFonts w:hint="eastAsia" w:ascii="宋体" w:hAnsi="宋体" w:eastAsia="宋体" w:cs="宋体"/>
                <w:spacing w:val="-8"/>
                <w:sz w:val="21"/>
                <w:szCs w:val="21"/>
                <w:lang w:val="en-US" w:eastAsia="zh-CN"/>
              </w:rPr>
            </w:pPr>
            <w:r>
              <w:rPr>
                <w:rFonts w:hint="eastAsia" w:ascii="宋体" w:hAnsi="宋体" w:eastAsia="宋体" w:cs="宋体"/>
                <w:spacing w:val="-8"/>
                <w:sz w:val="21"/>
                <w:szCs w:val="21"/>
                <w:lang w:val="en-US" w:eastAsia="zh-CN"/>
              </w:rPr>
              <w:t>对未按规定进行环境影响评价，擅自开工建设的行政处罚</w:t>
            </w:r>
          </w:p>
        </w:tc>
        <w:tc>
          <w:tcPr>
            <w:tcW w:w="1094" w:type="dxa"/>
            <w:shd w:val="clear" w:color="auto" w:fill="auto"/>
            <w:vAlign w:val="center"/>
          </w:tcPr>
          <w:p w14:paraId="722FBF0F">
            <w:pPr>
              <w:keepNext w:val="0"/>
              <w:keepLines w:val="0"/>
              <w:pageBreakBefore w:val="0"/>
              <w:widowControl w:val="0"/>
              <w:kinsoku/>
              <w:wordWrap/>
              <w:overflowPunct/>
              <w:topLinePunct w:val="0"/>
              <w:autoSpaceDE/>
              <w:autoSpaceDN/>
              <w:bidi w:val="0"/>
              <w:spacing w:before="68" w:line="320" w:lineRule="exact"/>
              <w:ind w:left="0" w:leftChars="0" w:firstLine="0" w:firstLineChars="0"/>
              <w:jc w:val="center"/>
              <w:rPr>
                <w:rFonts w:hint="eastAsia" w:ascii="仿宋_GB2312" w:hAnsi="仿宋_GB2312" w:eastAsia="仿宋_GB2312" w:cs="仿宋_GB2312"/>
                <w:spacing w:val="-8"/>
                <w:sz w:val="24"/>
                <w:szCs w:val="24"/>
                <w:lang w:val="en-US" w:eastAsia="zh-CN"/>
              </w:rPr>
            </w:pPr>
            <w:r>
              <w:rPr>
                <w:rFonts w:hint="eastAsia" w:ascii="仿宋_GB2312" w:hAnsi="仿宋_GB2312" w:eastAsia="仿宋_GB2312" w:cs="仿宋_GB2312"/>
                <w:spacing w:val="-8"/>
                <w:sz w:val="24"/>
                <w:szCs w:val="24"/>
                <w:lang w:val="en-US" w:eastAsia="zh-CN"/>
              </w:rPr>
              <w:t>行政处罚</w:t>
            </w:r>
          </w:p>
        </w:tc>
        <w:tc>
          <w:tcPr>
            <w:tcW w:w="8317" w:type="dxa"/>
            <w:shd w:val="clear" w:color="auto" w:fill="auto"/>
            <w:vAlign w:val="top"/>
          </w:tcPr>
          <w:p w14:paraId="2301FD17">
            <w:pPr>
              <w:keepNext w:val="0"/>
              <w:keepLines w:val="0"/>
              <w:pageBreakBefore w:val="0"/>
              <w:widowControl w:val="0"/>
              <w:suppressLineNumbers w:val="0"/>
              <w:kinsoku/>
              <w:wordWrap/>
              <w:overflowPunct/>
              <w:topLinePunct w:val="0"/>
              <w:autoSpaceDE/>
              <w:autoSpaceDN/>
              <w:bidi w:val="0"/>
              <w:adjustRightInd/>
              <w:snapToGrid/>
              <w:spacing w:after="0" w:afterLines="-2147483648" w:line="320" w:lineRule="exact"/>
              <w:ind w:left="240" w:leftChars="100" w:firstLine="420" w:firstLineChars="200"/>
              <w:jc w:val="both"/>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中华人民共和国环境保护法》第六十一条建设单位未依法提交建设项目环境影响评价文件或者环境影响评价文件未经批准，擅自开工建设的，由负有环境保护监督管理职责的部门责令停止建设，处以罚款，并可以责令恢复原状。</w:t>
            </w:r>
          </w:p>
          <w:p w14:paraId="57A42EB6">
            <w:pPr>
              <w:keepNext w:val="0"/>
              <w:keepLines w:val="0"/>
              <w:pageBreakBefore w:val="0"/>
              <w:widowControl w:val="0"/>
              <w:suppressLineNumbers w:val="0"/>
              <w:kinsoku/>
              <w:wordWrap/>
              <w:overflowPunct/>
              <w:topLinePunct w:val="0"/>
              <w:autoSpaceDE/>
              <w:autoSpaceDN/>
              <w:bidi w:val="0"/>
              <w:adjustRightInd/>
              <w:snapToGrid/>
              <w:spacing w:after="0" w:afterLines="-2147483648" w:line="320" w:lineRule="exact"/>
              <w:ind w:left="240" w:leftChars="100" w:firstLine="420" w:firstLineChars="200"/>
              <w:jc w:val="both"/>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中华人民共和国环境影响评价法》第二十四条建设项目的环境影响评价文件经批准后，建设项目的性质、规模、地点、采用的生产工艺或者防治污染、防止生态破坏的措施发生重大变动的，建设单位应当重新报批建设项目的环境影响评价文件。建设项目的环境影响评价文件自批准之日起超过五年，方决定该项目开工建设的，其环境影响评价文件应当报原审批部门重新审核；原审批部门应当自收到建设项目环境影响评价文件之日起十日内，将审核意见书面通知建设单位。</w:t>
            </w:r>
          </w:p>
          <w:p w14:paraId="03A64514">
            <w:pPr>
              <w:keepNext w:val="0"/>
              <w:keepLines w:val="0"/>
              <w:pageBreakBefore w:val="0"/>
              <w:widowControl w:val="0"/>
              <w:suppressLineNumbers w:val="0"/>
              <w:kinsoku/>
              <w:wordWrap/>
              <w:overflowPunct/>
              <w:topLinePunct w:val="0"/>
              <w:autoSpaceDE/>
              <w:autoSpaceDN/>
              <w:bidi w:val="0"/>
              <w:adjustRightInd/>
              <w:snapToGrid/>
              <w:spacing w:after="0" w:afterLines="-2147483648" w:line="320" w:lineRule="exact"/>
              <w:ind w:left="240" w:leftChars="100" w:firstLine="420" w:firstLineChars="200"/>
              <w:jc w:val="both"/>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3.《中华人民共和国环境影响评价法》第二十五条建设项目的环境影响评价文件未依法经审批部门审查或者审查后未予批准的，建设单位不得开工建设。第三十一条建设单位未依法报批建设项目环境影响报告书、报告表，或者未依照本法第二十四条的规定重新报批或者报请重新审核环境影响报告书、报告表，擅自开工建设的，由县级以上生态环境主管部门责令停止建设，根据违法情节和危害后果，处建设项目总投资额百分之一以上百分之五以下的罚款，并可以责令恢复原状；对建设单位直接负责的主管人员和其他直接责任人员，依法给予行政处分。建设项目环境影响报告书、报告表未经批准或者未经原审批部门重新审核同意，建设单位擅自开工建设的，依照前款的规定处罚、处分。建设单位未依法备案建设项目环境影响登记表的，由县级以上生态环境主管部门责令备案，处五万元以下的罚款。海洋工程建设项目的建设单位有本条所列违法行为的，依照《中华人民共和国海洋环境保护法》的规定处罚。</w:t>
            </w:r>
          </w:p>
          <w:p w14:paraId="312B6BE7">
            <w:pPr>
              <w:keepNext w:val="0"/>
              <w:keepLines w:val="0"/>
              <w:pageBreakBefore w:val="0"/>
              <w:widowControl w:val="0"/>
              <w:suppressLineNumbers w:val="0"/>
              <w:kinsoku/>
              <w:wordWrap/>
              <w:overflowPunct/>
              <w:topLinePunct w:val="0"/>
              <w:autoSpaceDE/>
              <w:autoSpaceDN/>
              <w:bidi w:val="0"/>
              <w:adjustRightInd/>
              <w:snapToGrid/>
              <w:spacing w:after="0" w:afterLines="-2147483648" w:line="320" w:lineRule="exact"/>
              <w:ind w:left="240" w:leftChars="100" w:firstLine="420" w:firstLineChars="200"/>
              <w:jc w:val="both"/>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4.《建设项目环境保护管理条例》第二十一条建设单位有下列行为之一的，依照《中华人民共和国环境影响评价法》的规定处罚：（一）建设项目环境影响报告书、环境影响报告表未依法报批或者报请重新审核，擅自开工建设；（二）建设项目环境影响报告书、环境影响报告表未经批准或者重新审核同意，擅自开工建设；（三）建设项目环境影响登记表未依法备案。</w:t>
            </w:r>
          </w:p>
        </w:tc>
        <w:tc>
          <w:tcPr>
            <w:tcW w:w="1130" w:type="dxa"/>
            <w:gridSpan w:val="2"/>
            <w:vAlign w:val="top"/>
          </w:tcPr>
          <w:p w14:paraId="60F8D7E6">
            <w:pPr>
              <w:keepNext w:val="0"/>
              <w:keepLines w:val="0"/>
              <w:pageBreakBefore w:val="0"/>
              <w:widowControl w:val="0"/>
              <w:kinsoku/>
              <w:wordWrap/>
              <w:overflowPunct/>
              <w:topLinePunct w:val="0"/>
              <w:autoSpaceDE/>
              <w:autoSpaceDN/>
              <w:bidi w:val="0"/>
              <w:spacing w:before="158" w:line="320" w:lineRule="exact"/>
              <w:ind w:left="46" w:right="26"/>
              <w:rPr>
                <w:rFonts w:ascii="宋体" w:hAnsi="宋体" w:eastAsia="宋体" w:cs="宋体"/>
                <w:sz w:val="21"/>
                <w:szCs w:val="21"/>
              </w:rPr>
            </w:pPr>
          </w:p>
        </w:tc>
        <w:tc>
          <w:tcPr>
            <w:tcW w:w="989" w:type="dxa"/>
            <w:tcBorders>
              <w:right w:val="single" w:color="000000" w:sz="10" w:space="0"/>
            </w:tcBorders>
            <w:vAlign w:val="top"/>
          </w:tcPr>
          <w:p w14:paraId="6D5D21C6">
            <w:pPr>
              <w:keepNext w:val="0"/>
              <w:keepLines w:val="0"/>
              <w:pageBreakBefore w:val="0"/>
              <w:widowControl w:val="0"/>
              <w:kinsoku/>
              <w:wordWrap/>
              <w:overflowPunct/>
              <w:topLinePunct w:val="0"/>
              <w:autoSpaceDE/>
              <w:autoSpaceDN/>
              <w:bidi w:val="0"/>
              <w:spacing w:before="288" w:line="320" w:lineRule="exact"/>
              <w:ind w:firstLine="87"/>
              <w:rPr>
                <w:rFonts w:ascii="宋体" w:hAnsi="宋体" w:eastAsia="宋体" w:cs="宋体"/>
                <w:sz w:val="21"/>
                <w:szCs w:val="21"/>
              </w:rPr>
            </w:pPr>
          </w:p>
        </w:tc>
      </w:tr>
      <w:tr w14:paraId="6E0FE4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1" w:hRule="atLeast"/>
        </w:trPr>
        <w:tc>
          <w:tcPr>
            <w:tcW w:w="557" w:type="dxa"/>
            <w:tcBorders>
              <w:left w:val="single" w:color="000000" w:sz="10" w:space="0"/>
            </w:tcBorders>
            <w:shd w:val="clear" w:color="auto" w:fill="auto"/>
            <w:vAlign w:val="center"/>
          </w:tcPr>
          <w:p w14:paraId="57D9174A">
            <w:pPr>
              <w:keepNext w:val="0"/>
              <w:keepLines w:val="0"/>
              <w:pageBreakBefore w:val="0"/>
              <w:widowControl w:val="0"/>
              <w:kinsoku/>
              <w:wordWrap/>
              <w:overflowPunct/>
              <w:topLinePunct w:val="0"/>
              <w:autoSpaceDE/>
              <w:autoSpaceDN/>
              <w:bidi w:val="0"/>
              <w:spacing w:before="68" w:line="320" w:lineRule="exact"/>
              <w:ind w:left="0" w:leftChars="0" w:firstLine="0" w:firstLineChars="0"/>
              <w:jc w:val="center"/>
              <w:rPr>
                <w:rFonts w:hint="eastAsia" w:ascii="仿宋_GB2312" w:hAnsi="仿宋_GB2312" w:eastAsia="仿宋_GB2312" w:cs="仿宋_GB2312"/>
                <w:spacing w:val="-8"/>
                <w:sz w:val="24"/>
                <w:szCs w:val="24"/>
                <w:lang w:val="en-US" w:eastAsia="zh-CN"/>
              </w:rPr>
            </w:pPr>
            <w:r>
              <w:rPr>
                <w:rFonts w:hint="eastAsia" w:ascii="仿宋_GB2312" w:hAnsi="仿宋_GB2312" w:eastAsia="仿宋_GB2312" w:cs="仿宋_GB2312"/>
                <w:spacing w:val="-8"/>
                <w:sz w:val="24"/>
                <w:szCs w:val="24"/>
                <w:lang w:val="en-US" w:eastAsia="zh-CN"/>
              </w:rPr>
              <w:t>9</w:t>
            </w:r>
          </w:p>
        </w:tc>
        <w:tc>
          <w:tcPr>
            <w:tcW w:w="2355" w:type="dxa"/>
            <w:shd w:val="clear" w:color="auto" w:fill="auto"/>
            <w:vAlign w:val="center"/>
          </w:tcPr>
          <w:p w14:paraId="51B8DE48">
            <w:pPr>
              <w:keepNext w:val="0"/>
              <w:keepLines w:val="0"/>
              <w:pageBreakBefore w:val="0"/>
              <w:widowControl w:val="0"/>
              <w:kinsoku/>
              <w:wordWrap/>
              <w:overflowPunct/>
              <w:topLinePunct w:val="0"/>
              <w:autoSpaceDE/>
              <w:autoSpaceDN/>
              <w:bidi w:val="0"/>
              <w:spacing w:before="68" w:line="320" w:lineRule="exact"/>
              <w:ind w:left="240" w:leftChars="100" w:right="127" w:rightChars="53" w:firstLine="0" w:firstLineChars="0"/>
              <w:jc w:val="center"/>
              <w:rPr>
                <w:rFonts w:hint="eastAsia" w:ascii="宋体" w:hAnsi="宋体" w:eastAsia="宋体" w:cs="宋体"/>
                <w:spacing w:val="-8"/>
                <w:sz w:val="21"/>
                <w:szCs w:val="21"/>
                <w:lang w:val="en-US" w:eastAsia="zh-CN"/>
              </w:rPr>
            </w:pPr>
            <w:r>
              <w:rPr>
                <w:rFonts w:hint="eastAsia" w:ascii="宋体" w:hAnsi="宋体" w:eastAsia="宋体" w:cs="宋体"/>
                <w:spacing w:val="-8"/>
                <w:sz w:val="21"/>
                <w:szCs w:val="21"/>
                <w:lang w:val="en-US" w:eastAsia="zh-CN"/>
              </w:rPr>
              <w:t>对接受委托为建设项目环境影响评价提供技术服务的机构在环境影响评价工作中不负责任等行为的行政处罚</w:t>
            </w:r>
          </w:p>
        </w:tc>
        <w:tc>
          <w:tcPr>
            <w:tcW w:w="1094" w:type="dxa"/>
            <w:shd w:val="clear" w:color="auto" w:fill="auto"/>
            <w:vAlign w:val="center"/>
          </w:tcPr>
          <w:p w14:paraId="5CE783AB">
            <w:pPr>
              <w:keepNext w:val="0"/>
              <w:keepLines w:val="0"/>
              <w:pageBreakBefore w:val="0"/>
              <w:widowControl w:val="0"/>
              <w:kinsoku/>
              <w:wordWrap/>
              <w:overflowPunct/>
              <w:topLinePunct w:val="0"/>
              <w:autoSpaceDE/>
              <w:autoSpaceDN/>
              <w:bidi w:val="0"/>
              <w:spacing w:before="68" w:line="320" w:lineRule="exact"/>
              <w:ind w:left="0" w:leftChars="0" w:firstLine="0" w:firstLineChars="0"/>
              <w:jc w:val="center"/>
              <w:rPr>
                <w:rFonts w:hint="eastAsia" w:ascii="仿宋_GB2312" w:hAnsi="仿宋_GB2312" w:eastAsia="仿宋_GB2312" w:cs="仿宋_GB2312"/>
                <w:spacing w:val="-8"/>
                <w:sz w:val="24"/>
                <w:szCs w:val="24"/>
                <w:lang w:val="en-US" w:eastAsia="zh-CN"/>
              </w:rPr>
            </w:pPr>
            <w:r>
              <w:rPr>
                <w:rFonts w:hint="eastAsia" w:ascii="仿宋_GB2312" w:hAnsi="仿宋_GB2312" w:eastAsia="仿宋_GB2312" w:cs="仿宋_GB2312"/>
                <w:spacing w:val="-8"/>
                <w:sz w:val="24"/>
                <w:szCs w:val="24"/>
                <w:lang w:val="en-US" w:eastAsia="zh-CN"/>
              </w:rPr>
              <w:t>行政处罚</w:t>
            </w:r>
          </w:p>
        </w:tc>
        <w:tc>
          <w:tcPr>
            <w:tcW w:w="8317" w:type="dxa"/>
            <w:shd w:val="clear" w:color="auto" w:fill="auto"/>
            <w:vAlign w:val="top"/>
          </w:tcPr>
          <w:p w14:paraId="3AAB995C">
            <w:pPr>
              <w:keepNext w:val="0"/>
              <w:keepLines w:val="0"/>
              <w:pageBreakBefore w:val="0"/>
              <w:widowControl w:val="0"/>
              <w:suppressLineNumbers w:val="0"/>
              <w:kinsoku/>
              <w:wordWrap/>
              <w:overflowPunct/>
              <w:topLinePunct w:val="0"/>
              <w:autoSpaceDE/>
              <w:autoSpaceDN/>
              <w:bidi w:val="0"/>
              <w:adjustRightInd/>
              <w:snapToGrid/>
              <w:spacing w:after="0" w:afterLines="-2147483648" w:line="320" w:lineRule="exact"/>
              <w:ind w:left="240" w:leftChars="100" w:firstLine="420" w:firstLineChars="200"/>
              <w:jc w:val="both"/>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中华人民共和国环境影响评价法》第十九条建设单位可以委托技术单位对其建设项目开展环境影响评价，编制建设项目环境影响报告书、环境影响报告表；建设单位具备环境影响评价技术能力的，可以自行对其建设项目开展环境影响评价，编制建设项目环境影响报告书、环境影响报告表。编制建设项目环境影响报告书、环境影响报告表应当遵守国家有关环境影响评价标准、技术规范等规定。国务院生态环境主管部门应当制定建设项目环境影响报告书、环境影响报告表编制的能力建设指南和监管办法。接受委托为建设单位编制建设项目环境影响报告书、环境影响报告表的技术单位，不得与负责审批建设项目环境影响报告书、环境影响报告表的生态环境主管部门或者其他有关审批部门存在任何利益关系。</w:t>
            </w:r>
          </w:p>
          <w:p w14:paraId="63490717">
            <w:pPr>
              <w:keepNext w:val="0"/>
              <w:keepLines w:val="0"/>
              <w:pageBreakBefore w:val="0"/>
              <w:widowControl w:val="0"/>
              <w:suppressLineNumbers w:val="0"/>
              <w:kinsoku/>
              <w:wordWrap/>
              <w:overflowPunct/>
              <w:topLinePunct w:val="0"/>
              <w:autoSpaceDE/>
              <w:autoSpaceDN/>
              <w:bidi w:val="0"/>
              <w:adjustRightInd/>
              <w:snapToGrid/>
              <w:spacing w:after="0" w:afterLines="-2147483648" w:line="320" w:lineRule="exact"/>
              <w:ind w:left="240" w:leftChars="100" w:firstLine="420" w:firstLineChars="200"/>
              <w:jc w:val="both"/>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第三十二条建设项目环境影响报告书、环境影响报告表存在基础资料明显不实，内容存在重大缺陷、遗漏或者虚假，环境影响评价结论不正确或者不合理等严重质量问题的，由设区的市级以上人民政府生态环境主管部门对建设单位处五十万元以上二百万元以下的罚款，并对建设单位的法定代表人、主要负责人、直接负责的主管人员和其他直接责任人员，处五万元以上二十万元以下的罚款。</w:t>
            </w:r>
          </w:p>
          <w:p w14:paraId="0A7202EB">
            <w:pPr>
              <w:keepNext w:val="0"/>
              <w:keepLines w:val="0"/>
              <w:pageBreakBefore w:val="0"/>
              <w:widowControl w:val="0"/>
              <w:suppressLineNumbers w:val="0"/>
              <w:kinsoku/>
              <w:wordWrap/>
              <w:overflowPunct/>
              <w:topLinePunct w:val="0"/>
              <w:autoSpaceDE/>
              <w:autoSpaceDN/>
              <w:bidi w:val="0"/>
              <w:adjustRightInd/>
              <w:snapToGrid/>
              <w:spacing w:after="0" w:afterLines="-2147483648" w:line="320" w:lineRule="exact"/>
              <w:ind w:left="240" w:leftChars="100" w:firstLine="420" w:firstLineChars="200"/>
              <w:jc w:val="both"/>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接受委托编制建设项目环境影响报告书、环境影响报告表的技术单位违反国家有关环境影响评价标准和技术规范等规定，致使其编制的建设项目环境影响报告书、环境影响报告表存在基础资料明显不实，内容存在重大缺陷、遗漏或者虚假，环境影响评价结论不正确或者不合理等严重质量问题的，由设区的市级以上人民政府生态环境主管部门对技术单位处所收费用三倍以上五倍以下的罚款；情节严重的，禁止从事环境影响报告书、环境影响报告表编制工作；有违法所得的，没收违法所得。编制单位有本条第一款、第二款规定的违法行为的，编制主持人和主要编制人员五年内禁止从事环境影响报告书、环境影响报告表编制工作；构成犯罪的，依法追究刑事责任，并终身禁止从事环境影响报告书、环境影响报告表编制工作。</w:t>
            </w:r>
          </w:p>
        </w:tc>
        <w:tc>
          <w:tcPr>
            <w:tcW w:w="1130" w:type="dxa"/>
            <w:gridSpan w:val="2"/>
            <w:vAlign w:val="top"/>
          </w:tcPr>
          <w:p w14:paraId="7D75FD26">
            <w:pPr>
              <w:keepNext w:val="0"/>
              <w:keepLines w:val="0"/>
              <w:pageBreakBefore w:val="0"/>
              <w:widowControl w:val="0"/>
              <w:kinsoku/>
              <w:wordWrap/>
              <w:overflowPunct/>
              <w:topLinePunct w:val="0"/>
              <w:autoSpaceDE/>
              <w:autoSpaceDN/>
              <w:bidi w:val="0"/>
              <w:spacing w:before="158" w:line="320" w:lineRule="exact"/>
              <w:ind w:left="46" w:right="26"/>
              <w:rPr>
                <w:rFonts w:ascii="宋体" w:hAnsi="宋体" w:eastAsia="宋体" w:cs="宋体"/>
                <w:sz w:val="21"/>
                <w:szCs w:val="21"/>
              </w:rPr>
            </w:pPr>
          </w:p>
        </w:tc>
        <w:tc>
          <w:tcPr>
            <w:tcW w:w="989" w:type="dxa"/>
            <w:tcBorders>
              <w:right w:val="single" w:color="000000" w:sz="10" w:space="0"/>
            </w:tcBorders>
            <w:vAlign w:val="top"/>
          </w:tcPr>
          <w:p w14:paraId="6C2DD5D9">
            <w:pPr>
              <w:keepNext w:val="0"/>
              <w:keepLines w:val="0"/>
              <w:pageBreakBefore w:val="0"/>
              <w:widowControl w:val="0"/>
              <w:kinsoku/>
              <w:wordWrap/>
              <w:overflowPunct/>
              <w:topLinePunct w:val="0"/>
              <w:autoSpaceDE/>
              <w:autoSpaceDN/>
              <w:bidi w:val="0"/>
              <w:spacing w:before="288" w:line="320" w:lineRule="exact"/>
              <w:ind w:firstLine="87"/>
              <w:rPr>
                <w:rFonts w:ascii="宋体" w:hAnsi="宋体" w:eastAsia="宋体" w:cs="宋体"/>
                <w:sz w:val="21"/>
                <w:szCs w:val="21"/>
              </w:rPr>
            </w:pPr>
          </w:p>
        </w:tc>
      </w:tr>
      <w:tr w14:paraId="0F650E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1" w:hRule="atLeast"/>
        </w:trPr>
        <w:tc>
          <w:tcPr>
            <w:tcW w:w="557" w:type="dxa"/>
            <w:tcBorders>
              <w:left w:val="single" w:color="000000" w:sz="10" w:space="0"/>
            </w:tcBorders>
            <w:shd w:val="clear" w:color="auto" w:fill="auto"/>
            <w:vAlign w:val="center"/>
          </w:tcPr>
          <w:p w14:paraId="3D816B9D">
            <w:pPr>
              <w:keepNext w:val="0"/>
              <w:keepLines w:val="0"/>
              <w:pageBreakBefore w:val="0"/>
              <w:widowControl w:val="0"/>
              <w:kinsoku/>
              <w:wordWrap/>
              <w:overflowPunct/>
              <w:topLinePunct w:val="0"/>
              <w:autoSpaceDE/>
              <w:autoSpaceDN/>
              <w:bidi w:val="0"/>
              <w:spacing w:before="68" w:line="320" w:lineRule="exact"/>
              <w:ind w:left="0" w:leftChars="0" w:firstLine="0" w:firstLineChars="0"/>
              <w:jc w:val="center"/>
              <w:rPr>
                <w:rFonts w:hint="eastAsia" w:ascii="仿宋_GB2312" w:hAnsi="仿宋_GB2312" w:eastAsia="仿宋_GB2312" w:cs="仿宋_GB2312"/>
                <w:spacing w:val="-8"/>
                <w:sz w:val="24"/>
                <w:szCs w:val="24"/>
                <w:lang w:val="en-US" w:eastAsia="zh-CN"/>
              </w:rPr>
            </w:pPr>
            <w:r>
              <w:rPr>
                <w:rFonts w:hint="eastAsia" w:ascii="仿宋_GB2312" w:hAnsi="仿宋_GB2312" w:eastAsia="仿宋_GB2312" w:cs="仿宋_GB2312"/>
                <w:spacing w:val="-8"/>
                <w:sz w:val="24"/>
                <w:szCs w:val="24"/>
                <w:lang w:val="en-US" w:eastAsia="zh-CN"/>
              </w:rPr>
              <w:t>10</w:t>
            </w:r>
          </w:p>
        </w:tc>
        <w:tc>
          <w:tcPr>
            <w:tcW w:w="2355" w:type="dxa"/>
            <w:shd w:val="clear" w:color="auto" w:fill="auto"/>
            <w:vAlign w:val="center"/>
          </w:tcPr>
          <w:p w14:paraId="7814D206">
            <w:pPr>
              <w:keepNext w:val="0"/>
              <w:keepLines w:val="0"/>
              <w:pageBreakBefore w:val="0"/>
              <w:widowControl w:val="0"/>
              <w:kinsoku/>
              <w:wordWrap/>
              <w:overflowPunct/>
              <w:topLinePunct w:val="0"/>
              <w:autoSpaceDE/>
              <w:autoSpaceDN/>
              <w:bidi w:val="0"/>
              <w:spacing w:before="68" w:line="320" w:lineRule="exact"/>
              <w:ind w:left="240" w:leftChars="100" w:right="127" w:rightChars="53" w:firstLine="0" w:firstLineChars="0"/>
              <w:jc w:val="center"/>
              <w:rPr>
                <w:rFonts w:hint="eastAsia" w:ascii="宋体" w:hAnsi="宋体" w:eastAsia="宋体" w:cs="宋体"/>
                <w:spacing w:val="-8"/>
                <w:sz w:val="21"/>
                <w:szCs w:val="21"/>
                <w:lang w:val="en-US" w:eastAsia="zh-CN"/>
              </w:rPr>
            </w:pPr>
            <w:r>
              <w:rPr>
                <w:rFonts w:hint="eastAsia" w:ascii="宋体" w:hAnsi="宋体" w:eastAsia="宋体" w:cs="宋体"/>
                <w:spacing w:val="-8"/>
                <w:sz w:val="21"/>
                <w:szCs w:val="21"/>
                <w:lang w:val="en-US" w:eastAsia="zh-CN"/>
              </w:rPr>
              <w:t>对未依法备案环境影响登记表的行政处罚</w:t>
            </w:r>
          </w:p>
        </w:tc>
        <w:tc>
          <w:tcPr>
            <w:tcW w:w="1094" w:type="dxa"/>
            <w:shd w:val="clear" w:color="auto" w:fill="auto"/>
            <w:vAlign w:val="center"/>
          </w:tcPr>
          <w:p w14:paraId="253ED566">
            <w:pPr>
              <w:keepNext w:val="0"/>
              <w:keepLines w:val="0"/>
              <w:pageBreakBefore w:val="0"/>
              <w:widowControl w:val="0"/>
              <w:kinsoku/>
              <w:wordWrap/>
              <w:overflowPunct/>
              <w:topLinePunct w:val="0"/>
              <w:autoSpaceDE/>
              <w:autoSpaceDN/>
              <w:bidi w:val="0"/>
              <w:spacing w:before="68" w:line="320" w:lineRule="exact"/>
              <w:ind w:left="0" w:leftChars="0" w:firstLine="0" w:firstLineChars="0"/>
              <w:jc w:val="center"/>
              <w:rPr>
                <w:rFonts w:hint="eastAsia" w:ascii="仿宋_GB2312" w:hAnsi="仿宋_GB2312" w:eastAsia="仿宋_GB2312" w:cs="仿宋_GB2312"/>
                <w:spacing w:val="-8"/>
                <w:sz w:val="24"/>
                <w:szCs w:val="24"/>
                <w:lang w:val="en-US" w:eastAsia="zh-CN"/>
              </w:rPr>
            </w:pPr>
            <w:r>
              <w:rPr>
                <w:rFonts w:hint="eastAsia" w:ascii="仿宋_GB2312" w:hAnsi="仿宋_GB2312" w:eastAsia="仿宋_GB2312" w:cs="仿宋_GB2312"/>
                <w:spacing w:val="-8"/>
                <w:sz w:val="24"/>
                <w:szCs w:val="24"/>
                <w:lang w:val="en-US" w:eastAsia="zh-CN"/>
              </w:rPr>
              <w:t>行政处罚</w:t>
            </w:r>
          </w:p>
        </w:tc>
        <w:tc>
          <w:tcPr>
            <w:tcW w:w="8317" w:type="dxa"/>
            <w:shd w:val="clear" w:color="auto" w:fill="auto"/>
            <w:vAlign w:val="top"/>
          </w:tcPr>
          <w:p w14:paraId="3487758C">
            <w:pPr>
              <w:keepNext w:val="0"/>
              <w:keepLines w:val="0"/>
              <w:pageBreakBefore w:val="0"/>
              <w:widowControl w:val="0"/>
              <w:suppressLineNumbers w:val="0"/>
              <w:kinsoku/>
              <w:wordWrap/>
              <w:overflowPunct/>
              <w:topLinePunct w:val="0"/>
              <w:autoSpaceDE/>
              <w:autoSpaceDN/>
              <w:bidi w:val="0"/>
              <w:adjustRightInd/>
              <w:snapToGrid/>
              <w:spacing w:after="0" w:afterLines="-2147483648" w:line="320" w:lineRule="exact"/>
              <w:ind w:left="240" w:leftChars="100" w:firstLine="420" w:firstLineChars="200"/>
              <w:jc w:val="both"/>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中华人民共和国环境影响评价法》第三十一条建设单位未依法报批建设项目环境影响报告书、报告表，或者未依照本法第二十四条的规定重新报批或者报请重新审核环境影响报告书、报告表，擅自开工建设的，由县级以上生态环境主管部门责令停止建设，根据违法情节和危害后果，处建设项目总投资额百分之一以上百分之五以下的罚款，并可以责令恢复原状；对建设单位直接负责的主管人员和其他直接责任人员，依法给予行政处分。建设项目环境影响报告书、报告表未经批准或者未经原审批部门重新审核同意，建设单位擅自开工建设的，依照前款的规定处罚、处分。建设单位未依法备案建设项目环境影响登记表的，由县级以上生态环境主管部门责令备案，处五万元以下的罚款。海洋工程建设项目的建设单位有本条所列违法行为的，依照《中华人民共和国海洋环境保护法》的规定处罚。</w:t>
            </w:r>
          </w:p>
          <w:p w14:paraId="7AC0C20F">
            <w:pPr>
              <w:keepNext w:val="0"/>
              <w:keepLines w:val="0"/>
              <w:pageBreakBefore w:val="0"/>
              <w:widowControl w:val="0"/>
              <w:suppressLineNumbers w:val="0"/>
              <w:kinsoku/>
              <w:wordWrap/>
              <w:overflowPunct/>
              <w:topLinePunct w:val="0"/>
              <w:autoSpaceDE/>
              <w:autoSpaceDN/>
              <w:bidi w:val="0"/>
              <w:adjustRightInd/>
              <w:snapToGrid/>
              <w:spacing w:after="0" w:afterLines="-2147483648" w:line="320" w:lineRule="exact"/>
              <w:ind w:left="240" w:leftChars="100" w:firstLine="420" w:firstLineChars="200"/>
              <w:jc w:val="both"/>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建设项目环境影响登记表备案管理办法》第十八条建设单位未依法备案建设项目环境影响登记表的，由县级环境保护主管部门根据《中华人民共和国环境影响评价法》第三十一条第三款的规定，责令备案，处五万元以下的罚款。第二十条违反本办法规定，对按照《建设项目环境影响评价分类管理名录》应当编制环境影响报告书或者报告表的建设项目，建设单位擅自降低环境影响评价等级，填报环境影响登记表并办理备案手续，经查证属实的，县级环境保护主管部门认定建设单位已经取得的备案无效，向社会公布，并按照以下规定处理：（一）未依法报批环境影响报告书或者报告表，擅自开工建设的，依照《环境保护法》第六十一条和《环境影响评价法》第三十一条第一款的规定予以处罚、处分。（二）未依法报批环境影响报告书或者报告表，擅自投入生产或者经营的，分别依照《环境影响评价法》第三十一条第一款和《建设项目环境保护管理条例》的有关规定作出相应处罚。</w:t>
            </w:r>
          </w:p>
        </w:tc>
        <w:tc>
          <w:tcPr>
            <w:tcW w:w="1130" w:type="dxa"/>
            <w:gridSpan w:val="2"/>
            <w:vAlign w:val="top"/>
          </w:tcPr>
          <w:p w14:paraId="2869A9F8">
            <w:pPr>
              <w:keepNext w:val="0"/>
              <w:keepLines w:val="0"/>
              <w:pageBreakBefore w:val="0"/>
              <w:widowControl w:val="0"/>
              <w:kinsoku/>
              <w:wordWrap/>
              <w:overflowPunct/>
              <w:topLinePunct w:val="0"/>
              <w:autoSpaceDE/>
              <w:autoSpaceDN/>
              <w:bidi w:val="0"/>
              <w:spacing w:before="158" w:line="320" w:lineRule="exact"/>
              <w:ind w:left="46" w:right="26"/>
              <w:rPr>
                <w:rFonts w:ascii="宋体" w:hAnsi="宋体" w:eastAsia="宋体" w:cs="宋体"/>
                <w:sz w:val="21"/>
                <w:szCs w:val="21"/>
              </w:rPr>
            </w:pPr>
          </w:p>
        </w:tc>
        <w:tc>
          <w:tcPr>
            <w:tcW w:w="989" w:type="dxa"/>
            <w:tcBorders>
              <w:right w:val="single" w:color="000000" w:sz="10" w:space="0"/>
            </w:tcBorders>
            <w:vAlign w:val="top"/>
          </w:tcPr>
          <w:p w14:paraId="12E81629">
            <w:pPr>
              <w:keepNext w:val="0"/>
              <w:keepLines w:val="0"/>
              <w:pageBreakBefore w:val="0"/>
              <w:widowControl w:val="0"/>
              <w:kinsoku/>
              <w:wordWrap/>
              <w:overflowPunct/>
              <w:topLinePunct w:val="0"/>
              <w:autoSpaceDE/>
              <w:autoSpaceDN/>
              <w:bidi w:val="0"/>
              <w:spacing w:before="288" w:line="320" w:lineRule="exact"/>
              <w:ind w:firstLine="87"/>
              <w:rPr>
                <w:rFonts w:ascii="宋体" w:hAnsi="宋体" w:eastAsia="宋体" w:cs="宋体"/>
                <w:sz w:val="21"/>
                <w:szCs w:val="21"/>
              </w:rPr>
            </w:pPr>
          </w:p>
        </w:tc>
      </w:tr>
      <w:tr w14:paraId="4EF1D9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1" w:hRule="atLeast"/>
        </w:trPr>
        <w:tc>
          <w:tcPr>
            <w:tcW w:w="557" w:type="dxa"/>
            <w:tcBorders>
              <w:left w:val="single" w:color="000000" w:sz="10" w:space="0"/>
            </w:tcBorders>
            <w:shd w:val="clear" w:color="auto" w:fill="auto"/>
            <w:vAlign w:val="center"/>
          </w:tcPr>
          <w:p w14:paraId="5B64AA25">
            <w:pPr>
              <w:keepNext w:val="0"/>
              <w:keepLines w:val="0"/>
              <w:pageBreakBefore w:val="0"/>
              <w:widowControl w:val="0"/>
              <w:kinsoku/>
              <w:wordWrap/>
              <w:overflowPunct/>
              <w:topLinePunct w:val="0"/>
              <w:autoSpaceDE/>
              <w:autoSpaceDN/>
              <w:bidi w:val="0"/>
              <w:spacing w:before="68" w:line="320" w:lineRule="exact"/>
              <w:ind w:left="0" w:leftChars="0" w:firstLine="0" w:firstLineChars="0"/>
              <w:jc w:val="center"/>
              <w:rPr>
                <w:rFonts w:hint="eastAsia" w:ascii="仿宋_GB2312" w:hAnsi="仿宋_GB2312" w:eastAsia="仿宋_GB2312" w:cs="仿宋_GB2312"/>
                <w:spacing w:val="-8"/>
                <w:sz w:val="24"/>
                <w:szCs w:val="24"/>
                <w:lang w:val="en-US" w:eastAsia="zh-CN"/>
              </w:rPr>
            </w:pPr>
            <w:r>
              <w:rPr>
                <w:rFonts w:hint="eastAsia" w:ascii="仿宋_GB2312" w:hAnsi="仿宋_GB2312" w:eastAsia="仿宋_GB2312" w:cs="仿宋_GB2312"/>
                <w:spacing w:val="-8"/>
                <w:sz w:val="24"/>
                <w:szCs w:val="24"/>
                <w:lang w:val="en-US" w:eastAsia="zh-CN"/>
              </w:rPr>
              <w:t>11</w:t>
            </w:r>
          </w:p>
        </w:tc>
        <w:tc>
          <w:tcPr>
            <w:tcW w:w="2355" w:type="dxa"/>
            <w:shd w:val="clear" w:color="auto" w:fill="auto"/>
            <w:vAlign w:val="center"/>
          </w:tcPr>
          <w:p w14:paraId="3836A1FF">
            <w:pPr>
              <w:keepNext w:val="0"/>
              <w:keepLines w:val="0"/>
              <w:pageBreakBefore w:val="0"/>
              <w:widowControl w:val="0"/>
              <w:kinsoku/>
              <w:wordWrap/>
              <w:overflowPunct/>
              <w:topLinePunct w:val="0"/>
              <w:autoSpaceDE/>
              <w:autoSpaceDN/>
              <w:bidi w:val="0"/>
              <w:spacing w:before="68" w:line="320" w:lineRule="exact"/>
              <w:ind w:left="240" w:leftChars="100" w:right="127" w:rightChars="53" w:firstLine="0" w:firstLineChars="0"/>
              <w:jc w:val="center"/>
              <w:rPr>
                <w:rFonts w:hint="eastAsia" w:ascii="宋体" w:hAnsi="宋体" w:eastAsia="宋体" w:cs="宋体"/>
                <w:spacing w:val="-8"/>
                <w:sz w:val="21"/>
                <w:szCs w:val="21"/>
                <w:lang w:val="en-US" w:eastAsia="zh-CN"/>
              </w:rPr>
            </w:pPr>
            <w:r>
              <w:rPr>
                <w:rFonts w:hint="eastAsia" w:ascii="宋体" w:hAnsi="宋体" w:eastAsia="宋体" w:cs="宋体"/>
                <w:spacing w:val="-8"/>
                <w:sz w:val="21"/>
                <w:szCs w:val="21"/>
                <w:lang w:val="en-US" w:eastAsia="zh-CN"/>
              </w:rPr>
              <w:t>对编制建设项目初步设计未落实污染防治措施及环保投资概算等行为的行政处罚</w:t>
            </w:r>
          </w:p>
        </w:tc>
        <w:tc>
          <w:tcPr>
            <w:tcW w:w="1094" w:type="dxa"/>
            <w:shd w:val="clear" w:color="auto" w:fill="auto"/>
            <w:vAlign w:val="center"/>
          </w:tcPr>
          <w:p w14:paraId="40FC0EDA">
            <w:pPr>
              <w:keepNext w:val="0"/>
              <w:keepLines w:val="0"/>
              <w:pageBreakBefore w:val="0"/>
              <w:widowControl w:val="0"/>
              <w:kinsoku/>
              <w:wordWrap/>
              <w:overflowPunct/>
              <w:topLinePunct w:val="0"/>
              <w:autoSpaceDE/>
              <w:autoSpaceDN/>
              <w:bidi w:val="0"/>
              <w:spacing w:before="68" w:line="320" w:lineRule="exact"/>
              <w:ind w:left="0" w:leftChars="0" w:firstLine="0" w:firstLineChars="0"/>
              <w:jc w:val="center"/>
              <w:rPr>
                <w:rFonts w:hint="eastAsia" w:ascii="仿宋_GB2312" w:hAnsi="仿宋_GB2312" w:eastAsia="仿宋_GB2312" w:cs="仿宋_GB2312"/>
                <w:spacing w:val="-8"/>
                <w:sz w:val="24"/>
                <w:szCs w:val="24"/>
                <w:lang w:val="en-US" w:eastAsia="zh-CN"/>
              </w:rPr>
            </w:pPr>
            <w:r>
              <w:rPr>
                <w:rFonts w:hint="eastAsia" w:ascii="仿宋_GB2312" w:hAnsi="仿宋_GB2312" w:eastAsia="仿宋_GB2312" w:cs="仿宋_GB2312"/>
                <w:spacing w:val="-8"/>
                <w:sz w:val="24"/>
                <w:szCs w:val="24"/>
                <w:lang w:val="en-US" w:eastAsia="zh-CN"/>
              </w:rPr>
              <w:t>行政处罚</w:t>
            </w:r>
          </w:p>
        </w:tc>
        <w:tc>
          <w:tcPr>
            <w:tcW w:w="8317" w:type="dxa"/>
            <w:shd w:val="clear" w:color="auto" w:fill="auto"/>
            <w:vAlign w:val="top"/>
          </w:tcPr>
          <w:p w14:paraId="63A3265D">
            <w:pPr>
              <w:keepNext w:val="0"/>
              <w:keepLines w:val="0"/>
              <w:pageBreakBefore w:val="0"/>
              <w:widowControl w:val="0"/>
              <w:suppressLineNumbers w:val="0"/>
              <w:kinsoku/>
              <w:wordWrap/>
              <w:overflowPunct/>
              <w:topLinePunct w:val="0"/>
              <w:autoSpaceDE/>
              <w:autoSpaceDN/>
              <w:bidi w:val="0"/>
              <w:adjustRightInd/>
              <w:snapToGrid/>
              <w:spacing w:after="0" w:afterLines="-2147483648" w:line="320" w:lineRule="exact"/>
              <w:ind w:left="240" w:leftChars="100" w:firstLine="420" w:firstLineChars="200"/>
              <w:jc w:val="both"/>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建设项目环境保护管理条例》第二十二条第一款违反本条例规定，建设单位编制建设项目初步设计未落实防治环境污染和生态破坏的措施以及环境保护设施投资概算，未将环境保护设施建设纳入施工合同，或者未依法开展环境影响后评价的，由建设项目所在地县级以上环境保护行政主管部门责令限期改正，处5万元以上20万元以下的罚款；逾期不改正的，处20万元以上100万元以下的罚款。</w:t>
            </w:r>
          </w:p>
        </w:tc>
        <w:tc>
          <w:tcPr>
            <w:tcW w:w="1130" w:type="dxa"/>
            <w:gridSpan w:val="2"/>
            <w:vAlign w:val="top"/>
          </w:tcPr>
          <w:p w14:paraId="5770DFC1">
            <w:pPr>
              <w:keepNext w:val="0"/>
              <w:keepLines w:val="0"/>
              <w:pageBreakBefore w:val="0"/>
              <w:widowControl w:val="0"/>
              <w:kinsoku/>
              <w:wordWrap/>
              <w:overflowPunct/>
              <w:topLinePunct w:val="0"/>
              <w:autoSpaceDE/>
              <w:autoSpaceDN/>
              <w:bidi w:val="0"/>
              <w:spacing w:before="158" w:line="320" w:lineRule="exact"/>
              <w:ind w:left="46" w:right="26"/>
              <w:rPr>
                <w:rFonts w:ascii="宋体" w:hAnsi="宋体" w:eastAsia="宋体" w:cs="宋体"/>
                <w:sz w:val="21"/>
                <w:szCs w:val="21"/>
              </w:rPr>
            </w:pPr>
          </w:p>
        </w:tc>
        <w:tc>
          <w:tcPr>
            <w:tcW w:w="989" w:type="dxa"/>
            <w:tcBorders>
              <w:right w:val="single" w:color="000000" w:sz="10" w:space="0"/>
            </w:tcBorders>
            <w:vAlign w:val="top"/>
          </w:tcPr>
          <w:p w14:paraId="00C55429">
            <w:pPr>
              <w:keepNext w:val="0"/>
              <w:keepLines w:val="0"/>
              <w:pageBreakBefore w:val="0"/>
              <w:widowControl w:val="0"/>
              <w:kinsoku/>
              <w:wordWrap/>
              <w:overflowPunct/>
              <w:topLinePunct w:val="0"/>
              <w:autoSpaceDE/>
              <w:autoSpaceDN/>
              <w:bidi w:val="0"/>
              <w:spacing w:before="288" w:line="320" w:lineRule="exact"/>
              <w:ind w:firstLine="87"/>
              <w:rPr>
                <w:rFonts w:ascii="宋体" w:hAnsi="宋体" w:eastAsia="宋体" w:cs="宋体"/>
                <w:sz w:val="21"/>
                <w:szCs w:val="21"/>
              </w:rPr>
            </w:pPr>
          </w:p>
        </w:tc>
      </w:tr>
      <w:tr w14:paraId="6EC5AE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1" w:hRule="atLeast"/>
        </w:trPr>
        <w:tc>
          <w:tcPr>
            <w:tcW w:w="557" w:type="dxa"/>
            <w:tcBorders>
              <w:left w:val="single" w:color="000000" w:sz="10" w:space="0"/>
            </w:tcBorders>
            <w:shd w:val="clear" w:color="auto" w:fill="auto"/>
            <w:vAlign w:val="center"/>
          </w:tcPr>
          <w:p w14:paraId="55CC9B65">
            <w:pPr>
              <w:keepNext w:val="0"/>
              <w:keepLines w:val="0"/>
              <w:pageBreakBefore w:val="0"/>
              <w:widowControl w:val="0"/>
              <w:kinsoku/>
              <w:wordWrap/>
              <w:overflowPunct/>
              <w:topLinePunct w:val="0"/>
              <w:autoSpaceDE/>
              <w:autoSpaceDN/>
              <w:bidi w:val="0"/>
              <w:spacing w:before="68" w:line="320" w:lineRule="exact"/>
              <w:ind w:left="0" w:leftChars="0" w:firstLine="0" w:firstLineChars="0"/>
              <w:jc w:val="center"/>
              <w:rPr>
                <w:rFonts w:hint="eastAsia" w:ascii="仿宋_GB2312" w:hAnsi="仿宋_GB2312" w:eastAsia="仿宋_GB2312" w:cs="仿宋_GB2312"/>
                <w:spacing w:val="-8"/>
                <w:sz w:val="24"/>
                <w:szCs w:val="24"/>
                <w:lang w:val="en-US" w:eastAsia="zh-CN"/>
              </w:rPr>
            </w:pPr>
            <w:r>
              <w:rPr>
                <w:rFonts w:hint="eastAsia" w:ascii="仿宋_GB2312" w:hAnsi="仿宋_GB2312" w:eastAsia="仿宋_GB2312" w:cs="仿宋_GB2312"/>
                <w:spacing w:val="-8"/>
                <w:sz w:val="24"/>
                <w:szCs w:val="24"/>
                <w:lang w:val="en-US" w:eastAsia="zh-CN"/>
              </w:rPr>
              <w:t>12</w:t>
            </w:r>
          </w:p>
        </w:tc>
        <w:tc>
          <w:tcPr>
            <w:tcW w:w="2355" w:type="dxa"/>
            <w:shd w:val="clear" w:color="auto" w:fill="auto"/>
            <w:vAlign w:val="center"/>
          </w:tcPr>
          <w:p w14:paraId="388E7B65">
            <w:pPr>
              <w:keepNext w:val="0"/>
              <w:keepLines w:val="0"/>
              <w:pageBreakBefore w:val="0"/>
              <w:widowControl w:val="0"/>
              <w:kinsoku/>
              <w:wordWrap/>
              <w:overflowPunct/>
              <w:topLinePunct w:val="0"/>
              <w:autoSpaceDE/>
              <w:autoSpaceDN/>
              <w:bidi w:val="0"/>
              <w:spacing w:before="68" w:line="320" w:lineRule="exact"/>
              <w:ind w:left="240" w:leftChars="100" w:right="127" w:rightChars="53" w:firstLine="0" w:firstLineChars="0"/>
              <w:jc w:val="center"/>
              <w:rPr>
                <w:rFonts w:hint="eastAsia" w:ascii="宋体" w:hAnsi="宋体" w:eastAsia="宋体" w:cs="宋体"/>
                <w:spacing w:val="-8"/>
                <w:sz w:val="21"/>
                <w:szCs w:val="21"/>
                <w:lang w:val="en-US" w:eastAsia="zh-CN"/>
              </w:rPr>
            </w:pPr>
            <w:r>
              <w:rPr>
                <w:rFonts w:hint="eastAsia" w:ascii="宋体" w:hAnsi="宋体" w:eastAsia="宋体" w:cs="宋体"/>
                <w:spacing w:val="-8"/>
                <w:sz w:val="21"/>
                <w:szCs w:val="21"/>
                <w:lang w:val="en-US" w:eastAsia="zh-CN"/>
              </w:rPr>
              <w:t>对建设过程中未同时实施审批决定中的环保措施的行政处罚</w:t>
            </w:r>
          </w:p>
        </w:tc>
        <w:tc>
          <w:tcPr>
            <w:tcW w:w="1094" w:type="dxa"/>
            <w:shd w:val="clear" w:color="auto" w:fill="auto"/>
            <w:vAlign w:val="center"/>
          </w:tcPr>
          <w:p w14:paraId="336A803E">
            <w:pPr>
              <w:keepNext w:val="0"/>
              <w:keepLines w:val="0"/>
              <w:pageBreakBefore w:val="0"/>
              <w:widowControl w:val="0"/>
              <w:kinsoku/>
              <w:wordWrap/>
              <w:overflowPunct/>
              <w:topLinePunct w:val="0"/>
              <w:autoSpaceDE/>
              <w:autoSpaceDN/>
              <w:bidi w:val="0"/>
              <w:spacing w:before="68" w:line="320" w:lineRule="exact"/>
              <w:ind w:left="0" w:leftChars="0" w:firstLine="0" w:firstLineChars="0"/>
              <w:jc w:val="center"/>
              <w:rPr>
                <w:rFonts w:hint="eastAsia" w:ascii="仿宋_GB2312" w:hAnsi="仿宋_GB2312" w:eastAsia="仿宋_GB2312" w:cs="仿宋_GB2312"/>
                <w:spacing w:val="-8"/>
                <w:sz w:val="24"/>
                <w:szCs w:val="24"/>
                <w:lang w:val="en-US" w:eastAsia="zh-CN"/>
              </w:rPr>
            </w:pPr>
            <w:r>
              <w:rPr>
                <w:rFonts w:hint="eastAsia" w:ascii="仿宋_GB2312" w:hAnsi="仿宋_GB2312" w:eastAsia="仿宋_GB2312" w:cs="仿宋_GB2312"/>
                <w:spacing w:val="-8"/>
                <w:sz w:val="24"/>
                <w:szCs w:val="24"/>
                <w:lang w:val="en-US" w:eastAsia="zh-CN"/>
              </w:rPr>
              <w:t>行政处罚</w:t>
            </w:r>
          </w:p>
        </w:tc>
        <w:tc>
          <w:tcPr>
            <w:tcW w:w="8317" w:type="dxa"/>
            <w:shd w:val="clear" w:color="auto" w:fill="auto"/>
            <w:vAlign w:val="top"/>
          </w:tcPr>
          <w:p w14:paraId="641C5EC7">
            <w:pPr>
              <w:keepNext w:val="0"/>
              <w:keepLines w:val="0"/>
              <w:pageBreakBefore w:val="0"/>
              <w:widowControl w:val="0"/>
              <w:suppressLineNumbers w:val="0"/>
              <w:kinsoku/>
              <w:wordWrap/>
              <w:overflowPunct/>
              <w:topLinePunct w:val="0"/>
              <w:autoSpaceDE/>
              <w:autoSpaceDN/>
              <w:bidi w:val="0"/>
              <w:adjustRightInd/>
              <w:snapToGrid/>
              <w:spacing w:after="0" w:afterLines="-2147483648" w:line="320" w:lineRule="exact"/>
              <w:ind w:left="240" w:leftChars="100" w:firstLine="420" w:firstLineChars="200"/>
              <w:jc w:val="both"/>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建设项目环境保护管理条例》第二十二条第二款违反本条例规定，建设单位在项目建设过程中未同时组织实施环境影响报告书、环境影响报告表及其审批部门审批决定中提出的环境保护对策措施的，由建设项目所在地县级以上环境保护行政主管部门责令限期改正，处20万元以上100万元以下的罚款；逾期不改正的，责令停止建设。</w:t>
            </w:r>
          </w:p>
          <w:p w14:paraId="46972C76">
            <w:pPr>
              <w:keepNext w:val="0"/>
              <w:keepLines w:val="0"/>
              <w:pageBreakBefore w:val="0"/>
              <w:widowControl w:val="0"/>
              <w:suppressLineNumbers w:val="0"/>
              <w:kinsoku/>
              <w:wordWrap/>
              <w:overflowPunct/>
              <w:topLinePunct w:val="0"/>
              <w:autoSpaceDE/>
              <w:autoSpaceDN/>
              <w:bidi w:val="0"/>
              <w:adjustRightInd/>
              <w:snapToGrid/>
              <w:spacing w:after="0" w:afterLines="-2147483648" w:line="320" w:lineRule="exact"/>
              <w:ind w:left="240" w:leftChars="100" w:firstLine="420" w:firstLineChars="200"/>
              <w:jc w:val="both"/>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陕西省实施《中华人民共和国环境保护法》办法》第三十四条建设单位在项目建设过程中未同时组织实施环境影响报告书、环境影响报告表及其审批部门审批决定中提出的环境保护对策措施的，由建设项目所在地县级以上生态环境行政主管部门责令限期改正，处二十万元以上一百万元以下的罚款；逾期不改正的，责令停止建设。需要配套建设的环境保护设施未建成、未经验收或者验收不合格，建设项目即投入生产或者使用，或者在环境保护设施验收中弄虚作假的，由县级以上生态环境行政主管部门责令限期改正，处二十万元以上一百万元以下的罚款；逾期不改正的，处一百万元以上二百万元以下的罚款；对直接负责的主管人员和其他责任人员，处五万元以上二十万元以下的罚款；造成重大环境污染或者生态破坏的，责令停止生产或者使用，或者报经有批准权的人民政府批准，责令关闭。</w:t>
            </w:r>
          </w:p>
          <w:p w14:paraId="5B03EB7C">
            <w:pPr>
              <w:keepNext w:val="0"/>
              <w:keepLines w:val="0"/>
              <w:pageBreakBefore w:val="0"/>
              <w:widowControl w:val="0"/>
              <w:suppressLineNumbers w:val="0"/>
              <w:kinsoku/>
              <w:wordWrap/>
              <w:overflowPunct/>
              <w:topLinePunct w:val="0"/>
              <w:autoSpaceDE/>
              <w:autoSpaceDN/>
              <w:bidi w:val="0"/>
              <w:adjustRightInd/>
              <w:snapToGrid/>
              <w:spacing w:after="0" w:afterLines="-2147483648" w:line="320" w:lineRule="exact"/>
              <w:ind w:left="240" w:leftChars="100" w:firstLine="420" w:firstLineChars="200"/>
              <w:jc w:val="both"/>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3.《陕西省实施《中华人民共和国环境影响评价法》办法》第三十八条违反本办法第二十七条第一款规定的，建设单位在项目建设过程中未同时组织实施环境影响报告书、环境影响报告表及其审批部门审批决定中提出的环境污染防治和生态环境保护措施的，由建设项目所在地县级以上生态环境行政主管部门责令限期改正，处二十万元以上一百万元以下的罚款；逾期不改正的，责令停止建设；造成生态环境破坏的，责令恢复原状。</w:t>
            </w:r>
          </w:p>
        </w:tc>
        <w:tc>
          <w:tcPr>
            <w:tcW w:w="1130" w:type="dxa"/>
            <w:gridSpan w:val="2"/>
            <w:vAlign w:val="top"/>
          </w:tcPr>
          <w:p w14:paraId="2E97224F">
            <w:pPr>
              <w:keepNext w:val="0"/>
              <w:keepLines w:val="0"/>
              <w:pageBreakBefore w:val="0"/>
              <w:widowControl w:val="0"/>
              <w:kinsoku/>
              <w:wordWrap/>
              <w:overflowPunct/>
              <w:topLinePunct w:val="0"/>
              <w:autoSpaceDE/>
              <w:autoSpaceDN/>
              <w:bidi w:val="0"/>
              <w:spacing w:before="158" w:line="320" w:lineRule="exact"/>
              <w:ind w:left="46" w:right="26"/>
              <w:rPr>
                <w:rFonts w:ascii="宋体" w:hAnsi="宋体" w:eastAsia="宋体" w:cs="宋体"/>
                <w:sz w:val="21"/>
                <w:szCs w:val="21"/>
              </w:rPr>
            </w:pPr>
          </w:p>
        </w:tc>
        <w:tc>
          <w:tcPr>
            <w:tcW w:w="989" w:type="dxa"/>
            <w:tcBorders>
              <w:right w:val="single" w:color="000000" w:sz="10" w:space="0"/>
            </w:tcBorders>
            <w:vAlign w:val="top"/>
          </w:tcPr>
          <w:p w14:paraId="2BFEF33A">
            <w:pPr>
              <w:keepNext w:val="0"/>
              <w:keepLines w:val="0"/>
              <w:pageBreakBefore w:val="0"/>
              <w:widowControl w:val="0"/>
              <w:kinsoku/>
              <w:wordWrap/>
              <w:overflowPunct/>
              <w:topLinePunct w:val="0"/>
              <w:autoSpaceDE/>
              <w:autoSpaceDN/>
              <w:bidi w:val="0"/>
              <w:spacing w:before="288" w:line="320" w:lineRule="exact"/>
              <w:ind w:firstLine="87"/>
              <w:rPr>
                <w:rFonts w:ascii="宋体" w:hAnsi="宋体" w:eastAsia="宋体" w:cs="宋体"/>
                <w:sz w:val="21"/>
                <w:szCs w:val="21"/>
              </w:rPr>
            </w:pPr>
          </w:p>
        </w:tc>
      </w:tr>
      <w:tr w14:paraId="7B289A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1" w:hRule="atLeast"/>
        </w:trPr>
        <w:tc>
          <w:tcPr>
            <w:tcW w:w="557" w:type="dxa"/>
            <w:tcBorders>
              <w:left w:val="single" w:color="000000" w:sz="10" w:space="0"/>
            </w:tcBorders>
            <w:shd w:val="clear" w:color="auto" w:fill="auto"/>
            <w:vAlign w:val="center"/>
          </w:tcPr>
          <w:p w14:paraId="4708B34C">
            <w:pPr>
              <w:keepNext w:val="0"/>
              <w:keepLines w:val="0"/>
              <w:pageBreakBefore w:val="0"/>
              <w:widowControl w:val="0"/>
              <w:kinsoku/>
              <w:wordWrap/>
              <w:overflowPunct/>
              <w:topLinePunct w:val="0"/>
              <w:autoSpaceDE/>
              <w:autoSpaceDN/>
              <w:bidi w:val="0"/>
              <w:spacing w:before="68" w:line="320" w:lineRule="exact"/>
              <w:ind w:left="0" w:leftChars="0" w:firstLine="0" w:firstLineChars="0"/>
              <w:jc w:val="center"/>
              <w:rPr>
                <w:rFonts w:hint="eastAsia" w:ascii="仿宋_GB2312" w:hAnsi="仿宋_GB2312" w:eastAsia="仿宋_GB2312" w:cs="仿宋_GB2312"/>
                <w:spacing w:val="-8"/>
                <w:sz w:val="24"/>
                <w:szCs w:val="24"/>
                <w:lang w:val="en-US" w:eastAsia="zh-CN"/>
              </w:rPr>
            </w:pPr>
            <w:r>
              <w:rPr>
                <w:rFonts w:hint="eastAsia" w:ascii="仿宋_GB2312" w:hAnsi="仿宋_GB2312" w:eastAsia="仿宋_GB2312" w:cs="仿宋_GB2312"/>
                <w:spacing w:val="-8"/>
                <w:sz w:val="24"/>
                <w:szCs w:val="24"/>
                <w:lang w:val="en-US" w:eastAsia="zh-CN"/>
              </w:rPr>
              <w:t>13</w:t>
            </w:r>
          </w:p>
        </w:tc>
        <w:tc>
          <w:tcPr>
            <w:tcW w:w="2355" w:type="dxa"/>
            <w:shd w:val="clear" w:color="auto" w:fill="auto"/>
            <w:vAlign w:val="center"/>
          </w:tcPr>
          <w:p w14:paraId="21B1A37B">
            <w:pPr>
              <w:keepNext w:val="0"/>
              <w:keepLines w:val="0"/>
              <w:pageBreakBefore w:val="0"/>
              <w:widowControl w:val="0"/>
              <w:kinsoku/>
              <w:wordWrap/>
              <w:overflowPunct/>
              <w:topLinePunct w:val="0"/>
              <w:autoSpaceDE/>
              <w:autoSpaceDN/>
              <w:bidi w:val="0"/>
              <w:spacing w:before="68" w:line="320" w:lineRule="exact"/>
              <w:ind w:left="240" w:leftChars="100" w:right="127" w:rightChars="53" w:firstLine="0" w:firstLineChars="0"/>
              <w:jc w:val="center"/>
              <w:rPr>
                <w:rFonts w:hint="eastAsia" w:ascii="宋体" w:hAnsi="宋体" w:eastAsia="宋体" w:cs="宋体"/>
                <w:spacing w:val="-8"/>
                <w:sz w:val="21"/>
                <w:szCs w:val="21"/>
                <w:lang w:val="en-US" w:eastAsia="zh-CN"/>
              </w:rPr>
            </w:pPr>
            <w:r>
              <w:rPr>
                <w:rFonts w:hint="eastAsia" w:ascii="宋体" w:hAnsi="宋体" w:eastAsia="宋体" w:cs="宋体"/>
                <w:spacing w:val="-8"/>
                <w:sz w:val="21"/>
                <w:szCs w:val="21"/>
                <w:lang w:val="en-US" w:eastAsia="zh-CN"/>
              </w:rPr>
              <w:t>对环保设施未建成、未验收即投入生产或者使用等行为的行政处罚</w:t>
            </w:r>
          </w:p>
        </w:tc>
        <w:tc>
          <w:tcPr>
            <w:tcW w:w="1094" w:type="dxa"/>
            <w:shd w:val="clear" w:color="auto" w:fill="auto"/>
            <w:vAlign w:val="center"/>
          </w:tcPr>
          <w:p w14:paraId="32D95C69">
            <w:pPr>
              <w:keepNext w:val="0"/>
              <w:keepLines w:val="0"/>
              <w:pageBreakBefore w:val="0"/>
              <w:widowControl w:val="0"/>
              <w:kinsoku/>
              <w:wordWrap/>
              <w:overflowPunct/>
              <w:topLinePunct w:val="0"/>
              <w:autoSpaceDE/>
              <w:autoSpaceDN/>
              <w:bidi w:val="0"/>
              <w:spacing w:before="68" w:line="320" w:lineRule="exact"/>
              <w:ind w:left="0" w:leftChars="0" w:firstLine="0" w:firstLineChars="0"/>
              <w:jc w:val="center"/>
              <w:rPr>
                <w:rFonts w:hint="eastAsia" w:ascii="仿宋_GB2312" w:hAnsi="仿宋_GB2312" w:eastAsia="仿宋_GB2312" w:cs="仿宋_GB2312"/>
                <w:spacing w:val="-8"/>
                <w:sz w:val="24"/>
                <w:szCs w:val="24"/>
                <w:lang w:val="en-US" w:eastAsia="zh-CN"/>
              </w:rPr>
            </w:pPr>
            <w:r>
              <w:rPr>
                <w:rFonts w:hint="eastAsia" w:ascii="仿宋_GB2312" w:hAnsi="仿宋_GB2312" w:eastAsia="仿宋_GB2312" w:cs="仿宋_GB2312"/>
                <w:spacing w:val="-8"/>
                <w:sz w:val="24"/>
                <w:szCs w:val="24"/>
                <w:lang w:val="en-US" w:eastAsia="zh-CN"/>
              </w:rPr>
              <w:t>行政处罚</w:t>
            </w:r>
          </w:p>
        </w:tc>
        <w:tc>
          <w:tcPr>
            <w:tcW w:w="8317" w:type="dxa"/>
            <w:shd w:val="clear" w:color="auto" w:fill="auto"/>
            <w:vAlign w:val="top"/>
          </w:tcPr>
          <w:p w14:paraId="436A7935">
            <w:pPr>
              <w:keepNext w:val="0"/>
              <w:keepLines w:val="0"/>
              <w:pageBreakBefore w:val="0"/>
              <w:widowControl w:val="0"/>
              <w:suppressLineNumbers w:val="0"/>
              <w:kinsoku/>
              <w:wordWrap/>
              <w:overflowPunct/>
              <w:topLinePunct w:val="0"/>
              <w:autoSpaceDE/>
              <w:autoSpaceDN/>
              <w:bidi w:val="0"/>
              <w:adjustRightInd/>
              <w:snapToGrid/>
              <w:spacing w:after="0" w:afterLines="-2147483648" w:line="320" w:lineRule="exact"/>
              <w:ind w:left="240" w:leftChars="100" w:firstLine="420" w:firstLineChars="200"/>
              <w:jc w:val="both"/>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建设项目环境保护管理条例》第二十三条第一款违反本条例规定，需要配套建设的环境保护设施未建成、未经验收或者验收不合格，建设项目即投入生产或者使用，或者在环境保护设施验收中弄虚作假的，由县级以上环境保护行政主管部门责令限期改正，处20万元以上100万元以下的罚款；逾期不改正的，处100万元以上200万元以下的罚款；对直接负责的主管人员和其他责任人员，处5万元以上20万元以下的罚款；造成重大环境污染或者生态破坏的，责令停止生产或者使用，或者报经有批准权的人民政府批准，责令关闭。</w:t>
            </w:r>
          </w:p>
          <w:p w14:paraId="3CDF4CD7">
            <w:pPr>
              <w:keepNext w:val="0"/>
              <w:keepLines w:val="0"/>
              <w:pageBreakBefore w:val="0"/>
              <w:widowControl w:val="0"/>
              <w:suppressLineNumbers w:val="0"/>
              <w:kinsoku/>
              <w:wordWrap/>
              <w:overflowPunct/>
              <w:topLinePunct w:val="0"/>
              <w:autoSpaceDE/>
              <w:autoSpaceDN/>
              <w:bidi w:val="0"/>
              <w:adjustRightInd/>
              <w:snapToGrid/>
              <w:spacing w:after="0" w:afterLines="-2147483648" w:line="320" w:lineRule="exact"/>
              <w:ind w:left="240" w:leftChars="100" w:firstLine="420" w:firstLineChars="200"/>
              <w:jc w:val="both"/>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陕西省实施《中华人民共和国环境保护法》办法》第三十四条建设单位在项目建设过程中未同时组织实施环境影响报告书、环境影响报告表及其审批部门审批决定中提出的环境保护对策措施的，由建设项目所在地县级以上生态环境行政主管部门责令限期改正，处二十万元以上一百万元以下的罚款；逾期不改正的，责令停止建设。需要配套建设的环境保护设施未建成、未经验收或者验收不合格，建设项目即投入生产或者使用，或者在环境保护设施验收中弄虚作假的，由县级以上生态环境行政主管部门责令限期改正，处二十万元以上一百万元以下的罚款；逾期不改正的，处一百万元以上二百万元以下的罚款；对直接负责的主管人员和其他责任人员，处五万元以上二十万元以下的罚款；造成重大环境污染或者生态破坏的，责令停止生产或者使用，或者报经有批准权的人民政府批准，责令关闭。</w:t>
            </w:r>
          </w:p>
        </w:tc>
        <w:tc>
          <w:tcPr>
            <w:tcW w:w="1130" w:type="dxa"/>
            <w:gridSpan w:val="2"/>
            <w:vAlign w:val="top"/>
          </w:tcPr>
          <w:p w14:paraId="7B5A9F25">
            <w:pPr>
              <w:keepNext w:val="0"/>
              <w:keepLines w:val="0"/>
              <w:pageBreakBefore w:val="0"/>
              <w:widowControl w:val="0"/>
              <w:kinsoku/>
              <w:wordWrap/>
              <w:overflowPunct/>
              <w:topLinePunct w:val="0"/>
              <w:autoSpaceDE/>
              <w:autoSpaceDN/>
              <w:bidi w:val="0"/>
              <w:spacing w:before="158" w:line="320" w:lineRule="exact"/>
              <w:ind w:left="46" w:right="26"/>
              <w:rPr>
                <w:rFonts w:ascii="宋体" w:hAnsi="宋体" w:eastAsia="宋体" w:cs="宋体"/>
                <w:sz w:val="21"/>
                <w:szCs w:val="21"/>
              </w:rPr>
            </w:pPr>
          </w:p>
        </w:tc>
        <w:tc>
          <w:tcPr>
            <w:tcW w:w="989" w:type="dxa"/>
            <w:tcBorders>
              <w:right w:val="single" w:color="000000" w:sz="10" w:space="0"/>
            </w:tcBorders>
            <w:vAlign w:val="top"/>
          </w:tcPr>
          <w:p w14:paraId="7B261C3F">
            <w:pPr>
              <w:keepNext w:val="0"/>
              <w:keepLines w:val="0"/>
              <w:pageBreakBefore w:val="0"/>
              <w:widowControl w:val="0"/>
              <w:kinsoku/>
              <w:wordWrap/>
              <w:overflowPunct/>
              <w:topLinePunct w:val="0"/>
              <w:autoSpaceDE/>
              <w:autoSpaceDN/>
              <w:bidi w:val="0"/>
              <w:spacing w:before="288" w:line="320" w:lineRule="exact"/>
              <w:ind w:firstLine="87"/>
              <w:rPr>
                <w:rFonts w:ascii="宋体" w:hAnsi="宋体" w:eastAsia="宋体" w:cs="宋体"/>
                <w:sz w:val="21"/>
                <w:szCs w:val="21"/>
              </w:rPr>
            </w:pPr>
          </w:p>
        </w:tc>
      </w:tr>
      <w:tr w14:paraId="00A82F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1" w:hRule="atLeast"/>
        </w:trPr>
        <w:tc>
          <w:tcPr>
            <w:tcW w:w="557" w:type="dxa"/>
            <w:tcBorders>
              <w:left w:val="single" w:color="000000" w:sz="10" w:space="0"/>
            </w:tcBorders>
            <w:shd w:val="clear" w:color="auto" w:fill="auto"/>
            <w:vAlign w:val="center"/>
          </w:tcPr>
          <w:p w14:paraId="7079F12C">
            <w:pPr>
              <w:keepNext w:val="0"/>
              <w:keepLines w:val="0"/>
              <w:pageBreakBefore w:val="0"/>
              <w:widowControl w:val="0"/>
              <w:kinsoku/>
              <w:wordWrap/>
              <w:overflowPunct/>
              <w:topLinePunct w:val="0"/>
              <w:autoSpaceDE/>
              <w:autoSpaceDN/>
              <w:bidi w:val="0"/>
              <w:spacing w:before="68" w:line="320" w:lineRule="exact"/>
              <w:ind w:left="0" w:leftChars="0" w:firstLine="0" w:firstLineChars="0"/>
              <w:jc w:val="center"/>
              <w:rPr>
                <w:rFonts w:hint="eastAsia" w:ascii="仿宋_GB2312" w:hAnsi="仿宋_GB2312" w:eastAsia="仿宋_GB2312" w:cs="仿宋_GB2312"/>
                <w:spacing w:val="-8"/>
                <w:sz w:val="24"/>
                <w:szCs w:val="24"/>
                <w:lang w:val="en-US" w:eastAsia="zh-CN"/>
              </w:rPr>
            </w:pPr>
            <w:r>
              <w:rPr>
                <w:rFonts w:hint="eastAsia" w:ascii="仿宋_GB2312" w:hAnsi="仿宋_GB2312" w:eastAsia="仿宋_GB2312" w:cs="仿宋_GB2312"/>
                <w:spacing w:val="-8"/>
                <w:sz w:val="24"/>
                <w:szCs w:val="24"/>
                <w:lang w:val="en-US" w:eastAsia="zh-CN"/>
              </w:rPr>
              <w:t>14</w:t>
            </w:r>
          </w:p>
        </w:tc>
        <w:tc>
          <w:tcPr>
            <w:tcW w:w="2355" w:type="dxa"/>
            <w:shd w:val="clear" w:color="auto" w:fill="auto"/>
            <w:vAlign w:val="center"/>
          </w:tcPr>
          <w:p w14:paraId="6F436AC6">
            <w:pPr>
              <w:keepNext w:val="0"/>
              <w:keepLines w:val="0"/>
              <w:pageBreakBefore w:val="0"/>
              <w:widowControl w:val="0"/>
              <w:kinsoku/>
              <w:wordWrap/>
              <w:overflowPunct/>
              <w:topLinePunct w:val="0"/>
              <w:autoSpaceDE/>
              <w:autoSpaceDN/>
              <w:bidi w:val="0"/>
              <w:spacing w:before="68" w:line="320" w:lineRule="exact"/>
              <w:ind w:left="240" w:leftChars="100" w:right="127" w:rightChars="53" w:firstLine="0" w:firstLineChars="0"/>
              <w:jc w:val="center"/>
              <w:rPr>
                <w:rFonts w:hint="eastAsia" w:ascii="宋体" w:hAnsi="宋体" w:eastAsia="宋体" w:cs="宋体"/>
                <w:spacing w:val="-8"/>
                <w:sz w:val="21"/>
                <w:szCs w:val="21"/>
                <w:lang w:val="en-US" w:eastAsia="zh-CN"/>
              </w:rPr>
            </w:pPr>
            <w:r>
              <w:rPr>
                <w:rFonts w:hint="eastAsia" w:ascii="宋体" w:hAnsi="宋体" w:eastAsia="宋体" w:cs="宋体"/>
                <w:spacing w:val="-8"/>
                <w:sz w:val="21"/>
                <w:szCs w:val="21"/>
                <w:lang w:val="en-US" w:eastAsia="zh-CN"/>
              </w:rPr>
              <w:t>对建设单位未依法向社会公开环境保护设施验收报告的行政处罚</w:t>
            </w:r>
          </w:p>
        </w:tc>
        <w:tc>
          <w:tcPr>
            <w:tcW w:w="1094" w:type="dxa"/>
            <w:shd w:val="clear" w:color="auto" w:fill="auto"/>
            <w:vAlign w:val="center"/>
          </w:tcPr>
          <w:p w14:paraId="0293F613">
            <w:pPr>
              <w:keepNext w:val="0"/>
              <w:keepLines w:val="0"/>
              <w:pageBreakBefore w:val="0"/>
              <w:widowControl w:val="0"/>
              <w:kinsoku/>
              <w:wordWrap/>
              <w:overflowPunct/>
              <w:topLinePunct w:val="0"/>
              <w:autoSpaceDE/>
              <w:autoSpaceDN/>
              <w:bidi w:val="0"/>
              <w:spacing w:before="68" w:line="320" w:lineRule="exact"/>
              <w:ind w:left="0" w:leftChars="0" w:firstLine="0" w:firstLineChars="0"/>
              <w:jc w:val="center"/>
              <w:rPr>
                <w:rFonts w:hint="eastAsia" w:ascii="仿宋_GB2312" w:hAnsi="仿宋_GB2312" w:eastAsia="仿宋_GB2312" w:cs="仿宋_GB2312"/>
                <w:spacing w:val="-8"/>
                <w:sz w:val="24"/>
                <w:szCs w:val="24"/>
                <w:lang w:val="en-US" w:eastAsia="zh-CN"/>
              </w:rPr>
            </w:pPr>
            <w:r>
              <w:rPr>
                <w:rFonts w:hint="eastAsia" w:ascii="仿宋_GB2312" w:hAnsi="仿宋_GB2312" w:eastAsia="仿宋_GB2312" w:cs="仿宋_GB2312"/>
                <w:spacing w:val="-8"/>
                <w:sz w:val="24"/>
                <w:szCs w:val="24"/>
                <w:lang w:val="en-US" w:eastAsia="zh-CN"/>
              </w:rPr>
              <w:t>行政处罚</w:t>
            </w:r>
          </w:p>
        </w:tc>
        <w:tc>
          <w:tcPr>
            <w:tcW w:w="8317" w:type="dxa"/>
            <w:shd w:val="clear" w:color="auto" w:fill="auto"/>
            <w:vAlign w:val="top"/>
          </w:tcPr>
          <w:p w14:paraId="062AE014">
            <w:pPr>
              <w:keepNext w:val="0"/>
              <w:keepLines w:val="0"/>
              <w:pageBreakBefore w:val="0"/>
              <w:widowControl w:val="0"/>
              <w:suppressLineNumbers w:val="0"/>
              <w:kinsoku/>
              <w:wordWrap/>
              <w:overflowPunct/>
              <w:topLinePunct w:val="0"/>
              <w:autoSpaceDE/>
              <w:autoSpaceDN/>
              <w:bidi w:val="0"/>
              <w:adjustRightInd/>
              <w:snapToGrid/>
              <w:spacing w:after="0" w:afterLines="-2147483648" w:line="320" w:lineRule="exact"/>
              <w:ind w:left="240" w:leftChars="100" w:firstLine="420" w:firstLineChars="200"/>
              <w:jc w:val="both"/>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建设项目环境保护管理条例》第二十三条第二款违反本条例规定，建设单位未依法向社会公开环境保护设施验收报告的，由县级以上环境保护行政主管部门责令公开，处5万元以上20万元以下的罚款，并予以公告。</w:t>
            </w:r>
          </w:p>
        </w:tc>
        <w:tc>
          <w:tcPr>
            <w:tcW w:w="1130" w:type="dxa"/>
            <w:gridSpan w:val="2"/>
            <w:vAlign w:val="top"/>
          </w:tcPr>
          <w:p w14:paraId="01511E72">
            <w:pPr>
              <w:keepNext w:val="0"/>
              <w:keepLines w:val="0"/>
              <w:pageBreakBefore w:val="0"/>
              <w:widowControl w:val="0"/>
              <w:kinsoku/>
              <w:wordWrap/>
              <w:overflowPunct/>
              <w:topLinePunct w:val="0"/>
              <w:autoSpaceDE/>
              <w:autoSpaceDN/>
              <w:bidi w:val="0"/>
              <w:spacing w:before="158" w:line="320" w:lineRule="exact"/>
              <w:ind w:left="46" w:right="26"/>
              <w:rPr>
                <w:rFonts w:ascii="宋体" w:hAnsi="宋体" w:eastAsia="宋体" w:cs="宋体"/>
                <w:sz w:val="21"/>
                <w:szCs w:val="21"/>
              </w:rPr>
            </w:pPr>
          </w:p>
        </w:tc>
        <w:tc>
          <w:tcPr>
            <w:tcW w:w="989" w:type="dxa"/>
            <w:tcBorders>
              <w:right w:val="single" w:color="000000" w:sz="10" w:space="0"/>
            </w:tcBorders>
            <w:vAlign w:val="top"/>
          </w:tcPr>
          <w:p w14:paraId="11676492">
            <w:pPr>
              <w:keepNext w:val="0"/>
              <w:keepLines w:val="0"/>
              <w:pageBreakBefore w:val="0"/>
              <w:widowControl w:val="0"/>
              <w:kinsoku/>
              <w:wordWrap/>
              <w:overflowPunct/>
              <w:topLinePunct w:val="0"/>
              <w:autoSpaceDE/>
              <w:autoSpaceDN/>
              <w:bidi w:val="0"/>
              <w:spacing w:before="288" w:line="320" w:lineRule="exact"/>
              <w:ind w:firstLine="87"/>
              <w:rPr>
                <w:rFonts w:ascii="宋体" w:hAnsi="宋体" w:eastAsia="宋体" w:cs="宋体"/>
                <w:sz w:val="21"/>
                <w:szCs w:val="21"/>
              </w:rPr>
            </w:pPr>
          </w:p>
        </w:tc>
      </w:tr>
      <w:tr w14:paraId="0705C2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4" w:hRule="atLeast"/>
        </w:trPr>
        <w:tc>
          <w:tcPr>
            <w:tcW w:w="557" w:type="dxa"/>
            <w:tcBorders>
              <w:left w:val="single" w:color="000000" w:sz="10" w:space="0"/>
            </w:tcBorders>
            <w:vAlign w:val="center"/>
          </w:tcPr>
          <w:p w14:paraId="294BF93C">
            <w:pPr>
              <w:keepNext w:val="0"/>
              <w:keepLines w:val="0"/>
              <w:pageBreakBefore w:val="0"/>
              <w:widowControl w:val="0"/>
              <w:kinsoku/>
              <w:wordWrap/>
              <w:overflowPunct/>
              <w:topLinePunct w:val="0"/>
              <w:autoSpaceDE/>
              <w:autoSpaceDN/>
              <w:bidi w:val="0"/>
              <w:spacing w:before="68" w:line="320" w:lineRule="exact"/>
              <w:ind w:left="0" w:leftChars="0" w:firstLine="0" w:firstLineChars="0"/>
              <w:jc w:val="center"/>
              <w:rPr>
                <w:rFonts w:hint="eastAsia" w:ascii="仿宋_GB2312" w:hAnsi="仿宋_GB2312" w:eastAsia="仿宋_GB2312" w:cs="仿宋_GB2312"/>
                <w:spacing w:val="-8"/>
                <w:sz w:val="24"/>
                <w:szCs w:val="24"/>
                <w:lang w:val="en-US" w:eastAsia="zh-CN"/>
              </w:rPr>
            </w:pPr>
            <w:r>
              <w:rPr>
                <w:rFonts w:hint="eastAsia" w:ascii="仿宋_GB2312" w:hAnsi="仿宋_GB2312" w:eastAsia="仿宋_GB2312" w:cs="仿宋_GB2312"/>
                <w:spacing w:val="-8"/>
                <w:sz w:val="24"/>
                <w:szCs w:val="24"/>
                <w:lang w:val="en-US" w:eastAsia="zh-CN"/>
              </w:rPr>
              <w:t>15</w:t>
            </w:r>
          </w:p>
        </w:tc>
        <w:tc>
          <w:tcPr>
            <w:tcW w:w="2355" w:type="dxa"/>
            <w:vAlign w:val="center"/>
          </w:tcPr>
          <w:p w14:paraId="3280A896">
            <w:pPr>
              <w:keepNext w:val="0"/>
              <w:keepLines w:val="0"/>
              <w:pageBreakBefore w:val="0"/>
              <w:widowControl w:val="0"/>
              <w:kinsoku/>
              <w:wordWrap/>
              <w:overflowPunct/>
              <w:topLinePunct w:val="0"/>
              <w:autoSpaceDE/>
              <w:autoSpaceDN/>
              <w:bidi w:val="0"/>
              <w:spacing w:before="68" w:line="320" w:lineRule="exact"/>
              <w:ind w:left="240" w:leftChars="100" w:right="127" w:rightChars="53" w:firstLine="0" w:firstLineChars="0"/>
              <w:jc w:val="center"/>
              <w:rPr>
                <w:rFonts w:hint="eastAsia" w:ascii="宋体" w:hAnsi="宋体" w:eastAsia="宋体" w:cs="宋体"/>
                <w:spacing w:val="-8"/>
                <w:sz w:val="21"/>
                <w:szCs w:val="21"/>
                <w:lang w:val="en-US" w:eastAsia="zh-CN"/>
              </w:rPr>
            </w:pPr>
            <w:r>
              <w:rPr>
                <w:rFonts w:hint="eastAsia" w:ascii="宋体" w:hAnsi="宋体" w:eastAsia="宋体" w:cs="宋体"/>
                <w:spacing w:val="-8"/>
                <w:sz w:val="21"/>
                <w:szCs w:val="21"/>
                <w:lang w:val="en-US" w:eastAsia="zh-CN"/>
              </w:rPr>
              <w:t>对从事技术评估的技术单位违规收取费用的行政处罚</w:t>
            </w:r>
          </w:p>
        </w:tc>
        <w:tc>
          <w:tcPr>
            <w:tcW w:w="1094" w:type="dxa"/>
            <w:vAlign w:val="center"/>
          </w:tcPr>
          <w:p w14:paraId="4F2502BA">
            <w:pPr>
              <w:keepNext w:val="0"/>
              <w:keepLines w:val="0"/>
              <w:pageBreakBefore w:val="0"/>
              <w:widowControl w:val="0"/>
              <w:kinsoku/>
              <w:wordWrap/>
              <w:overflowPunct/>
              <w:topLinePunct w:val="0"/>
              <w:autoSpaceDE/>
              <w:autoSpaceDN/>
              <w:bidi w:val="0"/>
              <w:spacing w:before="68" w:line="320" w:lineRule="exact"/>
              <w:ind w:left="0" w:leftChars="0" w:firstLine="0" w:firstLineChars="0"/>
              <w:jc w:val="center"/>
              <w:rPr>
                <w:rFonts w:hint="eastAsia" w:ascii="仿宋_GB2312" w:hAnsi="仿宋_GB2312" w:eastAsia="仿宋_GB2312" w:cs="仿宋_GB2312"/>
                <w:spacing w:val="-8"/>
                <w:sz w:val="24"/>
                <w:szCs w:val="24"/>
                <w:lang w:val="en-US" w:eastAsia="zh-CN"/>
              </w:rPr>
            </w:pPr>
            <w:r>
              <w:rPr>
                <w:rFonts w:hint="eastAsia" w:ascii="仿宋_GB2312" w:hAnsi="仿宋_GB2312" w:eastAsia="仿宋_GB2312" w:cs="仿宋_GB2312"/>
                <w:spacing w:val="-8"/>
                <w:sz w:val="24"/>
                <w:szCs w:val="24"/>
                <w:lang w:val="en-US" w:eastAsia="zh-CN"/>
              </w:rPr>
              <w:t>行政处罚</w:t>
            </w:r>
          </w:p>
        </w:tc>
        <w:tc>
          <w:tcPr>
            <w:tcW w:w="8317" w:type="dxa"/>
            <w:vAlign w:val="top"/>
          </w:tcPr>
          <w:p w14:paraId="554B462F">
            <w:pPr>
              <w:keepNext w:val="0"/>
              <w:keepLines w:val="0"/>
              <w:pageBreakBefore w:val="0"/>
              <w:widowControl w:val="0"/>
              <w:suppressLineNumbers w:val="0"/>
              <w:kinsoku/>
              <w:wordWrap/>
              <w:overflowPunct/>
              <w:topLinePunct w:val="0"/>
              <w:autoSpaceDE/>
              <w:autoSpaceDN/>
              <w:bidi w:val="0"/>
              <w:adjustRightInd/>
              <w:snapToGrid/>
              <w:spacing w:after="0" w:afterLines="-2147483648" w:line="320" w:lineRule="exact"/>
              <w:ind w:left="240" w:leftChars="100" w:firstLine="420" w:firstLineChars="200"/>
              <w:jc w:val="both"/>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建设项目环境保护管理条例》第二十四条违反本条例规定，技术机构向建设单位、从事环境影响评价工作的单位收取费用的，由县级以上环境保护行政主管部门责令退还所收费用，处所收费用1倍以上3倍以下的罚款。</w:t>
            </w:r>
          </w:p>
        </w:tc>
        <w:tc>
          <w:tcPr>
            <w:tcW w:w="1130" w:type="dxa"/>
            <w:gridSpan w:val="2"/>
            <w:vAlign w:val="top"/>
          </w:tcPr>
          <w:p w14:paraId="4C471479">
            <w:pPr>
              <w:keepNext w:val="0"/>
              <w:keepLines w:val="0"/>
              <w:pageBreakBefore w:val="0"/>
              <w:widowControl w:val="0"/>
              <w:kinsoku/>
              <w:wordWrap/>
              <w:overflowPunct/>
              <w:topLinePunct w:val="0"/>
              <w:autoSpaceDE/>
              <w:autoSpaceDN/>
              <w:bidi w:val="0"/>
              <w:spacing w:before="177" w:line="320" w:lineRule="exact"/>
              <w:ind w:left="48" w:right="26"/>
              <w:rPr>
                <w:rFonts w:ascii="宋体" w:hAnsi="宋体" w:eastAsia="宋体" w:cs="宋体"/>
                <w:sz w:val="21"/>
                <w:szCs w:val="21"/>
              </w:rPr>
            </w:pPr>
          </w:p>
        </w:tc>
        <w:tc>
          <w:tcPr>
            <w:tcW w:w="989" w:type="dxa"/>
            <w:tcBorders>
              <w:right w:val="single" w:color="000000" w:sz="10" w:space="0"/>
            </w:tcBorders>
            <w:vAlign w:val="top"/>
          </w:tcPr>
          <w:p w14:paraId="33C27A32">
            <w:pPr>
              <w:keepNext w:val="0"/>
              <w:keepLines w:val="0"/>
              <w:pageBreakBefore w:val="0"/>
              <w:widowControl w:val="0"/>
              <w:kinsoku/>
              <w:wordWrap/>
              <w:overflowPunct/>
              <w:topLinePunct w:val="0"/>
              <w:autoSpaceDE/>
              <w:autoSpaceDN/>
              <w:bidi w:val="0"/>
              <w:spacing w:before="308" w:line="320" w:lineRule="exact"/>
              <w:ind w:firstLine="87"/>
              <w:rPr>
                <w:rFonts w:ascii="宋体" w:hAnsi="宋体" w:eastAsia="宋体" w:cs="宋体"/>
                <w:sz w:val="21"/>
                <w:szCs w:val="21"/>
              </w:rPr>
            </w:pPr>
          </w:p>
        </w:tc>
      </w:tr>
      <w:tr w14:paraId="4B10B3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82" w:hRule="atLeast"/>
        </w:trPr>
        <w:tc>
          <w:tcPr>
            <w:tcW w:w="557" w:type="dxa"/>
            <w:tcBorders>
              <w:left w:val="single" w:color="000000" w:sz="10" w:space="0"/>
            </w:tcBorders>
            <w:vAlign w:val="center"/>
          </w:tcPr>
          <w:p w14:paraId="50064BD1">
            <w:pPr>
              <w:keepNext w:val="0"/>
              <w:keepLines w:val="0"/>
              <w:pageBreakBefore w:val="0"/>
              <w:widowControl w:val="0"/>
              <w:kinsoku/>
              <w:wordWrap/>
              <w:overflowPunct/>
              <w:topLinePunct w:val="0"/>
              <w:autoSpaceDE/>
              <w:autoSpaceDN/>
              <w:bidi w:val="0"/>
              <w:spacing w:before="68" w:line="320" w:lineRule="exact"/>
              <w:ind w:left="0" w:leftChars="0" w:firstLine="0" w:firstLineChars="0"/>
              <w:jc w:val="center"/>
              <w:rPr>
                <w:rFonts w:hint="eastAsia" w:ascii="仿宋_GB2312" w:hAnsi="仿宋_GB2312" w:eastAsia="仿宋_GB2312" w:cs="仿宋_GB2312"/>
                <w:spacing w:val="-8"/>
                <w:sz w:val="24"/>
                <w:szCs w:val="24"/>
                <w:lang w:val="en-US" w:eastAsia="zh-CN"/>
              </w:rPr>
            </w:pPr>
            <w:r>
              <w:rPr>
                <w:rFonts w:hint="eastAsia" w:ascii="仿宋_GB2312" w:hAnsi="仿宋_GB2312" w:eastAsia="仿宋_GB2312" w:cs="仿宋_GB2312"/>
                <w:spacing w:val="-8"/>
                <w:sz w:val="24"/>
                <w:szCs w:val="24"/>
                <w:lang w:val="en-US" w:eastAsia="zh-CN"/>
              </w:rPr>
              <w:t>16</w:t>
            </w:r>
          </w:p>
        </w:tc>
        <w:tc>
          <w:tcPr>
            <w:tcW w:w="2355" w:type="dxa"/>
            <w:vAlign w:val="center"/>
          </w:tcPr>
          <w:p w14:paraId="23B0B1DD">
            <w:pPr>
              <w:keepNext w:val="0"/>
              <w:keepLines w:val="0"/>
              <w:pageBreakBefore w:val="0"/>
              <w:widowControl w:val="0"/>
              <w:kinsoku/>
              <w:wordWrap/>
              <w:overflowPunct/>
              <w:topLinePunct w:val="0"/>
              <w:autoSpaceDE/>
              <w:autoSpaceDN/>
              <w:bidi w:val="0"/>
              <w:spacing w:before="68" w:line="320" w:lineRule="exact"/>
              <w:ind w:left="240" w:leftChars="100" w:right="127" w:rightChars="53" w:firstLine="0" w:firstLineChars="0"/>
              <w:jc w:val="center"/>
              <w:rPr>
                <w:rFonts w:hint="eastAsia" w:ascii="宋体" w:hAnsi="宋体" w:eastAsia="宋体" w:cs="宋体"/>
                <w:spacing w:val="-8"/>
                <w:sz w:val="21"/>
                <w:szCs w:val="21"/>
                <w:lang w:val="en-US" w:eastAsia="zh-CN"/>
              </w:rPr>
            </w:pPr>
            <w:r>
              <w:rPr>
                <w:rFonts w:hint="eastAsia" w:ascii="宋体" w:hAnsi="宋体" w:eastAsia="宋体" w:cs="宋体"/>
                <w:spacing w:val="-8"/>
                <w:sz w:val="21"/>
                <w:szCs w:val="21"/>
                <w:lang w:val="en-US" w:eastAsia="zh-CN"/>
              </w:rPr>
              <w:t>对未按规定开展突发环境事件风险评估工作，确定风险等级等行为的行政处罚</w:t>
            </w:r>
          </w:p>
        </w:tc>
        <w:tc>
          <w:tcPr>
            <w:tcW w:w="1094" w:type="dxa"/>
            <w:vAlign w:val="center"/>
          </w:tcPr>
          <w:p w14:paraId="28DFD5B9">
            <w:pPr>
              <w:keepNext w:val="0"/>
              <w:keepLines w:val="0"/>
              <w:pageBreakBefore w:val="0"/>
              <w:widowControl w:val="0"/>
              <w:kinsoku/>
              <w:wordWrap/>
              <w:overflowPunct/>
              <w:topLinePunct w:val="0"/>
              <w:autoSpaceDE/>
              <w:autoSpaceDN/>
              <w:bidi w:val="0"/>
              <w:spacing w:before="68" w:line="320" w:lineRule="exact"/>
              <w:ind w:left="0" w:leftChars="0" w:firstLine="0" w:firstLineChars="0"/>
              <w:jc w:val="center"/>
              <w:rPr>
                <w:rFonts w:hint="eastAsia" w:ascii="仿宋_GB2312" w:hAnsi="仿宋_GB2312" w:eastAsia="仿宋_GB2312" w:cs="仿宋_GB2312"/>
                <w:spacing w:val="-8"/>
                <w:sz w:val="24"/>
                <w:szCs w:val="24"/>
                <w:lang w:val="en-US" w:eastAsia="zh-CN"/>
              </w:rPr>
            </w:pPr>
            <w:r>
              <w:rPr>
                <w:rFonts w:hint="eastAsia" w:ascii="仿宋_GB2312" w:hAnsi="仿宋_GB2312" w:eastAsia="仿宋_GB2312" w:cs="仿宋_GB2312"/>
                <w:spacing w:val="-8"/>
                <w:sz w:val="24"/>
                <w:szCs w:val="24"/>
                <w:lang w:val="en-US" w:eastAsia="zh-CN"/>
              </w:rPr>
              <w:t>行政处罚</w:t>
            </w:r>
          </w:p>
        </w:tc>
        <w:tc>
          <w:tcPr>
            <w:tcW w:w="8317" w:type="dxa"/>
            <w:vAlign w:val="top"/>
          </w:tcPr>
          <w:p w14:paraId="457C90A9">
            <w:pPr>
              <w:keepNext w:val="0"/>
              <w:keepLines w:val="0"/>
              <w:pageBreakBefore w:val="0"/>
              <w:widowControl w:val="0"/>
              <w:suppressLineNumbers w:val="0"/>
              <w:kinsoku/>
              <w:wordWrap/>
              <w:overflowPunct/>
              <w:topLinePunct w:val="0"/>
              <w:autoSpaceDE/>
              <w:autoSpaceDN/>
              <w:bidi w:val="0"/>
              <w:adjustRightInd/>
              <w:snapToGrid/>
              <w:spacing w:after="0" w:afterLines="-2147483648" w:line="320" w:lineRule="exact"/>
              <w:ind w:left="240" w:leftChars="100" w:firstLine="420" w:firstLineChars="200"/>
              <w:jc w:val="both"/>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突发环境事件应急管理办法》第三十八条企业事业单位有下列情形之一的，由县级以上环境保护主管部门责令改正，可以处一万元以上三万元以下罚款：（一）未按规定开展突发环境事件风险评估工作，确定风险等级的；（二）未按规定开展环境安全隐患排查治理工作，建立隐患排查治理档案的；（三）未按规定将突发环境事件应急预案备案的；（四）未按规定开展突发环境事件应急培训，如实记录培训情况的；（五）未按规定储备必要的环境应急装备和物资；（六）未按规定公开突发环境事件相关信息的。</w:t>
            </w:r>
          </w:p>
        </w:tc>
        <w:tc>
          <w:tcPr>
            <w:tcW w:w="1130" w:type="dxa"/>
            <w:gridSpan w:val="2"/>
            <w:vAlign w:val="top"/>
          </w:tcPr>
          <w:p w14:paraId="68EE62AE">
            <w:pPr>
              <w:keepNext w:val="0"/>
              <w:keepLines w:val="0"/>
              <w:pageBreakBefore w:val="0"/>
              <w:widowControl w:val="0"/>
              <w:kinsoku/>
              <w:wordWrap/>
              <w:overflowPunct/>
              <w:topLinePunct w:val="0"/>
              <w:autoSpaceDE/>
              <w:autoSpaceDN/>
              <w:bidi w:val="0"/>
              <w:spacing w:before="68" w:line="320" w:lineRule="exact"/>
              <w:ind w:left="48" w:right="26"/>
              <w:rPr>
                <w:rFonts w:ascii="宋体" w:hAnsi="宋体" w:eastAsia="宋体" w:cs="宋体"/>
                <w:sz w:val="21"/>
                <w:szCs w:val="21"/>
              </w:rPr>
            </w:pPr>
          </w:p>
        </w:tc>
        <w:tc>
          <w:tcPr>
            <w:tcW w:w="989" w:type="dxa"/>
            <w:tcBorders>
              <w:right w:val="single" w:color="000000" w:sz="10" w:space="0"/>
            </w:tcBorders>
            <w:vAlign w:val="top"/>
          </w:tcPr>
          <w:p w14:paraId="7AADD78F">
            <w:pPr>
              <w:keepNext w:val="0"/>
              <w:keepLines w:val="0"/>
              <w:pageBreakBefore w:val="0"/>
              <w:widowControl w:val="0"/>
              <w:kinsoku/>
              <w:wordWrap/>
              <w:overflowPunct/>
              <w:topLinePunct w:val="0"/>
              <w:autoSpaceDE/>
              <w:autoSpaceDN/>
              <w:bidi w:val="0"/>
              <w:spacing w:before="68" w:line="320" w:lineRule="exact"/>
              <w:ind w:firstLine="87"/>
              <w:rPr>
                <w:rFonts w:ascii="宋体" w:hAnsi="宋体" w:eastAsia="宋体" w:cs="宋体"/>
                <w:sz w:val="21"/>
                <w:szCs w:val="21"/>
              </w:rPr>
            </w:pPr>
          </w:p>
        </w:tc>
      </w:tr>
      <w:tr w14:paraId="6E9E8B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5" w:hRule="atLeast"/>
        </w:trPr>
        <w:tc>
          <w:tcPr>
            <w:tcW w:w="557" w:type="dxa"/>
            <w:tcBorders>
              <w:left w:val="single" w:color="000000" w:sz="10" w:space="0"/>
              <w:bottom w:val="single" w:color="000000" w:sz="10" w:space="0"/>
            </w:tcBorders>
            <w:shd w:val="clear" w:color="auto" w:fill="auto"/>
            <w:vAlign w:val="center"/>
          </w:tcPr>
          <w:p w14:paraId="6730B9A7">
            <w:pPr>
              <w:keepNext w:val="0"/>
              <w:keepLines w:val="0"/>
              <w:pageBreakBefore w:val="0"/>
              <w:widowControl w:val="0"/>
              <w:kinsoku/>
              <w:wordWrap/>
              <w:overflowPunct/>
              <w:topLinePunct w:val="0"/>
              <w:autoSpaceDE/>
              <w:autoSpaceDN/>
              <w:bidi w:val="0"/>
              <w:spacing w:before="68" w:line="320" w:lineRule="exact"/>
              <w:ind w:left="0" w:leftChars="0" w:firstLine="0" w:firstLineChars="0"/>
              <w:jc w:val="center"/>
              <w:rPr>
                <w:rFonts w:hint="eastAsia" w:ascii="仿宋_GB2312" w:hAnsi="仿宋_GB2312" w:eastAsia="仿宋_GB2312" w:cs="仿宋_GB2312"/>
                <w:spacing w:val="-8"/>
                <w:sz w:val="24"/>
                <w:szCs w:val="24"/>
                <w:lang w:val="en-US" w:eastAsia="zh-CN"/>
              </w:rPr>
            </w:pPr>
            <w:r>
              <w:rPr>
                <w:rFonts w:hint="eastAsia" w:ascii="仿宋_GB2312" w:hAnsi="仿宋_GB2312" w:eastAsia="仿宋_GB2312" w:cs="仿宋_GB2312"/>
                <w:spacing w:val="-8"/>
                <w:sz w:val="24"/>
                <w:szCs w:val="24"/>
                <w:lang w:val="en-US" w:eastAsia="zh-CN"/>
              </w:rPr>
              <w:t>17</w:t>
            </w:r>
          </w:p>
        </w:tc>
        <w:tc>
          <w:tcPr>
            <w:tcW w:w="2355" w:type="dxa"/>
            <w:tcBorders>
              <w:bottom w:val="single" w:color="000000" w:sz="10" w:space="0"/>
            </w:tcBorders>
            <w:shd w:val="clear" w:color="auto" w:fill="auto"/>
            <w:vAlign w:val="center"/>
          </w:tcPr>
          <w:p w14:paraId="1224D111">
            <w:pPr>
              <w:keepNext w:val="0"/>
              <w:keepLines w:val="0"/>
              <w:pageBreakBefore w:val="0"/>
              <w:widowControl w:val="0"/>
              <w:kinsoku/>
              <w:wordWrap/>
              <w:overflowPunct/>
              <w:topLinePunct w:val="0"/>
              <w:autoSpaceDE/>
              <w:autoSpaceDN/>
              <w:bidi w:val="0"/>
              <w:spacing w:before="68" w:line="320" w:lineRule="exact"/>
              <w:ind w:left="240" w:leftChars="100" w:right="127" w:rightChars="53" w:firstLine="0" w:firstLineChars="0"/>
              <w:jc w:val="center"/>
              <w:rPr>
                <w:rFonts w:hint="eastAsia" w:ascii="宋体" w:hAnsi="宋体" w:eastAsia="宋体" w:cs="宋体"/>
                <w:spacing w:val="-8"/>
                <w:kern w:val="2"/>
                <w:sz w:val="21"/>
                <w:szCs w:val="21"/>
                <w:lang w:val="en-US" w:eastAsia="zh-CN" w:bidi="ar-SA"/>
              </w:rPr>
            </w:pPr>
            <w:r>
              <w:rPr>
                <w:rFonts w:hint="eastAsia" w:ascii="宋体" w:hAnsi="宋体" w:eastAsia="宋体" w:cs="宋体"/>
                <w:spacing w:val="-8"/>
                <w:sz w:val="21"/>
                <w:szCs w:val="21"/>
                <w:lang w:val="en-US" w:eastAsia="zh-CN"/>
              </w:rPr>
              <w:t>对拒绝、阻挠监督检查，或者在接受水污染监督检查时弄虚作假的行政处罚</w:t>
            </w:r>
          </w:p>
        </w:tc>
        <w:tc>
          <w:tcPr>
            <w:tcW w:w="1094" w:type="dxa"/>
            <w:tcBorders>
              <w:bottom w:val="single" w:color="000000" w:sz="10" w:space="0"/>
            </w:tcBorders>
            <w:shd w:val="clear" w:color="auto" w:fill="auto"/>
            <w:vAlign w:val="center"/>
          </w:tcPr>
          <w:p w14:paraId="04104A1E">
            <w:pPr>
              <w:keepNext w:val="0"/>
              <w:keepLines w:val="0"/>
              <w:pageBreakBefore w:val="0"/>
              <w:widowControl w:val="0"/>
              <w:kinsoku/>
              <w:wordWrap/>
              <w:overflowPunct/>
              <w:topLinePunct w:val="0"/>
              <w:autoSpaceDE/>
              <w:autoSpaceDN/>
              <w:bidi w:val="0"/>
              <w:spacing w:before="68" w:line="320" w:lineRule="exact"/>
              <w:ind w:left="0" w:leftChars="0" w:firstLine="0" w:firstLineChars="0"/>
              <w:jc w:val="center"/>
              <w:rPr>
                <w:rFonts w:hint="eastAsia" w:ascii="仿宋_GB2312" w:hAnsi="仿宋_GB2312" w:eastAsia="仿宋_GB2312" w:cs="仿宋_GB2312"/>
                <w:spacing w:val="-8"/>
                <w:kern w:val="2"/>
                <w:sz w:val="24"/>
                <w:szCs w:val="24"/>
                <w:lang w:val="en-US" w:eastAsia="zh-CN" w:bidi="ar-SA"/>
              </w:rPr>
            </w:pPr>
            <w:r>
              <w:rPr>
                <w:rFonts w:hint="eastAsia" w:ascii="仿宋_GB2312" w:hAnsi="仿宋_GB2312" w:eastAsia="仿宋_GB2312" w:cs="仿宋_GB2312"/>
                <w:spacing w:val="-8"/>
                <w:sz w:val="24"/>
                <w:szCs w:val="24"/>
                <w:lang w:val="en-US" w:eastAsia="zh-CN"/>
              </w:rPr>
              <w:t>行政处罚</w:t>
            </w:r>
          </w:p>
        </w:tc>
        <w:tc>
          <w:tcPr>
            <w:tcW w:w="8317" w:type="dxa"/>
            <w:tcBorders>
              <w:bottom w:val="single" w:color="000000" w:sz="10" w:space="0"/>
            </w:tcBorders>
            <w:shd w:val="clear" w:color="auto" w:fill="auto"/>
            <w:vAlign w:val="top"/>
          </w:tcPr>
          <w:p w14:paraId="36ACD85D">
            <w:pPr>
              <w:keepNext w:val="0"/>
              <w:keepLines w:val="0"/>
              <w:pageBreakBefore w:val="0"/>
              <w:widowControl w:val="0"/>
              <w:suppressLineNumbers w:val="0"/>
              <w:kinsoku/>
              <w:wordWrap/>
              <w:overflowPunct/>
              <w:topLinePunct w:val="0"/>
              <w:autoSpaceDE/>
              <w:autoSpaceDN/>
              <w:bidi w:val="0"/>
              <w:adjustRightInd/>
              <w:snapToGrid/>
              <w:spacing w:after="0" w:afterLines="-2147483648" w:line="320" w:lineRule="exact"/>
              <w:ind w:left="240" w:leftChars="100" w:firstLine="420" w:firstLineChars="200"/>
              <w:jc w:val="both"/>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中华人民共和国水污染防治法》第八十一条以拖延、围堵、滞留执法人员等方式拒绝、阻挠环境保护主管部门或者其他依照本法规定行使监督管理权的部门的监督检查，或者在接受监督检查时弄虚作假的，由县级以上人民政府环境保护主管部门或者其他依照本法规定行使监督管理权的部门责令改正，处二万元以上二十万元以下的罚款。</w:t>
            </w:r>
          </w:p>
          <w:p w14:paraId="28FD5D69">
            <w:pPr>
              <w:keepNext w:val="0"/>
              <w:keepLines w:val="0"/>
              <w:pageBreakBefore w:val="0"/>
              <w:widowControl w:val="0"/>
              <w:suppressLineNumbers w:val="0"/>
              <w:kinsoku/>
              <w:wordWrap/>
              <w:overflowPunct/>
              <w:topLinePunct w:val="0"/>
              <w:autoSpaceDE/>
              <w:autoSpaceDN/>
              <w:bidi w:val="0"/>
              <w:adjustRightInd/>
              <w:snapToGrid/>
              <w:spacing w:after="0" w:afterLines="-2147483648" w:line="320" w:lineRule="exact"/>
              <w:ind w:left="240" w:leftChars="100" w:firstLine="420" w:firstLineChars="200"/>
              <w:jc w:val="both"/>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环境监测管理办法》第十九条排污者拒绝、阻挠环境监测工作人员进行环境监测活动或者弄虚作假的，由县级以上环境保护部门依法给予行政处罚；构成违反治安管理行为的，由公安机关依法给予治安处罚；构成犯罪的，依法追究刑事责任。</w:t>
            </w:r>
          </w:p>
          <w:p w14:paraId="7F2AB77F">
            <w:pPr>
              <w:keepNext w:val="0"/>
              <w:keepLines w:val="0"/>
              <w:pageBreakBefore w:val="0"/>
              <w:widowControl w:val="0"/>
              <w:suppressLineNumbers w:val="0"/>
              <w:kinsoku/>
              <w:wordWrap/>
              <w:overflowPunct/>
              <w:topLinePunct w:val="0"/>
              <w:autoSpaceDE/>
              <w:autoSpaceDN/>
              <w:bidi w:val="0"/>
              <w:adjustRightInd/>
              <w:snapToGrid/>
              <w:spacing w:after="0" w:afterLines="-2147483648" w:line="320" w:lineRule="exact"/>
              <w:ind w:left="240" w:leftChars="100" w:firstLine="420" w:firstLineChars="200"/>
              <w:jc w:val="both"/>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3.《陕西省实施《中华人民共和国环境保护法》办法》第三十三条违反本办法规定，根据不同情况，按以下规定给予处罚：（一）以拒绝进入现场等方式拒不接受生态环境行政主管部门及其环境执法机构或者其他负有生态环境保护监督管理职责的部门的监督检查，或者在接受监督检查时弄虚作假的，由县级以上生态环境行政主管部门或者其他负有生态环境保护监督管理职责的部门责令改正，处二万元以上二十万元以下的罚款。（二）未依法取得排污许可证排放污染物、超过污染物排放标准或者超过重点污染物排放总量控制指标排放污染物的、通过逃避监管的方式排放污染物的，由县级以上生态环境行政主管部门责令改正或者限制生产、停产整治，并处十万元以上一百万元以下的罚款；情节严重的，报经有批准权的人民政府批准，责令停业、关闭。（三）发生环境突发事件，不及时启动突发环境事件应急方案，采取有关应急措施的，处二万元以上十万元以下罚款；</w:t>
            </w:r>
          </w:p>
        </w:tc>
        <w:tc>
          <w:tcPr>
            <w:tcW w:w="1130" w:type="dxa"/>
            <w:gridSpan w:val="2"/>
            <w:tcBorders>
              <w:bottom w:val="single" w:color="000000" w:sz="10" w:space="0"/>
            </w:tcBorders>
            <w:vAlign w:val="top"/>
          </w:tcPr>
          <w:p w14:paraId="4B7BB15B">
            <w:pPr>
              <w:keepNext w:val="0"/>
              <w:keepLines w:val="0"/>
              <w:pageBreakBefore w:val="0"/>
              <w:widowControl w:val="0"/>
              <w:kinsoku/>
              <w:wordWrap/>
              <w:overflowPunct/>
              <w:topLinePunct w:val="0"/>
              <w:autoSpaceDE/>
              <w:autoSpaceDN/>
              <w:bidi w:val="0"/>
              <w:spacing w:before="68" w:line="320" w:lineRule="exact"/>
              <w:ind w:left="48" w:right="26"/>
              <w:rPr>
                <w:rFonts w:ascii="宋体" w:hAnsi="宋体" w:eastAsia="宋体" w:cs="宋体"/>
                <w:spacing w:val="-4"/>
                <w:sz w:val="21"/>
                <w:szCs w:val="21"/>
              </w:rPr>
            </w:pPr>
          </w:p>
        </w:tc>
        <w:tc>
          <w:tcPr>
            <w:tcW w:w="989" w:type="dxa"/>
            <w:tcBorders>
              <w:bottom w:val="single" w:color="000000" w:sz="10" w:space="0"/>
              <w:right w:val="single" w:color="000000" w:sz="10" w:space="0"/>
            </w:tcBorders>
            <w:vAlign w:val="top"/>
          </w:tcPr>
          <w:p w14:paraId="7F171AB2">
            <w:pPr>
              <w:keepNext w:val="0"/>
              <w:keepLines w:val="0"/>
              <w:pageBreakBefore w:val="0"/>
              <w:widowControl w:val="0"/>
              <w:kinsoku/>
              <w:wordWrap/>
              <w:overflowPunct/>
              <w:topLinePunct w:val="0"/>
              <w:autoSpaceDE/>
              <w:autoSpaceDN/>
              <w:bidi w:val="0"/>
              <w:spacing w:before="68" w:line="320" w:lineRule="exact"/>
              <w:ind w:firstLine="87"/>
              <w:rPr>
                <w:rFonts w:ascii="宋体" w:hAnsi="宋体" w:eastAsia="宋体" w:cs="宋体"/>
                <w:spacing w:val="-4"/>
                <w:sz w:val="21"/>
                <w:szCs w:val="21"/>
              </w:rPr>
            </w:pPr>
          </w:p>
        </w:tc>
      </w:tr>
      <w:tr w14:paraId="7BC9BF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82" w:hRule="atLeast"/>
        </w:trPr>
        <w:tc>
          <w:tcPr>
            <w:tcW w:w="557" w:type="dxa"/>
            <w:tcBorders>
              <w:left w:val="single" w:color="000000" w:sz="10" w:space="0"/>
              <w:bottom w:val="single" w:color="000000" w:sz="10" w:space="0"/>
            </w:tcBorders>
            <w:shd w:val="clear" w:color="auto" w:fill="auto"/>
            <w:vAlign w:val="center"/>
          </w:tcPr>
          <w:p w14:paraId="0589C3B9">
            <w:pPr>
              <w:keepNext w:val="0"/>
              <w:keepLines w:val="0"/>
              <w:pageBreakBefore w:val="0"/>
              <w:widowControl w:val="0"/>
              <w:kinsoku/>
              <w:wordWrap/>
              <w:overflowPunct/>
              <w:topLinePunct w:val="0"/>
              <w:autoSpaceDE/>
              <w:autoSpaceDN/>
              <w:bidi w:val="0"/>
              <w:spacing w:before="68" w:line="320" w:lineRule="exact"/>
              <w:ind w:left="0" w:leftChars="0" w:firstLine="0" w:firstLineChars="0"/>
              <w:jc w:val="center"/>
              <w:rPr>
                <w:rFonts w:hint="eastAsia" w:ascii="仿宋_GB2312" w:hAnsi="仿宋_GB2312" w:eastAsia="仿宋_GB2312" w:cs="仿宋_GB2312"/>
                <w:spacing w:val="-8"/>
                <w:sz w:val="24"/>
                <w:szCs w:val="24"/>
                <w:lang w:val="en-US" w:eastAsia="zh-CN"/>
              </w:rPr>
            </w:pPr>
            <w:r>
              <w:rPr>
                <w:rFonts w:hint="eastAsia" w:ascii="仿宋_GB2312" w:hAnsi="仿宋_GB2312" w:eastAsia="仿宋_GB2312" w:cs="仿宋_GB2312"/>
                <w:spacing w:val="-8"/>
                <w:sz w:val="24"/>
                <w:szCs w:val="24"/>
                <w:lang w:val="en-US" w:eastAsia="zh-CN"/>
              </w:rPr>
              <w:t>18</w:t>
            </w:r>
          </w:p>
        </w:tc>
        <w:tc>
          <w:tcPr>
            <w:tcW w:w="2355" w:type="dxa"/>
            <w:tcBorders>
              <w:bottom w:val="single" w:color="000000" w:sz="10" w:space="0"/>
            </w:tcBorders>
            <w:shd w:val="clear" w:color="auto" w:fill="auto"/>
            <w:vAlign w:val="center"/>
          </w:tcPr>
          <w:p w14:paraId="2D3FD589">
            <w:pPr>
              <w:keepNext w:val="0"/>
              <w:keepLines w:val="0"/>
              <w:pageBreakBefore w:val="0"/>
              <w:widowControl w:val="0"/>
              <w:kinsoku/>
              <w:wordWrap/>
              <w:overflowPunct/>
              <w:topLinePunct w:val="0"/>
              <w:autoSpaceDE/>
              <w:autoSpaceDN/>
              <w:bidi w:val="0"/>
              <w:spacing w:before="68" w:line="320" w:lineRule="exact"/>
              <w:ind w:left="240" w:leftChars="100" w:right="127" w:rightChars="53" w:firstLine="0" w:firstLineChars="0"/>
              <w:jc w:val="center"/>
              <w:rPr>
                <w:rFonts w:hint="eastAsia" w:ascii="宋体" w:hAnsi="宋体" w:eastAsia="宋体" w:cs="宋体"/>
                <w:spacing w:val="-8"/>
                <w:kern w:val="2"/>
                <w:sz w:val="21"/>
                <w:szCs w:val="21"/>
                <w:lang w:val="en-US" w:eastAsia="zh-CN" w:bidi="ar-SA"/>
              </w:rPr>
            </w:pPr>
            <w:r>
              <w:rPr>
                <w:rFonts w:hint="eastAsia" w:ascii="宋体" w:hAnsi="宋体" w:eastAsia="宋体" w:cs="宋体"/>
                <w:spacing w:val="-8"/>
                <w:sz w:val="21"/>
                <w:szCs w:val="21"/>
                <w:lang w:val="en-US" w:eastAsia="zh-CN"/>
              </w:rPr>
              <w:t>对未按照规定对所排放的水污染物自行监测等行为的行政处罚</w:t>
            </w:r>
          </w:p>
        </w:tc>
        <w:tc>
          <w:tcPr>
            <w:tcW w:w="1094" w:type="dxa"/>
            <w:tcBorders>
              <w:bottom w:val="single" w:color="000000" w:sz="10" w:space="0"/>
            </w:tcBorders>
            <w:shd w:val="clear" w:color="auto" w:fill="auto"/>
            <w:vAlign w:val="center"/>
          </w:tcPr>
          <w:p w14:paraId="6BB16810">
            <w:pPr>
              <w:keepNext w:val="0"/>
              <w:keepLines w:val="0"/>
              <w:pageBreakBefore w:val="0"/>
              <w:widowControl w:val="0"/>
              <w:kinsoku/>
              <w:wordWrap/>
              <w:overflowPunct/>
              <w:topLinePunct w:val="0"/>
              <w:autoSpaceDE/>
              <w:autoSpaceDN/>
              <w:bidi w:val="0"/>
              <w:spacing w:before="68" w:line="320" w:lineRule="exact"/>
              <w:ind w:left="0" w:leftChars="0" w:firstLine="0" w:firstLineChars="0"/>
              <w:jc w:val="center"/>
              <w:rPr>
                <w:rFonts w:hint="eastAsia" w:ascii="仿宋_GB2312" w:hAnsi="仿宋_GB2312" w:eastAsia="仿宋_GB2312" w:cs="仿宋_GB2312"/>
                <w:spacing w:val="-8"/>
                <w:kern w:val="2"/>
                <w:sz w:val="24"/>
                <w:szCs w:val="24"/>
                <w:lang w:val="en-US" w:eastAsia="zh-CN" w:bidi="ar-SA"/>
              </w:rPr>
            </w:pPr>
            <w:r>
              <w:rPr>
                <w:rFonts w:hint="eastAsia" w:ascii="仿宋_GB2312" w:hAnsi="仿宋_GB2312" w:eastAsia="仿宋_GB2312" w:cs="仿宋_GB2312"/>
                <w:spacing w:val="-8"/>
                <w:sz w:val="24"/>
                <w:szCs w:val="24"/>
                <w:lang w:val="en-US" w:eastAsia="zh-CN"/>
              </w:rPr>
              <w:t>行政处罚</w:t>
            </w:r>
          </w:p>
        </w:tc>
        <w:tc>
          <w:tcPr>
            <w:tcW w:w="8317" w:type="dxa"/>
            <w:tcBorders>
              <w:bottom w:val="single" w:color="000000" w:sz="10" w:space="0"/>
            </w:tcBorders>
            <w:shd w:val="clear" w:color="auto" w:fill="auto"/>
            <w:vAlign w:val="top"/>
          </w:tcPr>
          <w:p w14:paraId="1700800C">
            <w:pPr>
              <w:keepNext w:val="0"/>
              <w:keepLines w:val="0"/>
              <w:pageBreakBefore w:val="0"/>
              <w:widowControl w:val="0"/>
              <w:suppressLineNumbers w:val="0"/>
              <w:kinsoku/>
              <w:wordWrap/>
              <w:overflowPunct/>
              <w:topLinePunct w:val="0"/>
              <w:autoSpaceDE/>
              <w:autoSpaceDN/>
              <w:bidi w:val="0"/>
              <w:adjustRightInd/>
              <w:snapToGrid/>
              <w:spacing w:after="0" w:afterLines="-2147483648" w:line="320" w:lineRule="exact"/>
              <w:ind w:left="240" w:leftChars="100" w:firstLine="420" w:firstLineChars="200"/>
              <w:jc w:val="both"/>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中华人民共和国水污染防治法》第八十二条违反本法规定，有下列行为之一的，由县级以上人民政府环境保护主管部门责令限期改正，处二万元以上二十万元以下的罚款；逾期不改正的，责令停产整治：（一）未按照规定对所排放的水污染物自行监测，或者未保存原始监测记录的；（二）未按照规定安装水污染物排放自动监测设备，未按照规定与环境保护主管部门的监控设备联网，或者未保证监测设备正常运行的；（三）未按照规定对有毒有害水污染物的排污口和周边环境进行监测，或者未公开有毒有害水污染物信息的。</w:t>
            </w:r>
          </w:p>
          <w:p w14:paraId="1503C980">
            <w:pPr>
              <w:keepNext w:val="0"/>
              <w:keepLines w:val="0"/>
              <w:pageBreakBefore w:val="0"/>
              <w:widowControl w:val="0"/>
              <w:suppressLineNumbers w:val="0"/>
              <w:kinsoku/>
              <w:wordWrap/>
              <w:overflowPunct/>
              <w:topLinePunct w:val="0"/>
              <w:autoSpaceDE/>
              <w:autoSpaceDN/>
              <w:bidi w:val="0"/>
              <w:adjustRightInd/>
              <w:snapToGrid/>
              <w:spacing w:after="0" w:afterLines="-2147483648" w:line="320" w:lineRule="exact"/>
              <w:ind w:left="240" w:leftChars="100" w:firstLine="420" w:firstLineChars="200"/>
              <w:jc w:val="both"/>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排污许可管理办法（试行）》第三十四条排污单位应当按照排污许可证规定，安装或者使用符合国家有关环境监测、计量认证规定的监测设备，按照规定维护监测设施，开展自行监测，保存原始监测记录。实施排污许可重点管理的排污单位，应当按照排污许可证规定安装自动监测设备，并与环境保护主管部门的监控设备联网。对未采用污染防治可行技术的，应当加强自行监测，评估污染防治技术达标可行性。第五十六条违反本办法第三十四条，有下列行为之一的，由县级以上环境保护主管部门依据《中华人民共和国大气污染防治法》《中华人民共和国水污染防治法》的规定，责令改正，处二万元以上二十万元以下的罚款；拒不改正的，依法责令停产整治：（一）未按照规定对所排放的工业废气和有毒有害大气污染物、水污染物进行监测，或者未保存原始监测记录的；（二）未按照规定安装大气污染物、水污染物自动监测设备，或者未按照规定与环境保护主管部门的监控设备联网，或者未保证监测设备正常运行的。</w:t>
            </w:r>
          </w:p>
          <w:p w14:paraId="47447C50">
            <w:pPr>
              <w:keepNext w:val="0"/>
              <w:keepLines w:val="0"/>
              <w:pageBreakBefore w:val="0"/>
              <w:widowControl w:val="0"/>
              <w:suppressLineNumbers w:val="0"/>
              <w:kinsoku/>
              <w:wordWrap/>
              <w:overflowPunct/>
              <w:topLinePunct w:val="0"/>
              <w:autoSpaceDE/>
              <w:autoSpaceDN/>
              <w:bidi w:val="0"/>
              <w:adjustRightInd/>
              <w:snapToGrid/>
              <w:spacing w:after="0" w:afterLines="-2147483648" w:line="320" w:lineRule="exact"/>
              <w:ind w:left="240" w:leftChars="100" w:firstLine="420" w:firstLineChars="200"/>
              <w:jc w:val="both"/>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3.《陕西省固体废物污染环境防治条例（2019年修正）》第六十条违反本条例第十四条规定，未按规定要求实施监测或者报告监测结果的，由县级生态环境行政主管部门责令限期改正，可以并处二万元以上十万元以下罚款。</w:t>
            </w:r>
          </w:p>
          <w:p w14:paraId="70B97FF9">
            <w:pPr>
              <w:keepNext w:val="0"/>
              <w:keepLines w:val="0"/>
              <w:pageBreakBefore w:val="0"/>
              <w:widowControl w:val="0"/>
              <w:suppressLineNumbers w:val="0"/>
              <w:kinsoku/>
              <w:wordWrap/>
              <w:overflowPunct/>
              <w:topLinePunct w:val="0"/>
              <w:autoSpaceDE/>
              <w:autoSpaceDN/>
              <w:bidi w:val="0"/>
              <w:adjustRightInd/>
              <w:snapToGrid/>
              <w:spacing w:after="0" w:afterLines="-2147483648" w:line="320" w:lineRule="exact"/>
              <w:ind w:left="240" w:leftChars="100" w:firstLine="420" w:firstLineChars="200"/>
              <w:jc w:val="both"/>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4.《陕西省渭河流域管理条例（2012修订）》第六十三条[水污染监测责任]违反本条例第二十七条规定，有下列行为之一的，由环境保护行政主管部门责令限期改正；逾期不改正的，处五万元以上十万元以下罚款：（一）未按规定对所排放的废水监测并保存原始监测记录的；（二）未按规定安装水污染物排放自动监测设备或者联网的。5.《陕西省汉江丹江流域水污染防治条例》第三十二条违反本条例第二十三条第二款规定，重点排污单位未按照规定安装水污染物排放自动监测设备，与生态环境行政主管部门的监控设备联网，并保证监测设备正常运行的，处二万元以上二十万元以下罚款。</w:t>
            </w:r>
          </w:p>
        </w:tc>
        <w:tc>
          <w:tcPr>
            <w:tcW w:w="1130" w:type="dxa"/>
            <w:gridSpan w:val="2"/>
            <w:tcBorders>
              <w:bottom w:val="single" w:color="000000" w:sz="10" w:space="0"/>
            </w:tcBorders>
            <w:vAlign w:val="top"/>
          </w:tcPr>
          <w:p w14:paraId="49BB912C">
            <w:pPr>
              <w:keepNext w:val="0"/>
              <w:keepLines w:val="0"/>
              <w:pageBreakBefore w:val="0"/>
              <w:widowControl w:val="0"/>
              <w:kinsoku/>
              <w:wordWrap/>
              <w:overflowPunct/>
              <w:topLinePunct w:val="0"/>
              <w:autoSpaceDE/>
              <w:autoSpaceDN/>
              <w:bidi w:val="0"/>
              <w:spacing w:before="68" w:line="320" w:lineRule="exact"/>
              <w:ind w:left="48" w:right="26"/>
              <w:rPr>
                <w:rFonts w:ascii="宋体" w:hAnsi="宋体" w:eastAsia="宋体" w:cs="宋体"/>
                <w:spacing w:val="-4"/>
                <w:sz w:val="21"/>
                <w:szCs w:val="21"/>
              </w:rPr>
            </w:pPr>
          </w:p>
        </w:tc>
        <w:tc>
          <w:tcPr>
            <w:tcW w:w="989" w:type="dxa"/>
            <w:tcBorders>
              <w:bottom w:val="single" w:color="000000" w:sz="10" w:space="0"/>
              <w:right w:val="single" w:color="000000" w:sz="10" w:space="0"/>
            </w:tcBorders>
            <w:vAlign w:val="top"/>
          </w:tcPr>
          <w:p w14:paraId="2223A4F7">
            <w:pPr>
              <w:keepNext w:val="0"/>
              <w:keepLines w:val="0"/>
              <w:pageBreakBefore w:val="0"/>
              <w:widowControl w:val="0"/>
              <w:kinsoku/>
              <w:wordWrap/>
              <w:overflowPunct/>
              <w:topLinePunct w:val="0"/>
              <w:autoSpaceDE/>
              <w:autoSpaceDN/>
              <w:bidi w:val="0"/>
              <w:spacing w:before="68" w:line="320" w:lineRule="exact"/>
              <w:ind w:firstLine="87"/>
              <w:rPr>
                <w:rFonts w:ascii="宋体" w:hAnsi="宋体" w:eastAsia="宋体" w:cs="宋体"/>
                <w:spacing w:val="-4"/>
                <w:sz w:val="21"/>
                <w:szCs w:val="21"/>
              </w:rPr>
            </w:pPr>
          </w:p>
        </w:tc>
      </w:tr>
      <w:tr w14:paraId="5A2AFA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81" w:hRule="atLeast"/>
        </w:trPr>
        <w:tc>
          <w:tcPr>
            <w:tcW w:w="557" w:type="dxa"/>
            <w:tcBorders>
              <w:left w:val="single" w:color="000000" w:sz="10" w:space="0"/>
            </w:tcBorders>
            <w:shd w:val="clear" w:color="auto" w:fill="auto"/>
            <w:vAlign w:val="center"/>
          </w:tcPr>
          <w:p w14:paraId="05234C38">
            <w:pPr>
              <w:keepNext w:val="0"/>
              <w:keepLines w:val="0"/>
              <w:pageBreakBefore w:val="0"/>
              <w:widowControl w:val="0"/>
              <w:kinsoku/>
              <w:wordWrap/>
              <w:overflowPunct/>
              <w:topLinePunct w:val="0"/>
              <w:autoSpaceDE/>
              <w:autoSpaceDN/>
              <w:bidi w:val="0"/>
              <w:spacing w:before="68" w:line="320" w:lineRule="exact"/>
              <w:ind w:left="0" w:leftChars="0" w:firstLine="0" w:firstLineChars="0"/>
              <w:jc w:val="center"/>
              <w:rPr>
                <w:rFonts w:hint="eastAsia" w:ascii="仿宋_GB2312" w:hAnsi="仿宋_GB2312" w:eastAsia="仿宋_GB2312" w:cs="仿宋_GB2312"/>
                <w:spacing w:val="-8"/>
                <w:sz w:val="24"/>
                <w:szCs w:val="24"/>
                <w:lang w:val="en-US" w:eastAsia="zh-CN"/>
              </w:rPr>
            </w:pPr>
            <w:r>
              <w:rPr>
                <w:rFonts w:hint="eastAsia" w:ascii="仿宋_GB2312" w:hAnsi="仿宋_GB2312" w:eastAsia="仿宋_GB2312" w:cs="仿宋_GB2312"/>
                <w:spacing w:val="-8"/>
                <w:sz w:val="24"/>
                <w:szCs w:val="24"/>
                <w:lang w:val="en-US" w:eastAsia="zh-CN"/>
              </w:rPr>
              <w:t>19</w:t>
            </w:r>
          </w:p>
        </w:tc>
        <w:tc>
          <w:tcPr>
            <w:tcW w:w="2355" w:type="dxa"/>
            <w:shd w:val="clear" w:color="auto" w:fill="auto"/>
            <w:vAlign w:val="center"/>
          </w:tcPr>
          <w:p w14:paraId="74CB2347">
            <w:pPr>
              <w:keepNext w:val="0"/>
              <w:keepLines w:val="0"/>
              <w:pageBreakBefore w:val="0"/>
              <w:widowControl w:val="0"/>
              <w:kinsoku/>
              <w:wordWrap/>
              <w:overflowPunct/>
              <w:topLinePunct w:val="0"/>
              <w:autoSpaceDE/>
              <w:autoSpaceDN/>
              <w:bidi w:val="0"/>
              <w:spacing w:before="68" w:line="320" w:lineRule="exact"/>
              <w:ind w:left="240" w:leftChars="100" w:right="127" w:rightChars="53" w:firstLine="0" w:firstLineChars="0"/>
              <w:jc w:val="center"/>
              <w:rPr>
                <w:rFonts w:hint="eastAsia" w:ascii="宋体" w:hAnsi="宋体" w:eastAsia="宋体" w:cs="宋体"/>
                <w:spacing w:val="-8"/>
                <w:kern w:val="2"/>
                <w:sz w:val="21"/>
                <w:szCs w:val="21"/>
                <w:lang w:val="en-US" w:eastAsia="zh-CN" w:bidi="ar-SA"/>
              </w:rPr>
            </w:pPr>
            <w:r>
              <w:rPr>
                <w:rFonts w:hint="eastAsia" w:ascii="宋体" w:hAnsi="宋体" w:eastAsia="宋体" w:cs="宋体"/>
                <w:spacing w:val="-8"/>
                <w:sz w:val="21"/>
                <w:szCs w:val="21"/>
                <w:lang w:val="en-US" w:eastAsia="zh-CN"/>
              </w:rPr>
              <w:t>对违规设置排污口的行政处罚</w:t>
            </w:r>
          </w:p>
        </w:tc>
        <w:tc>
          <w:tcPr>
            <w:tcW w:w="1094" w:type="dxa"/>
            <w:shd w:val="clear" w:color="auto" w:fill="auto"/>
            <w:vAlign w:val="center"/>
          </w:tcPr>
          <w:p w14:paraId="2CFDB796">
            <w:pPr>
              <w:keepNext w:val="0"/>
              <w:keepLines w:val="0"/>
              <w:pageBreakBefore w:val="0"/>
              <w:widowControl w:val="0"/>
              <w:kinsoku/>
              <w:wordWrap/>
              <w:overflowPunct/>
              <w:topLinePunct w:val="0"/>
              <w:autoSpaceDE/>
              <w:autoSpaceDN/>
              <w:bidi w:val="0"/>
              <w:spacing w:before="68" w:line="320" w:lineRule="exact"/>
              <w:ind w:left="0" w:leftChars="0" w:firstLine="0" w:firstLineChars="0"/>
              <w:jc w:val="center"/>
              <w:rPr>
                <w:rFonts w:hint="eastAsia" w:ascii="仿宋_GB2312" w:hAnsi="仿宋_GB2312" w:eastAsia="仿宋_GB2312" w:cs="仿宋_GB2312"/>
                <w:spacing w:val="-8"/>
                <w:kern w:val="2"/>
                <w:sz w:val="24"/>
                <w:szCs w:val="24"/>
                <w:lang w:val="en-US" w:eastAsia="zh-CN" w:bidi="ar-SA"/>
              </w:rPr>
            </w:pPr>
            <w:r>
              <w:rPr>
                <w:rFonts w:hint="eastAsia" w:ascii="仿宋_GB2312" w:hAnsi="仿宋_GB2312" w:eastAsia="仿宋_GB2312" w:cs="仿宋_GB2312"/>
                <w:spacing w:val="-8"/>
                <w:sz w:val="24"/>
                <w:szCs w:val="24"/>
                <w:lang w:val="en-US" w:eastAsia="zh-CN"/>
              </w:rPr>
              <w:t>行政处罚</w:t>
            </w:r>
          </w:p>
        </w:tc>
        <w:tc>
          <w:tcPr>
            <w:tcW w:w="8317" w:type="dxa"/>
            <w:shd w:val="clear" w:color="auto" w:fill="auto"/>
            <w:vAlign w:val="top"/>
          </w:tcPr>
          <w:p w14:paraId="3BD1BE8C">
            <w:pPr>
              <w:keepNext w:val="0"/>
              <w:keepLines w:val="0"/>
              <w:pageBreakBefore w:val="0"/>
              <w:widowControl w:val="0"/>
              <w:suppressLineNumbers w:val="0"/>
              <w:kinsoku/>
              <w:wordWrap/>
              <w:overflowPunct/>
              <w:topLinePunct w:val="0"/>
              <w:autoSpaceDE/>
              <w:autoSpaceDN/>
              <w:bidi w:val="0"/>
              <w:adjustRightInd/>
              <w:snapToGrid/>
              <w:spacing w:after="0" w:afterLines="-2147483648" w:line="320" w:lineRule="exact"/>
              <w:ind w:left="240" w:leftChars="100" w:firstLine="420" w:firstLineChars="200"/>
              <w:jc w:val="both"/>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中华人民共和国水污染防治法》第八十四条在饮用水水源保护区内设置排污口的，由县级以上地方人民政府责令限期拆除，处十万元以上五十万元以下的罚款；逾期不拆除的，强制拆除，所需费用由违法者承担，处五十万元以上一百万元以下的罚款，并可以责令停产整治。除前款规定外，违反法律、行政法规和国务院环境保护主管部门的规定设置排污口的，由县级以上地方人民政府环境保护主管部门责令限期拆除，处二万元以上十万元以下的罚款；逾期不拆除的，强制拆除，所需费用由违法者承担，处十万元以上五十万元以下的罚款；情节严重的，可以责令停产整治。未经水行政主管部门或者流域管理机构同意，在江河、湖泊新建、改建、扩建排污口的，由县级以上人民政府水行政主管部门或者流域管理机构依据职权，依照前款规定采取措施、给予处罚。</w:t>
            </w:r>
          </w:p>
          <w:p w14:paraId="6C7C6563">
            <w:pPr>
              <w:keepNext w:val="0"/>
              <w:keepLines w:val="0"/>
              <w:pageBreakBefore w:val="0"/>
              <w:widowControl w:val="0"/>
              <w:suppressLineNumbers w:val="0"/>
              <w:kinsoku/>
              <w:wordWrap/>
              <w:overflowPunct/>
              <w:topLinePunct w:val="0"/>
              <w:autoSpaceDE/>
              <w:autoSpaceDN/>
              <w:bidi w:val="0"/>
              <w:adjustRightInd/>
              <w:snapToGrid/>
              <w:spacing w:after="0" w:afterLines="-2147483648" w:line="320" w:lineRule="exact"/>
              <w:ind w:left="240" w:leftChars="100" w:firstLine="420" w:firstLineChars="200"/>
              <w:jc w:val="both"/>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中华人民共和国水法》第三十四条禁止在饮用水水源保护区内设置排污口。在江河、湖泊新建、改建或者扩大排污口，应当经过有管辖权的水行政主管部门或者流域管理机构同意，由环境保护行政主管部门负责对该建设项目的环境影响报告书进行审批。</w:t>
            </w:r>
          </w:p>
          <w:p w14:paraId="5A3A49AA">
            <w:pPr>
              <w:keepNext w:val="0"/>
              <w:keepLines w:val="0"/>
              <w:pageBreakBefore w:val="0"/>
              <w:widowControl w:val="0"/>
              <w:suppressLineNumbers w:val="0"/>
              <w:kinsoku/>
              <w:wordWrap/>
              <w:overflowPunct/>
              <w:topLinePunct w:val="0"/>
              <w:autoSpaceDE/>
              <w:autoSpaceDN/>
              <w:bidi w:val="0"/>
              <w:adjustRightInd/>
              <w:snapToGrid/>
              <w:spacing w:after="0" w:afterLines="-2147483648" w:line="320" w:lineRule="exact"/>
              <w:ind w:left="240" w:leftChars="100" w:firstLine="420" w:firstLineChars="200"/>
              <w:jc w:val="both"/>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3.《陕西省渭河流域管理条例（2012修订）》第六十五条[违法建排污口涉河项目责任]违反本条例第三十条、第四十五条规定，未经审批设置排污口或者进行涉河工程建设的，由县级以上水行政主管部门或者省渭河流域管理机构责令停止违法行为，限期恢复原状，处五万元以上十万元以下罚款。</w:t>
            </w:r>
          </w:p>
          <w:p w14:paraId="2E791769">
            <w:pPr>
              <w:keepNext w:val="0"/>
              <w:keepLines w:val="0"/>
              <w:pageBreakBefore w:val="0"/>
              <w:widowControl w:val="0"/>
              <w:suppressLineNumbers w:val="0"/>
              <w:kinsoku/>
              <w:wordWrap/>
              <w:overflowPunct/>
              <w:topLinePunct w:val="0"/>
              <w:autoSpaceDE/>
              <w:autoSpaceDN/>
              <w:bidi w:val="0"/>
              <w:adjustRightInd/>
              <w:snapToGrid/>
              <w:spacing w:after="0" w:afterLines="-2147483648" w:line="320" w:lineRule="exact"/>
              <w:ind w:left="240" w:leftChars="100" w:firstLine="420" w:firstLineChars="200"/>
              <w:jc w:val="both"/>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4.《陕西省实施《中华人民共和国水法》办法（2018年修正）》第五十一条违反本办法第二十四条规定，未经审查同意擅自在江河、湖泊、水库、渠道上新建、改建或者扩大排污口的，由县级以上水行政主管部门或者省流域管理机构依据职权，责令停止违法行为，限期恢复原状；逾期不恢复原状的，依法实施代履行，处五万元以上十万元以下罚款。</w:t>
            </w:r>
          </w:p>
          <w:p w14:paraId="32DC84EE">
            <w:pPr>
              <w:keepNext w:val="0"/>
              <w:keepLines w:val="0"/>
              <w:pageBreakBefore w:val="0"/>
              <w:widowControl w:val="0"/>
              <w:suppressLineNumbers w:val="0"/>
              <w:kinsoku/>
              <w:wordWrap/>
              <w:overflowPunct/>
              <w:topLinePunct w:val="0"/>
              <w:autoSpaceDE/>
              <w:autoSpaceDN/>
              <w:bidi w:val="0"/>
              <w:adjustRightInd/>
              <w:snapToGrid/>
              <w:spacing w:after="0" w:afterLines="-2147483648" w:line="320" w:lineRule="exact"/>
              <w:ind w:left="240" w:leftChars="100" w:firstLine="420" w:firstLineChars="200"/>
              <w:jc w:val="both"/>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5.《中华人民共和国大气污染防治法》第一百条违反本法规定，有下列行为之一的，由县级以上人民政府生态环境主管部门责令改正，处二万元以上二十万元以下的罚款；拒不改正的，责令停产整治：（一）侵占、损毁或者擅自移动、改变大气环境质量监测设施或者大气污染物排放自动监测设备的；（二）未按照规定对所排放的工业废气和有毒有害大气污染物进行监测并保存原始监测记录的；（三）未按照规定安装、使用大气污染物排放自动监测设备或者未按照规定与生态环境主管部门的监控设备联网，并保证监测设备正常运行的；（四）重点排污单位不公开或者不如实公开自动监测数据的；（五）未按照规定设置大气污染物排放口的。</w:t>
            </w:r>
          </w:p>
        </w:tc>
        <w:tc>
          <w:tcPr>
            <w:tcW w:w="1130" w:type="dxa"/>
            <w:gridSpan w:val="2"/>
            <w:vAlign w:val="top"/>
          </w:tcPr>
          <w:p w14:paraId="4C139A4B">
            <w:pPr>
              <w:keepNext w:val="0"/>
              <w:keepLines w:val="0"/>
              <w:pageBreakBefore w:val="0"/>
              <w:widowControl w:val="0"/>
              <w:kinsoku/>
              <w:wordWrap/>
              <w:overflowPunct/>
              <w:topLinePunct w:val="0"/>
              <w:autoSpaceDE/>
              <w:autoSpaceDN/>
              <w:bidi w:val="0"/>
              <w:spacing w:before="69" w:line="320" w:lineRule="exact"/>
              <w:ind w:left="46" w:right="26"/>
              <w:rPr>
                <w:rFonts w:ascii="宋体" w:hAnsi="宋体" w:eastAsia="宋体" w:cs="宋体"/>
                <w:sz w:val="21"/>
                <w:szCs w:val="21"/>
              </w:rPr>
            </w:pPr>
          </w:p>
        </w:tc>
        <w:tc>
          <w:tcPr>
            <w:tcW w:w="989" w:type="dxa"/>
            <w:tcBorders>
              <w:right w:val="single" w:color="000000" w:sz="10" w:space="0"/>
            </w:tcBorders>
            <w:vAlign w:val="top"/>
          </w:tcPr>
          <w:p w14:paraId="31914C4B">
            <w:pPr>
              <w:keepNext w:val="0"/>
              <w:keepLines w:val="0"/>
              <w:pageBreakBefore w:val="0"/>
              <w:widowControl w:val="0"/>
              <w:kinsoku/>
              <w:wordWrap/>
              <w:overflowPunct/>
              <w:topLinePunct w:val="0"/>
              <w:autoSpaceDE/>
              <w:autoSpaceDN/>
              <w:bidi w:val="0"/>
              <w:spacing w:before="68" w:line="320" w:lineRule="exact"/>
              <w:ind w:firstLine="87"/>
              <w:rPr>
                <w:rFonts w:ascii="宋体" w:hAnsi="宋体" w:eastAsia="宋体" w:cs="宋体"/>
                <w:sz w:val="21"/>
                <w:szCs w:val="21"/>
              </w:rPr>
            </w:pPr>
          </w:p>
        </w:tc>
      </w:tr>
      <w:tr w14:paraId="6BC6A5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66" w:hRule="atLeast"/>
        </w:trPr>
        <w:tc>
          <w:tcPr>
            <w:tcW w:w="557" w:type="dxa"/>
            <w:tcBorders>
              <w:left w:val="single" w:color="000000" w:sz="10" w:space="0"/>
            </w:tcBorders>
            <w:vAlign w:val="center"/>
          </w:tcPr>
          <w:p w14:paraId="2487950E">
            <w:pPr>
              <w:keepNext w:val="0"/>
              <w:keepLines w:val="0"/>
              <w:pageBreakBefore w:val="0"/>
              <w:widowControl w:val="0"/>
              <w:kinsoku/>
              <w:wordWrap/>
              <w:overflowPunct/>
              <w:topLinePunct w:val="0"/>
              <w:autoSpaceDE/>
              <w:autoSpaceDN/>
              <w:bidi w:val="0"/>
              <w:spacing w:before="68" w:line="320" w:lineRule="exact"/>
              <w:ind w:left="0" w:leftChars="0" w:firstLine="0" w:firstLineChars="0"/>
              <w:jc w:val="center"/>
              <w:rPr>
                <w:rFonts w:hint="eastAsia" w:ascii="仿宋_GB2312" w:hAnsi="仿宋_GB2312" w:eastAsia="仿宋_GB2312" w:cs="仿宋_GB2312"/>
                <w:spacing w:val="-8"/>
                <w:sz w:val="24"/>
                <w:szCs w:val="24"/>
                <w:lang w:val="en-US" w:eastAsia="zh-CN"/>
              </w:rPr>
            </w:pPr>
            <w:r>
              <w:rPr>
                <w:rFonts w:hint="eastAsia" w:ascii="仿宋_GB2312" w:hAnsi="仿宋_GB2312" w:eastAsia="仿宋_GB2312" w:cs="仿宋_GB2312"/>
                <w:spacing w:val="-8"/>
                <w:sz w:val="24"/>
                <w:szCs w:val="24"/>
                <w:lang w:val="en-US" w:eastAsia="zh-CN"/>
              </w:rPr>
              <w:t>20</w:t>
            </w:r>
          </w:p>
        </w:tc>
        <w:tc>
          <w:tcPr>
            <w:tcW w:w="2355" w:type="dxa"/>
            <w:shd w:val="clear" w:color="auto" w:fill="auto"/>
            <w:vAlign w:val="center"/>
          </w:tcPr>
          <w:p w14:paraId="3A525804">
            <w:pPr>
              <w:keepNext w:val="0"/>
              <w:keepLines w:val="0"/>
              <w:pageBreakBefore w:val="0"/>
              <w:widowControl w:val="0"/>
              <w:kinsoku/>
              <w:wordWrap/>
              <w:overflowPunct/>
              <w:topLinePunct w:val="0"/>
              <w:autoSpaceDE/>
              <w:autoSpaceDN/>
              <w:bidi w:val="0"/>
              <w:spacing w:before="68" w:line="320" w:lineRule="exact"/>
              <w:ind w:left="240" w:leftChars="100" w:right="127" w:rightChars="53" w:firstLine="0" w:firstLineChars="0"/>
              <w:jc w:val="center"/>
              <w:rPr>
                <w:rFonts w:hint="eastAsia" w:ascii="宋体" w:hAnsi="宋体" w:eastAsia="宋体" w:cs="宋体"/>
                <w:spacing w:val="-8"/>
                <w:kern w:val="2"/>
                <w:sz w:val="21"/>
                <w:szCs w:val="21"/>
                <w:lang w:val="en-US" w:eastAsia="zh-CN" w:bidi="ar-SA"/>
              </w:rPr>
            </w:pPr>
            <w:r>
              <w:rPr>
                <w:rFonts w:hint="eastAsia" w:ascii="宋体" w:hAnsi="宋体" w:eastAsia="宋体" w:cs="宋体"/>
                <w:spacing w:val="-8"/>
                <w:sz w:val="21"/>
                <w:szCs w:val="21"/>
                <w:lang w:val="en-US" w:eastAsia="zh-CN"/>
              </w:rPr>
              <w:t>对违法设置排污口的行政强制</w:t>
            </w:r>
          </w:p>
        </w:tc>
        <w:tc>
          <w:tcPr>
            <w:tcW w:w="1094" w:type="dxa"/>
            <w:shd w:val="clear" w:color="auto" w:fill="auto"/>
            <w:vAlign w:val="center"/>
          </w:tcPr>
          <w:p w14:paraId="10EAAC25">
            <w:pPr>
              <w:keepNext w:val="0"/>
              <w:keepLines w:val="0"/>
              <w:pageBreakBefore w:val="0"/>
              <w:widowControl w:val="0"/>
              <w:kinsoku/>
              <w:wordWrap/>
              <w:overflowPunct/>
              <w:topLinePunct w:val="0"/>
              <w:autoSpaceDE/>
              <w:autoSpaceDN/>
              <w:bidi w:val="0"/>
              <w:spacing w:before="68" w:line="320" w:lineRule="exact"/>
              <w:ind w:left="0" w:leftChars="0" w:firstLine="0" w:firstLineChars="0"/>
              <w:jc w:val="center"/>
              <w:rPr>
                <w:rFonts w:hint="eastAsia" w:ascii="仿宋_GB2312" w:hAnsi="仿宋_GB2312" w:eastAsia="仿宋_GB2312" w:cs="仿宋_GB2312"/>
                <w:spacing w:val="-8"/>
                <w:kern w:val="2"/>
                <w:sz w:val="24"/>
                <w:szCs w:val="24"/>
                <w:lang w:val="en-US" w:eastAsia="zh-CN" w:bidi="ar-SA"/>
              </w:rPr>
            </w:pPr>
            <w:r>
              <w:rPr>
                <w:rFonts w:hint="eastAsia" w:ascii="仿宋_GB2312" w:hAnsi="仿宋_GB2312" w:eastAsia="仿宋_GB2312" w:cs="仿宋_GB2312"/>
                <w:spacing w:val="-8"/>
                <w:sz w:val="24"/>
                <w:szCs w:val="24"/>
                <w:lang w:val="en-US" w:eastAsia="zh-CN"/>
              </w:rPr>
              <w:t>行政强制</w:t>
            </w:r>
          </w:p>
        </w:tc>
        <w:tc>
          <w:tcPr>
            <w:tcW w:w="8317" w:type="dxa"/>
            <w:shd w:val="clear" w:color="auto" w:fill="auto"/>
            <w:vAlign w:val="top"/>
          </w:tcPr>
          <w:p w14:paraId="3579022F">
            <w:pPr>
              <w:keepNext w:val="0"/>
              <w:keepLines w:val="0"/>
              <w:pageBreakBefore w:val="0"/>
              <w:widowControl w:val="0"/>
              <w:suppressLineNumbers w:val="0"/>
              <w:kinsoku/>
              <w:wordWrap/>
              <w:overflowPunct/>
              <w:topLinePunct w:val="0"/>
              <w:autoSpaceDE/>
              <w:autoSpaceDN/>
              <w:bidi w:val="0"/>
              <w:adjustRightInd/>
              <w:snapToGrid/>
              <w:spacing w:after="0" w:afterLines="-2147483648" w:line="320" w:lineRule="exact"/>
              <w:ind w:left="240" w:leftChars="100" w:firstLine="420" w:firstLineChars="200"/>
              <w:jc w:val="both"/>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中华人民共和国水污染防治法》第八十四条在饮用水水源保护区内设置排污口的，由县级以上地方人民政府责令限期拆除，处十万元以上五十万元以下的罚款；逾期不拆除的，强制拆除，所需费用由违法者承担，处五十万元以上一百万元以下的罚款，并可以责令停产整治。除前款规定外，违反法律、行政法规和国务院环境保护主管部门的规定设置排污口的，由县级以上地方人民政府环境保护主管部门责令限期拆除，处二万元以上十万元以下的罚款；逾期不拆除的，强制拆除，所需费用由违法者承担，处十万元以上五十万元以下的罚款；情节严重的，可以责令停产整治。未经水行政主管部门或者流域管理机构同意，在江河、湖泊新建、改建、扩建排污口的，由县级以上人民政府水行政主管部门或者流域管理机构依据职权，依照前款规定采取措施、给予处罚。</w:t>
            </w:r>
          </w:p>
          <w:p w14:paraId="1D7DD314">
            <w:pPr>
              <w:keepNext w:val="0"/>
              <w:keepLines w:val="0"/>
              <w:pageBreakBefore w:val="0"/>
              <w:widowControl w:val="0"/>
              <w:suppressLineNumbers w:val="0"/>
              <w:kinsoku/>
              <w:wordWrap/>
              <w:overflowPunct/>
              <w:topLinePunct w:val="0"/>
              <w:autoSpaceDE/>
              <w:autoSpaceDN/>
              <w:bidi w:val="0"/>
              <w:adjustRightInd/>
              <w:snapToGrid/>
              <w:spacing w:after="0" w:afterLines="-2147483648" w:line="320" w:lineRule="exact"/>
              <w:ind w:left="240" w:leftChars="100" w:firstLine="420" w:firstLineChars="200"/>
              <w:jc w:val="both"/>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陕西省实施《中华人民共和国水法》办法（2018年修正）》第五十一条违反本办法第二十四条规定，未经审查同意擅自在江河、湖泊、水库、渠道上新建、改建或者扩大排污口的，由县级以上水行政主管部门或者省流域管理机构依据职权，责令停止违法行为，限期恢复原状；逾期不恢复原状的，依法实施代履行，处五万元以上十万元以下罚款。</w:t>
            </w:r>
          </w:p>
        </w:tc>
        <w:tc>
          <w:tcPr>
            <w:tcW w:w="1129" w:type="dxa"/>
            <w:vAlign w:val="top"/>
          </w:tcPr>
          <w:p w14:paraId="02EAC276">
            <w:pPr>
              <w:keepNext w:val="0"/>
              <w:keepLines w:val="0"/>
              <w:pageBreakBefore w:val="0"/>
              <w:widowControl w:val="0"/>
              <w:kinsoku/>
              <w:wordWrap/>
              <w:overflowPunct/>
              <w:topLinePunct w:val="0"/>
              <w:autoSpaceDE/>
              <w:autoSpaceDN/>
              <w:bidi w:val="0"/>
              <w:spacing w:line="320" w:lineRule="exact"/>
              <w:rPr>
                <w:rFonts w:ascii="宋体"/>
                <w:sz w:val="21"/>
              </w:rPr>
            </w:pPr>
          </w:p>
        </w:tc>
        <w:tc>
          <w:tcPr>
            <w:tcW w:w="990" w:type="dxa"/>
            <w:gridSpan w:val="2"/>
            <w:tcBorders>
              <w:right w:val="single" w:color="000000" w:sz="10" w:space="0"/>
            </w:tcBorders>
            <w:vAlign w:val="top"/>
          </w:tcPr>
          <w:p w14:paraId="5F61C9DE">
            <w:pPr>
              <w:keepNext w:val="0"/>
              <w:keepLines w:val="0"/>
              <w:pageBreakBefore w:val="0"/>
              <w:widowControl w:val="0"/>
              <w:kinsoku/>
              <w:wordWrap/>
              <w:overflowPunct/>
              <w:topLinePunct w:val="0"/>
              <w:autoSpaceDE/>
              <w:autoSpaceDN/>
              <w:bidi w:val="0"/>
              <w:spacing w:line="320" w:lineRule="exact"/>
              <w:rPr>
                <w:rFonts w:ascii="宋体"/>
                <w:sz w:val="21"/>
              </w:rPr>
            </w:pPr>
          </w:p>
        </w:tc>
      </w:tr>
      <w:tr w14:paraId="02B6A0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66" w:hRule="atLeast"/>
        </w:trPr>
        <w:tc>
          <w:tcPr>
            <w:tcW w:w="557" w:type="dxa"/>
            <w:tcBorders>
              <w:left w:val="single" w:color="000000" w:sz="10" w:space="0"/>
            </w:tcBorders>
            <w:shd w:val="clear" w:color="auto" w:fill="auto"/>
            <w:vAlign w:val="center"/>
          </w:tcPr>
          <w:p w14:paraId="69C92B1D">
            <w:pPr>
              <w:keepNext w:val="0"/>
              <w:keepLines w:val="0"/>
              <w:pageBreakBefore w:val="0"/>
              <w:widowControl w:val="0"/>
              <w:kinsoku/>
              <w:wordWrap/>
              <w:overflowPunct/>
              <w:topLinePunct w:val="0"/>
              <w:autoSpaceDE/>
              <w:autoSpaceDN/>
              <w:bidi w:val="0"/>
              <w:spacing w:before="68" w:line="320" w:lineRule="exact"/>
              <w:ind w:left="0" w:leftChars="0" w:firstLine="0" w:firstLineChars="0"/>
              <w:jc w:val="center"/>
              <w:rPr>
                <w:rFonts w:hint="eastAsia" w:ascii="仿宋_GB2312" w:hAnsi="仿宋_GB2312" w:eastAsia="仿宋_GB2312" w:cs="仿宋_GB2312"/>
                <w:spacing w:val="-8"/>
                <w:sz w:val="24"/>
                <w:szCs w:val="24"/>
                <w:lang w:val="en-US" w:eastAsia="zh-CN"/>
              </w:rPr>
            </w:pPr>
            <w:r>
              <w:rPr>
                <w:rFonts w:hint="eastAsia" w:ascii="仿宋_GB2312" w:hAnsi="仿宋_GB2312" w:eastAsia="仿宋_GB2312" w:cs="仿宋_GB2312"/>
                <w:spacing w:val="-8"/>
                <w:sz w:val="24"/>
                <w:szCs w:val="24"/>
                <w:lang w:val="en-US" w:eastAsia="zh-CN"/>
              </w:rPr>
              <w:t>21</w:t>
            </w:r>
          </w:p>
        </w:tc>
        <w:tc>
          <w:tcPr>
            <w:tcW w:w="2355" w:type="dxa"/>
            <w:shd w:val="clear" w:color="auto" w:fill="auto"/>
            <w:vAlign w:val="center"/>
          </w:tcPr>
          <w:p w14:paraId="3D007EA8">
            <w:pPr>
              <w:keepNext w:val="0"/>
              <w:keepLines w:val="0"/>
              <w:pageBreakBefore w:val="0"/>
              <w:widowControl w:val="0"/>
              <w:kinsoku/>
              <w:wordWrap/>
              <w:overflowPunct/>
              <w:topLinePunct w:val="0"/>
              <w:autoSpaceDE/>
              <w:autoSpaceDN/>
              <w:bidi w:val="0"/>
              <w:spacing w:before="68" w:line="320" w:lineRule="exact"/>
              <w:ind w:left="240" w:leftChars="100" w:right="127" w:rightChars="53" w:firstLine="0" w:firstLineChars="0"/>
              <w:jc w:val="center"/>
              <w:rPr>
                <w:rFonts w:hint="eastAsia" w:ascii="宋体" w:hAnsi="宋体" w:eastAsia="宋体" w:cs="宋体"/>
                <w:spacing w:val="-8"/>
                <w:kern w:val="2"/>
                <w:sz w:val="21"/>
                <w:szCs w:val="21"/>
                <w:lang w:val="en-US" w:eastAsia="zh-CN" w:bidi="ar-SA"/>
              </w:rPr>
            </w:pPr>
            <w:r>
              <w:rPr>
                <w:rFonts w:hint="eastAsia" w:ascii="宋体" w:hAnsi="宋体" w:eastAsia="宋体" w:cs="宋体"/>
                <w:spacing w:val="-8"/>
                <w:sz w:val="21"/>
                <w:szCs w:val="21"/>
                <w:lang w:val="en-US" w:eastAsia="zh-CN"/>
              </w:rPr>
              <w:t>对违法向水体排放油类、酸液、碱液等行为的行政处罚</w:t>
            </w:r>
          </w:p>
        </w:tc>
        <w:tc>
          <w:tcPr>
            <w:tcW w:w="1094" w:type="dxa"/>
            <w:shd w:val="clear" w:color="auto" w:fill="auto"/>
            <w:vAlign w:val="center"/>
          </w:tcPr>
          <w:p w14:paraId="5D671702">
            <w:pPr>
              <w:keepNext w:val="0"/>
              <w:keepLines w:val="0"/>
              <w:pageBreakBefore w:val="0"/>
              <w:widowControl w:val="0"/>
              <w:kinsoku/>
              <w:wordWrap/>
              <w:overflowPunct/>
              <w:topLinePunct w:val="0"/>
              <w:autoSpaceDE/>
              <w:autoSpaceDN/>
              <w:bidi w:val="0"/>
              <w:spacing w:before="68" w:line="320" w:lineRule="exact"/>
              <w:ind w:left="0" w:leftChars="0" w:firstLine="0" w:firstLineChars="0"/>
              <w:jc w:val="center"/>
              <w:rPr>
                <w:rFonts w:hint="eastAsia" w:ascii="仿宋_GB2312" w:hAnsi="仿宋_GB2312" w:eastAsia="仿宋_GB2312" w:cs="仿宋_GB2312"/>
                <w:spacing w:val="-8"/>
                <w:kern w:val="2"/>
                <w:sz w:val="24"/>
                <w:szCs w:val="24"/>
                <w:lang w:val="en-US" w:eastAsia="zh-CN" w:bidi="ar-SA"/>
              </w:rPr>
            </w:pPr>
            <w:r>
              <w:rPr>
                <w:rFonts w:hint="eastAsia" w:ascii="仿宋_GB2312" w:hAnsi="仿宋_GB2312" w:eastAsia="仿宋_GB2312" w:cs="仿宋_GB2312"/>
                <w:spacing w:val="-8"/>
                <w:sz w:val="24"/>
                <w:szCs w:val="24"/>
                <w:lang w:val="en-US" w:eastAsia="zh-CN"/>
              </w:rPr>
              <w:t>行政处罚</w:t>
            </w:r>
          </w:p>
        </w:tc>
        <w:tc>
          <w:tcPr>
            <w:tcW w:w="8317" w:type="dxa"/>
            <w:shd w:val="clear" w:color="auto" w:fill="auto"/>
            <w:vAlign w:val="top"/>
          </w:tcPr>
          <w:p w14:paraId="4767419F">
            <w:pPr>
              <w:keepNext w:val="0"/>
              <w:keepLines w:val="0"/>
              <w:pageBreakBefore w:val="0"/>
              <w:widowControl w:val="0"/>
              <w:suppressLineNumbers w:val="0"/>
              <w:kinsoku/>
              <w:wordWrap/>
              <w:overflowPunct/>
              <w:topLinePunct w:val="0"/>
              <w:autoSpaceDE/>
              <w:autoSpaceDN/>
              <w:bidi w:val="0"/>
              <w:adjustRightInd/>
              <w:snapToGrid/>
              <w:spacing w:after="0" w:afterLines="-2147483648" w:line="320" w:lineRule="exact"/>
              <w:ind w:left="240" w:leftChars="100" w:firstLine="420" w:firstLineChars="200"/>
              <w:jc w:val="both"/>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中华人民共和国水污染防治法》第八十五条有下列行为之一的，由县级以上地方人民政府环境保护主管部门责令停止违法行为，限期采取治理措施，消除污染，处以罚款；逾期不采取治理措施的，环境保护主管部门可以指定有治理能力的单位代为治理，所需费用由违法者承担：（一）向水体排放油类、酸液、碱液的；（二）向水体排放剧毒废液，或者将含有汞、镉、砷、铬、铅、氰化物、黄磷等的可溶性剧毒废渣向水体排放、倾倒或者直接埋入地下的；（三）在水体清洗装贮过油类、有毒污染物的车辆或者容器的；（四）向水体排放、倾倒工业废渣、城镇垃圾或者其他废弃物，或者在江河、湖泊、运河、渠道、水库最高水位线以下的滩地、岸坡堆放、存贮固体废弃物或者其他污染物的；（五）向水体排放、倾倒放射性固体废物或者含有高放射性、中放射性物质的废水的；（六）违反国家有关规定或者标准，向水体排放含低放射性物质的废水、热废水或者含病原体的污水的；（七）未采取防渗漏等措施，或者未建设地下水水质监测井进行监测的；（八）加油站等的地下油罐未使用双层罐或者采取建造防渗池等其他有效措施，或者未进行防渗漏监测的；（九）未按照规定采取防护性措施，或者利用无防渗漏措施的沟渠、坑塘等输送或者存贮含有毒污染物的废水、含病原体的污水或者其他废弃物的。有前款第三项、第四项、第六项、第七项、第八项行为之一的，处二万元以上二十万元以下的罚款。有前款第一项、第二项、第五项、第九项行为之一的，处十万元以上一百万元以下的罚款；情节严重的，报经有批准权的人民政府批准，责令停业、关闭。</w:t>
            </w:r>
          </w:p>
        </w:tc>
        <w:tc>
          <w:tcPr>
            <w:tcW w:w="1129" w:type="dxa"/>
            <w:vAlign w:val="top"/>
          </w:tcPr>
          <w:p w14:paraId="638471A5">
            <w:pPr>
              <w:keepNext w:val="0"/>
              <w:keepLines w:val="0"/>
              <w:pageBreakBefore w:val="0"/>
              <w:widowControl w:val="0"/>
              <w:kinsoku/>
              <w:wordWrap/>
              <w:overflowPunct/>
              <w:topLinePunct w:val="0"/>
              <w:autoSpaceDE/>
              <w:autoSpaceDN/>
              <w:bidi w:val="0"/>
              <w:spacing w:line="320" w:lineRule="exact"/>
              <w:rPr>
                <w:rFonts w:ascii="宋体"/>
                <w:sz w:val="21"/>
              </w:rPr>
            </w:pPr>
          </w:p>
        </w:tc>
        <w:tc>
          <w:tcPr>
            <w:tcW w:w="990" w:type="dxa"/>
            <w:gridSpan w:val="2"/>
            <w:tcBorders>
              <w:right w:val="single" w:color="000000" w:sz="10" w:space="0"/>
            </w:tcBorders>
            <w:vAlign w:val="top"/>
          </w:tcPr>
          <w:p w14:paraId="5BCB4E04">
            <w:pPr>
              <w:keepNext w:val="0"/>
              <w:keepLines w:val="0"/>
              <w:pageBreakBefore w:val="0"/>
              <w:widowControl w:val="0"/>
              <w:kinsoku/>
              <w:wordWrap/>
              <w:overflowPunct/>
              <w:topLinePunct w:val="0"/>
              <w:autoSpaceDE/>
              <w:autoSpaceDN/>
              <w:bidi w:val="0"/>
              <w:spacing w:line="320" w:lineRule="exact"/>
              <w:rPr>
                <w:rFonts w:ascii="宋体"/>
                <w:sz w:val="21"/>
              </w:rPr>
            </w:pPr>
          </w:p>
        </w:tc>
      </w:tr>
      <w:tr w14:paraId="062B44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66" w:hRule="atLeast"/>
        </w:trPr>
        <w:tc>
          <w:tcPr>
            <w:tcW w:w="557" w:type="dxa"/>
            <w:tcBorders>
              <w:left w:val="single" w:color="000000" w:sz="10" w:space="0"/>
            </w:tcBorders>
            <w:shd w:val="clear" w:color="auto" w:fill="auto"/>
            <w:vAlign w:val="center"/>
          </w:tcPr>
          <w:p w14:paraId="5A99A0EC">
            <w:pPr>
              <w:keepNext w:val="0"/>
              <w:keepLines w:val="0"/>
              <w:pageBreakBefore w:val="0"/>
              <w:widowControl w:val="0"/>
              <w:kinsoku/>
              <w:wordWrap/>
              <w:overflowPunct/>
              <w:topLinePunct w:val="0"/>
              <w:autoSpaceDE/>
              <w:autoSpaceDN/>
              <w:bidi w:val="0"/>
              <w:spacing w:before="68" w:line="320" w:lineRule="exact"/>
              <w:ind w:left="0" w:leftChars="0" w:firstLine="0" w:firstLineChars="0"/>
              <w:jc w:val="center"/>
              <w:rPr>
                <w:rFonts w:hint="eastAsia" w:ascii="仿宋_GB2312" w:hAnsi="仿宋_GB2312" w:eastAsia="仿宋_GB2312" w:cs="仿宋_GB2312"/>
                <w:spacing w:val="-8"/>
                <w:sz w:val="24"/>
                <w:szCs w:val="24"/>
                <w:lang w:val="en-US" w:eastAsia="zh-CN"/>
              </w:rPr>
            </w:pPr>
            <w:r>
              <w:rPr>
                <w:rFonts w:hint="eastAsia" w:ascii="仿宋_GB2312" w:hAnsi="仿宋_GB2312" w:eastAsia="仿宋_GB2312" w:cs="仿宋_GB2312"/>
                <w:spacing w:val="-8"/>
                <w:sz w:val="24"/>
                <w:szCs w:val="24"/>
                <w:lang w:val="en-US" w:eastAsia="zh-CN"/>
              </w:rPr>
              <w:t>22</w:t>
            </w:r>
          </w:p>
        </w:tc>
        <w:tc>
          <w:tcPr>
            <w:tcW w:w="2355" w:type="dxa"/>
            <w:shd w:val="clear" w:color="auto" w:fill="auto"/>
            <w:vAlign w:val="center"/>
          </w:tcPr>
          <w:p w14:paraId="5AF22DF6">
            <w:pPr>
              <w:keepNext w:val="0"/>
              <w:keepLines w:val="0"/>
              <w:pageBreakBefore w:val="0"/>
              <w:widowControl w:val="0"/>
              <w:kinsoku/>
              <w:wordWrap/>
              <w:overflowPunct/>
              <w:topLinePunct w:val="0"/>
              <w:autoSpaceDE/>
              <w:autoSpaceDN/>
              <w:bidi w:val="0"/>
              <w:spacing w:before="68" w:line="320" w:lineRule="exact"/>
              <w:ind w:left="240" w:leftChars="100" w:right="127" w:rightChars="53" w:firstLine="0" w:firstLineChars="0"/>
              <w:jc w:val="center"/>
              <w:rPr>
                <w:rFonts w:hint="eastAsia" w:ascii="宋体" w:hAnsi="宋体" w:eastAsia="宋体" w:cs="宋体"/>
                <w:spacing w:val="-8"/>
                <w:kern w:val="2"/>
                <w:sz w:val="21"/>
                <w:szCs w:val="21"/>
                <w:lang w:val="en-US" w:eastAsia="zh-CN" w:bidi="ar-SA"/>
              </w:rPr>
            </w:pPr>
            <w:r>
              <w:rPr>
                <w:rFonts w:hint="eastAsia" w:ascii="宋体" w:hAnsi="宋体" w:eastAsia="宋体" w:cs="宋体"/>
                <w:spacing w:val="-8"/>
                <w:sz w:val="21"/>
                <w:szCs w:val="21"/>
                <w:lang w:val="en-US" w:eastAsia="zh-CN"/>
              </w:rPr>
              <w:t>对违法向水体排放油类、酸液、碱液等行为的行政强制</w:t>
            </w:r>
          </w:p>
        </w:tc>
        <w:tc>
          <w:tcPr>
            <w:tcW w:w="1094" w:type="dxa"/>
            <w:shd w:val="clear" w:color="auto" w:fill="auto"/>
            <w:vAlign w:val="center"/>
          </w:tcPr>
          <w:p w14:paraId="4AB9854F">
            <w:pPr>
              <w:keepNext w:val="0"/>
              <w:keepLines w:val="0"/>
              <w:pageBreakBefore w:val="0"/>
              <w:widowControl w:val="0"/>
              <w:kinsoku/>
              <w:wordWrap/>
              <w:overflowPunct/>
              <w:topLinePunct w:val="0"/>
              <w:autoSpaceDE/>
              <w:autoSpaceDN/>
              <w:bidi w:val="0"/>
              <w:spacing w:before="68" w:line="320" w:lineRule="exact"/>
              <w:ind w:left="0" w:leftChars="0" w:firstLine="0" w:firstLineChars="0"/>
              <w:jc w:val="center"/>
              <w:rPr>
                <w:rFonts w:hint="eastAsia" w:ascii="仿宋_GB2312" w:hAnsi="仿宋_GB2312" w:eastAsia="仿宋_GB2312" w:cs="仿宋_GB2312"/>
                <w:spacing w:val="-8"/>
                <w:kern w:val="2"/>
                <w:sz w:val="24"/>
                <w:szCs w:val="24"/>
                <w:lang w:val="en-US" w:eastAsia="zh-CN" w:bidi="ar-SA"/>
              </w:rPr>
            </w:pPr>
            <w:r>
              <w:rPr>
                <w:rFonts w:hint="eastAsia" w:ascii="仿宋_GB2312" w:hAnsi="仿宋_GB2312" w:eastAsia="仿宋_GB2312" w:cs="仿宋_GB2312"/>
                <w:spacing w:val="-8"/>
                <w:sz w:val="24"/>
                <w:szCs w:val="24"/>
                <w:lang w:val="en-US" w:eastAsia="zh-CN"/>
              </w:rPr>
              <w:t>行政强制</w:t>
            </w:r>
          </w:p>
        </w:tc>
        <w:tc>
          <w:tcPr>
            <w:tcW w:w="8317" w:type="dxa"/>
            <w:shd w:val="clear" w:color="auto" w:fill="auto"/>
            <w:vAlign w:val="top"/>
          </w:tcPr>
          <w:p w14:paraId="37CF94E2">
            <w:pPr>
              <w:keepNext w:val="0"/>
              <w:keepLines w:val="0"/>
              <w:pageBreakBefore w:val="0"/>
              <w:widowControl w:val="0"/>
              <w:suppressLineNumbers w:val="0"/>
              <w:kinsoku/>
              <w:wordWrap/>
              <w:overflowPunct/>
              <w:topLinePunct w:val="0"/>
              <w:autoSpaceDE/>
              <w:autoSpaceDN/>
              <w:bidi w:val="0"/>
              <w:adjustRightInd/>
              <w:snapToGrid/>
              <w:spacing w:after="0" w:afterLines="-2147483648" w:line="320" w:lineRule="exact"/>
              <w:ind w:left="240" w:leftChars="100" w:firstLine="420" w:firstLineChars="200"/>
              <w:jc w:val="both"/>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中华人民共和国水污染防治法》第八十五条有下列行为之一的，由县级以上地方人民政府环境保护主管部门责令停止违法行为，限期采取治理措施，消除污染，处以罚款；逾期不采取治理措施的，环境保护主管部门可以指定有治理能力的单位代为治理，所需费用由违法者承担：（一）向水体排放油类、酸液、碱液的；（二）向水体排放剧毒废液，或者将含有汞、镉、砷、铬、铅、氰化物、黄磷等的可溶性剧毒废渣向水体排放、倾倒或者直接埋入地下的；（三）在水体清洗装贮过油类、有毒污染物的车辆或者容器的；（四）向水体排放、倾倒工业废渣、城镇垃圾或者其他废弃物，或者在江河、湖泊、运河、渠道、水库最高水位线以下的滩地、岸坡堆放、存贮固体废弃物或者其他污染物的；（五）向水体排放、倾倒放射性固体废物或者含有高放射性、中放射性物质的废水的；（六）违反国家有关规定或者标准，向水体排放含低放射性物质的废水、热废水或者含病原体的污水的；（七）未采取防渗漏等措施，或者未建设地下水水质监测井进行监测的；（八）加油站等的地下油罐未使用双层罐或者采取建造防渗池等其他有效措施，或者未进行防渗漏监测的；（九）未按照规定采取防护性措施，或者利用无防渗漏措施的沟渠、坑塘等输送或者存贮含有毒污染物的废水、含病原体的污水或者其他废弃物的。有前款第三项、第四项、第六项、第七项、第八项行为之一的，处二万元以上二十万元以下的罚款。有前款第一项、第二项、第五项、第九项行为之一的，处十万元以上一百万元以下的罚款；情节严重的，报经有批准权的人民政府批准，责令停业、关闭。</w:t>
            </w:r>
          </w:p>
        </w:tc>
        <w:tc>
          <w:tcPr>
            <w:tcW w:w="1129" w:type="dxa"/>
            <w:vAlign w:val="top"/>
          </w:tcPr>
          <w:p w14:paraId="25E3F22C">
            <w:pPr>
              <w:keepNext w:val="0"/>
              <w:keepLines w:val="0"/>
              <w:pageBreakBefore w:val="0"/>
              <w:widowControl w:val="0"/>
              <w:kinsoku/>
              <w:wordWrap/>
              <w:overflowPunct/>
              <w:topLinePunct w:val="0"/>
              <w:autoSpaceDE/>
              <w:autoSpaceDN/>
              <w:bidi w:val="0"/>
              <w:spacing w:line="320" w:lineRule="exact"/>
              <w:rPr>
                <w:rFonts w:ascii="宋体"/>
                <w:sz w:val="21"/>
              </w:rPr>
            </w:pPr>
          </w:p>
        </w:tc>
        <w:tc>
          <w:tcPr>
            <w:tcW w:w="990" w:type="dxa"/>
            <w:gridSpan w:val="2"/>
            <w:tcBorders>
              <w:right w:val="single" w:color="000000" w:sz="10" w:space="0"/>
            </w:tcBorders>
            <w:vAlign w:val="top"/>
          </w:tcPr>
          <w:p w14:paraId="3A37A6A9">
            <w:pPr>
              <w:keepNext w:val="0"/>
              <w:keepLines w:val="0"/>
              <w:pageBreakBefore w:val="0"/>
              <w:widowControl w:val="0"/>
              <w:kinsoku/>
              <w:wordWrap/>
              <w:overflowPunct/>
              <w:topLinePunct w:val="0"/>
              <w:autoSpaceDE/>
              <w:autoSpaceDN/>
              <w:bidi w:val="0"/>
              <w:spacing w:line="320" w:lineRule="exact"/>
              <w:rPr>
                <w:rFonts w:ascii="宋体"/>
                <w:sz w:val="21"/>
              </w:rPr>
            </w:pPr>
          </w:p>
        </w:tc>
      </w:tr>
      <w:tr w14:paraId="492960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66" w:hRule="atLeast"/>
        </w:trPr>
        <w:tc>
          <w:tcPr>
            <w:tcW w:w="557" w:type="dxa"/>
            <w:tcBorders>
              <w:left w:val="single" w:color="000000" w:sz="10" w:space="0"/>
            </w:tcBorders>
            <w:shd w:val="clear" w:color="auto" w:fill="auto"/>
            <w:vAlign w:val="center"/>
          </w:tcPr>
          <w:p w14:paraId="3E4973D4">
            <w:pPr>
              <w:keepNext w:val="0"/>
              <w:keepLines w:val="0"/>
              <w:pageBreakBefore w:val="0"/>
              <w:widowControl w:val="0"/>
              <w:kinsoku/>
              <w:wordWrap/>
              <w:overflowPunct/>
              <w:topLinePunct w:val="0"/>
              <w:autoSpaceDE/>
              <w:autoSpaceDN/>
              <w:bidi w:val="0"/>
              <w:spacing w:before="68" w:line="320" w:lineRule="exact"/>
              <w:ind w:left="0" w:leftChars="0" w:firstLine="0" w:firstLineChars="0"/>
              <w:jc w:val="center"/>
              <w:rPr>
                <w:rFonts w:hint="eastAsia" w:ascii="仿宋_GB2312" w:hAnsi="仿宋_GB2312" w:eastAsia="仿宋_GB2312" w:cs="仿宋_GB2312"/>
                <w:spacing w:val="-8"/>
                <w:sz w:val="24"/>
                <w:szCs w:val="24"/>
                <w:lang w:val="en-US" w:eastAsia="zh-CN"/>
              </w:rPr>
            </w:pPr>
            <w:r>
              <w:rPr>
                <w:rFonts w:hint="eastAsia" w:ascii="仿宋_GB2312" w:hAnsi="仿宋_GB2312" w:eastAsia="仿宋_GB2312" w:cs="仿宋_GB2312"/>
                <w:spacing w:val="-8"/>
                <w:sz w:val="24"/>
                <w:szCs w:val="24"/>
                <w:lang w:val="en-US" w:eastAsia="zh-CN"/>
              </w:rPr>
              <w:t>23</w:t>
            </w:r>
          </w:p>
        </w:tc>
        <w:tc>
          <w:tcPr>
            <w:tcW w:w="2355" w:type="dxa"/>
            <w:shd w:val="clear" w:color="auto" w:fill="auto"/>
            <w:vAlign w:val="center"/>
          </w:tcPr>
          <w:p w14:paraId="55B72E0D">
            <w:pPr>
              <w:keepNext w:val="0"/>
              <w:keepLines w:val="0"/>
              <w:pageBreakBefore w:val="0"/>
              <w:widowControl w:val="0"/>
              <w:kinsoku/>
              <w:wordWrap/>
              <w:overflowPunct/>
              <w:topLinePunct w:val="0"/>
              <w:autoSpaceDE/>
              <w:autoSpaceDN/>
              <w:bidi w:val="0"/>
              <w:spacing w:before="68" w:line="320" w:lineRule="exact"/>
              <w:ind w:left="240" w:leftChars="100" w:right="127" w:rightChars="53" w:firstLine="0" w:firstLineChars="0"/>
              <w:jc w:val="center"/>
              <w:rPr>
                <w:rFonts w:hint="eastAsia" w:ascii="宋体" w:hAnsi="宋体" w:eastAsia="宋体" w:cs="宋体"/>
                <w:spacing w:val="-8"/>
                <w:kern w:val="2"/>
                <w:sz w:val="21"/>
                <w:szCs w:val="21"/>
                <w:lang w:val="en-US" w:eastAsia="zh-CN" w:bidi="ar-SA"/>
              </w:rPr>
            </w:pPr>
            <w:r>
              <w:rPr>
                <w:rFonts w:hint="eastAsia" w:ascii="宋体" w:hAnsi="宋体" w:eastAsia="宋体" w:cs="宋体"/>
                <w:spacing w:val="-8"/>
                <w:sz w:val="21"/>
                <w:szCs w:val="21"/>
                <w:lang w:val="en-US" w:eastAsia="zh-CN"/>
              </w:rPr>
              <w:t>对违规建设污染严重的生产项目的行政处罚</w:t>
            </w:r>
          </w:p>
        </w:tc>
        <w:tc>
          <w:tcPr>
            <w:tcW w:w="1094" w:type="dxa"/>
            <w:shd w:val="clear" w:color="auto" w:fill="auto"/>
            <w:vAlign w:val="center"/>
          </w:tcPr>
          <w:p w14:paraId="137C9DCA">
            <w:pPr>
              <w:keepNext w:val="0"/>
              <w:keepLines w:val="0"/>
              <w:pageBreakBefore w:val="0"/>
              <w:widowControl w:val="0"/>
              <w:kinsoku/>
              <w:wordWrap/>
              <w:overflowPunct/>
              <w:topLinePunct w:val="0"/>
              <w:autoSpaceDE/>
              <w:autoSpaceDN/>
              <w:bidi w:val="0"/>
              <w:spacing w:before="68" w:line="320" w:lineRule="exact"/>
              <w:ind w:left="0" w:leftChars="0" w:firstLine="0" w:firstLineChars="0"/>
              <w:jc w:val="center"/>
              <w:rPr>
                <w:rFonts w:hint="eastAsia" w:ascii="仿宋_GB2312" w:hAnsi="仿宋_GB2312" w:eastAsia="仿宋_GB2312" w:cs="仿宋_GB2312"/>
                <w:spacing w:val="-8"/>
                <w:kern w:val="2"/>
                <w:sz w:val="24"/>
                <w:szCs w:val="24"/>
                <w:lang w:val="en-US" w:eastAsia="zh-CN" w:bidi="ar-SA"/>
              </w:rPr>
            </w:pPr>
            <w:r>
              <w:rPr>
                <w:rFonts w:hint="eastAsia" w:ascii="仿宋_GB2312" w:hAnsi="仿宋_GB2312" w:eastAsia="仿宋_GB2312" w:cs="仿宋_GB2312"/>
                <w:spacing w:val="-8"/>
                <w:sz w:val="24"/>
                <w:szCs w:val="24"/>
                <w:lang w:val="en-US" w:eastAsia="zh-CN"/>
              </w:rPr>
              <w:t>行政处罚</w:t>
            </w:r>
          </w:p>
        </w:tc>
        <w:tc>
          <w:tcPr>
            <w:tcW w:w="8317" w:type="dxa"/>
            <w:shd w:val="clear" w:color="auto" w:fill="auto"/>
            <w:vAlign w:val="top"/>
          </w:tcPr>
          <w:p w14:paraId="3B6F6598">
            <w:pPr>
              <w:keepNext w:val="0"/>
              <w:keepLines w:val="0"/>
              <w:pageBreakBefore w:val="0"/>
              <w:widowControl w:val="0"/>
              <w:suppressLineNumbers w:val="0"/>
              <w:kinsoku/>
              <w:wordWrap/>
              <w:overflowPunct/>
              <w:topLinePunct w:val="0"/>
              <w:autoSpaceDE/>
              <w:autoSpaceDN/>
              <w:bidi w:val="0"/>
              <w:adjustRightInd/>
              <w:snapToGrid/>
              <w:spacing w:after="0" w:afterLines="-2147483648" w:line="320" w:lineRule="exact"/>
              <w:ind w:left="240" w:leftChars="100" w:firstLine="420" w:firstLineChars="200"/>
              <w:jc w:val="both"/>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中华人民共和国水污染防治法》第八十七条违反本法规定，建设不符合国家产业政策的小型造纸、制革、印染、染料、炼焦、炼硫、炼砷、炼汞、炼油、电镀、农药、石棉、水泥、玻璃、钢铁、火电以及其他严重污染水环境的生产项目的，由所在地的市、县人民政府责令关闭。</w:t>
            </w:r>
          </w:p>
        </w:tc>
        <w:tc>
          <w:tcPr>
            <w:tcW w:w="1129" w:type="dxa"/>
            <w:vAlign w:val="top"/>
          </w:tcPr>
          <w:p w14:paraId="4FB06A87">
            <w:pPr>
              <w:keepNext w:val="0"/>
              <w:keepLines w:val="0"/>
              <w:pageBreakBefore w:val="0"/>
              <w:widowControl w:val="0"/>
              <w:kinsoku/>
              <w:wordWrap/>
              <w:overflowPunct/>
              <w:topLinePunct w:val="0"/>
              <w:autoSpaceDE/>
              <w:autoSpaceDN/>
              <w:bidi w:val="0"/>
              <w:spacing w:line="320" w:lineRule="exact"/>
              <w:rPr>
                <w:rFonts w:ascii="宋体"/>
                <w:sz w:val="21"/>
              </w:rPr>
            </w:pPr>
          </w:p>
        </w:tc>
        <w:tc>
          <w:tcPr>
            <w:tcW w:w="990" w:type="dxa"/>
            <w:gridSpan w:val="2"/>
            <w:tcBorders>
              <w:right w:val="single" w:color="000000" w:sz="10" w:space="0"/>
            </w:tcBorders>
            <w:vAlign w:val="top"/>
          </w:tcPr>
          <w:p w14:paraId="18806FE1">
            <w:pPr>
              <w:keepNext w:val="0"/>
              <w:keepLines w:val="0"/>
              <w:pageBreakBefore w:val="0"/>
              <w:widowControl w:val="0"/>
              <w:kinsoku/>
              <w:wordWrap/>
              <w:overflowPunct/>
              <w:topLinePunct w:val="0"/>
              <w:autoSpaceDE/>
              <w:autoSpaceDN/>
              <w:bidi w:val="0"/>
              <w:spacing w:line="320" w:lineRule="exact"/>
              <w:rPr>
                <w:rFonts w:ascii="宋体"/>
                <w:sz w:val="21"/>
              </w:rPr>
            </w:pPr>
          </w:p>
        </w:tc>
      </w:tr>
      <w:tr w14:paraId="154B84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66" w:hRule="atLeast"/>
        </w:trPr>
        <w:tc>
          <w:tcPr>
            <w:tcW w:w="557" w:type="dxa"/>
            <w:tcBorders>
              <w:left w:val="single" w:color="000000" w:sz="10" w:space="0"/>
            </w:tcBorders>
            <w:shd w:val="clear" w:color="auto" w:fill="auto"/>
            <w:vAlign w:val="center"/>
          </w:tcPr>
          <w:p w14:paraId="0F517EED">
            <w:pPr>
              <w:keepNext w:val="0"/>
              <w:keepLines w:val="0"/>
              <w:pageBreakBefore w:val="0"/>
              <w:widowControl w:val="0"/>
              <w:kinsoku/>
              <w:wordWrap/>
              <w:overflowPunct/>
              <w:topLinePunct w:val="0"/>
              <w:autoSpaceDE/>
              <w:autoSpaceDN/>
              <w:bidi w:val="0"/>
              <w:spacing w:before="68" w:line="320" w:lineRule="exact"/>
              <w:ind w:left="0" w:leftChars="0" w:firstLine="0" w:firstLineChars="0"/>
              <w:jc w:val="center"/>
              <w:rPr>
                <w:rFonts w:hint="eastAsia" w:ascii="仿宋_GB2312" w:hAnsi="仿宋_GB2312" w:eastAsia="仿宋_GB2312" w:cs="仿宋_GB2312"/>
                <w:spacing w:val="-8"/>
                <w:sz w:val="24"/>
                <w:szCs w:val="24"/>
                <w:lang w:val="en-US" w:eastAsia="zh-CN"/>
              </w:rPr>
            </w:pPr>
            <w:r>
              <w:rPr>
                <w:rFonts w:hint="eastAsia" w:ascii="仿宋_GB2312" w:hAnsi="仿宋_GB2312" w:eastAsia="仿宋_GB2312" w:cs="仿宋_GB2312"/>
                <w:spacing w:val="-8"/>
                <w:sz w:val="24"/>
                <w:szCs w:val="24"/>
                <w:lang w:val="en-US" w:eastAsia="zh-CN"/>
              </w:rPr>
              <w:t>24</w:t>
            </w:r>
          </w:p>
        </w:tc>
        <w:tc>
          <w:tcPr>
            <w:tcW w:w="2355" w:type="dxa"/>
            <w:shd w:val="clear" w:color="auto" w:fill="auto"/>
            <w:vAlign w:val="center"/>
          </w:tcPr>
          <w:p w14:paraId="6B58FDBB">
            <w:pPr>
              <w:keepNext w:val="0"/>
              <w:keepLines w:val="0"/>
              <w:pageBreakBefore w:val="0"/>
              <w:widowControl w:val="0"/>
              <w:kinsoku/>
              <w:wordWrap/>
              <w:overflowPunct/>
              <w:topLinePunct w:val="0"/>
              <w:autoSpaceDE/>
              <w:autoSpaceDN/>
              <w:bidi w:val="0"/>
              <w:spacing w:before="68" w:line="320" w:lineRule="exact"/>
              <w:ind w:left="240" w:leftChars="100" w:right="127" w:rightChars="53" w:firstLine="0" w:firstLineChars="0"/>
              <w:jc w:val="center"/>
              <w:rPr>
                <w:rFonts w:hint="eastAsia" w:ascii="宋体" w:hAnsi="宋体" w:eastAsia="宋体" w:cs="宋体"/>
                <w:spacing w:val="-8"/>
                <w:kern w:val="2"/>
                <w:sz w:val="21"/>
                <w:szCs w:val="21"/>
                <w:lang w:val="en-US" w:eastAsia="zh-CN" w:bidi="ar-SA"/>
              </w:rPr>
            </w:pPr>
            <w:r>
              <w:rPr>
                <w:rFonts w:hint="eastAsia" w:ascii="宋体" w:hAnsi="宋体" w:eastAsia="宋体" w:cs="宋体"/>
                <w:spacing w:val="-8"/>
                <w:sz w:val="21"/>
                <w:szCs w:val="21"/>
                <w:lang w:val="en-US" w:eastAsia="zh-CN"/>
              </w:rPr>
              <w:t>对不正常运行水污染防治设施等逃避监管的方式排放水污染物的行政处罚</w:t>
            </w:r>
          </w:p>
        </w:tc>
        <w:tc>
          <w:tcPr>
            <w:tcW w:w="1094" w:type="dxa"/>
            <w:shd w:val="clear" w:color="auto" w:fill="auto"/>
            <w:vAlign w:val="center"/>
          </w:tcPr>
          <w:p w14:paraId="7BCDA174">
            <w:pPr>
              <w:keepNext w:val="0"/>
              <w:keepLines w:val="0"/>
              <w:pageBreakBefore w:val="0"/>
              <w:widowControl w:val="0"/>
              <w:kinsoku/>
              <w:wordWrap/>
              <w:overflowPunct/>
              <w:topLinePunct w:val="0"/>
              <w:autoSpaceDE/>
              <w:autoSpaceDN/>
              <w:bidi w:val="0"/>
              <w:spacing w:before="68" w:line="320" w:lineRule="exact"/>
              <w:ind w:left="0" w:leftChars="0" w:firstLine="0" w:firstLineChars="0"/>
              <w:jc w:val="center"/>
              <w:rPr>
                <w:rFonts w:hint="eastAsia" w:ascii="仿宋_GB2312" w:hAnsi="仿宋_GB2312" w:eastAsia="仿宋_GB2312" w:cs="仿宋_GB2312"/>
                <w:spacing w:val="-8"/>
                <w:kern w:val="2"/>
                <w:sz w:val="24"/>
                <w:szCs w:val="24"/>
                <w:lang w:val="en-US" w:eastAsia="zh-CN" w:bidi="ar-SA"/>
              </w:rPr>
            </w:pPr>
            <w:r>
              <w:rPr>
                <w:rFonts w:hint="eastAsia" w:ascii="仿宋_GB2312" w:hAnsi="仿宋_GB2312" w:eastAsia="仿宋_GB2312" w:cs="仿宋_GB2312"/>
                <w:spacing w:val="-8"/>
                <w:sz w:val="24"/>
                <w:szCs w:val="24"/>
                <w:lang w:val="en-US" w:eastAsia="zh-CN"/>
              </w:rPr>
              <w:t>行政处罚</w:t>
            </w:r>
          </w:p>
        </w:tc>
        <w:tc>
          <w:tcPr>
            <w:tcW w:w="8317" w:type="dxa"/>
            <w:shd w:val="clear" w:color="auto" w:fill="auto"/>
            <w:vAlign w:val="top"/>
          </w:tcPr>
          <w:p w14:paraId="1CE94D82">
            <w:pPr>
              <w:keepNext w:val="0"/>
              <w:keepLines w:val="0"/>
              <w:pageBreakBefore w:val="0"/>
              <w:widowControl w:val="0"/>
              <w:suppressLineNumbers w:val="0"/>
              <w:kinsoku/>
              <w:wordWrap/>
              <w:overflowPunct/>
              <w:topLinePunct w:val="0"/>
              <w:autoSpaceDE/>
              <w:autoSpaceDN/>
              <w:bidi w:val="0"/>
              <w:adjustRightInd/>
              <w:snapToGrid/>
              <w:spacing w:after="0" w:afterLines="-2147483648" w:line="320" w:lineRule="exact"/>
              <w:ind w:left="240" w:leftChars="100" w:firstLine="420" w:firstLineChars="200"/>
              <w:jc w:val="both"/>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中华人民共和国水污染防治法》第八十三条违反本法规定，有下列行为之一的，由县级以上人民政府环境保护主管部门责令改正或者责令限制生产、停产整治，并处十万元以上一百万元以下的罚款；情节严重的，报经有批准权的人民政府批准，责令停业、关闭：（一）未依法取得排污许可证排放水污染物的；（二）超过水污染物排放标准或者超过重点水污染物排放总量控制指标排放水污染物的；（三）利用渗井、渗坑、裂隙、溶洞，私设暗管，篡改、伪造监测数据，或者不正常运行水污染防治设施等逃避监管的方式排放水污染物的；（四）未按照规定进行预处理，向污水集中处理设施排放不符合处理工艺要求的工业废水的。</w:t>
            </w:r>
          </w:p>
        </w:tc>
        <w:tc>
          <w:tcPr>
            <w:tcW w:w="1129" w:type="dxa"/>
            <w:vAlign w:val="top"/>
          </w:tcPr>
          <w:p w14:paraId="5CC1FD3A">
            <w:pPr>
              <w:keepNext w:val="0"/>
              <w:keepLines w:val="0"/>
              <w:pageBreakBefore w:val="0"/>
              <w:widowControl w:val="0"/>
              <w:kinsoku/>
              <w:wordWrap/>
              <w:overflowPunct/>
              <w:topLinePunct w:val="0"/>
              <w:autoSpaceDE/>
              <w:autoSpaceDN/>
              <w:bidi w:val="0"/>
              <w:spacing w:line="320" w:lineRule="exact"/>
              <w:rPr>
                <w:rFonts w:ascii="宋体"/>
                <w:sz w:val="21"/>
              </w:rPr>
            </w:pPr>
          </w:p>
        </w:tc>
        <w:tc>
          <w:tcPr>
            <w:tcW w:w="990" w:type="dxa"/>
            <w:gridSpan w:val="2"/>
            <w:tcBorders>
              <w:right w:val="single" w:color="000000" w:sz="10" w:space="0"/>
            </w:tcBorders>
            <w:vAlign w:val="top"/>
          </w:tcPr>
          <w:p w14:paraId="5FE38B54">
            <w:pPr>
              <w:keepNext w:val="0"/>
              <w:keepLines w:val="0"/>
              <w:pageBreakBefore w:val="0"/>
              <w:widowControl w:val="0"/>
              <w:kinsoku/>
              <w:wordWrap/>
              <w:overflowPunct/>
              <w:topLinePunct w:val="0"/>
              <w:autoSpaceDE/>
              <w:autoSpaceDN/>
              <w:bidi w:val="0"/>
              <w:spacing w:line="320" w:lineRule="exact"/>
              <w:rPr>
                <w:rFonts w:ascii="宋体"/>
                <w:sz w:val="21"/>
              </w:rPr>
            </w:pPr>
          </w:p>
        </w:tc>
      </w:tr>
      <w:tr w14:paraId="5E7552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66" w:hRule="atLeast"/>
        </w:trPr>
        <w:tc>
          <w:tcPr>
            <w:tcW w:w="557" w:type="dxa"/>
            <w:tcBorders>
              <w:left w:val="single" w:color="000000" w:sz="10" w:space="0"/>
            </w:tcBorders>
            <w:shd w:val="clear" w:color="auto" w:fill="auto"/>
            <w:vAlign w:val="center"/>
          </w:tcPr>
          <w:p w14:paraId="1C42C9DC">
            <w:pPr>
              <w:keepNext w:val="0"/>
              <w:keepLines w:val="0"/>
              <w:pageBreakBefore w:val="0"/>
              <w:widowControl w:val="0"/>
              <w:kinsoku/>
              <w:wordWrap/>
              <w:overflowPunct/>
              <w:topLinePunct w:val="0"/>
              <w:autoSpaceDE/>
              <w:autoSpaceDN/>
              <w:bidi w:val="0"/>
              <w:spacing w:before="68" w:line="320" w:lineRule="exact"/>
              <w:ind w:left="0" w:leftChars="0" w:firstLine="0" w:firstLineChars="0"/>
              <w:jc w:val="center"/>
              <w:rPr>
                <w:rFonts w:hint="eastAsia" w:ascii="仿宋_GB2312" w:hAnsi="仿宋_GB2312" w:eastAsia="仿宋_GB2312" w:cs="仿宋_GB2312"/>
                <w:spacing w:val="-8"/>
                <w:sz w:val="24"/>
                <w:szCs w:val="24"/>
                <w:lang w:val="en-US" w:eastAsia="zh-CN"/>
              </w:rPr>
            </w:pPr>
            <w:r>
              <w:rPr>
                <w:rFonts w:hint="eastAsia" w:ascii="仿宋_GB2312" w:hAnsi="仿宋_GB2312" w:eastAsia="仿宋_GB2312" w:cs="仿宋_GB2312"/>
                <w:spacing w:val="-8"/>
                <w:sz w:val="24"/>
                <w:szCs w:val="24"/>
                <w:lang w:val="en-US" w:eastAsia="zh-CN"/>
              </w:rPr>
              <w:t>25</w:t>
            </w:r>
          </w:p>
        </w:tc>
        <w:tc>
          <w:tcPr>
            <w:tcW w:w="2355" w:type="dxa"/>
            <w:shd w:val="clear" w:color="auto" w:fill="auto"/>
            <w:vAlign w:val="center"/>
          </w:tcPr>
          <w:p w14:paraId="215307DC">
            <w:pPr>
              <w:keepNext w:val="0"/>
              <w:keepLines w:val="0"/>
              <w:pageBreakBefore w:val="0"/>
              <w:widowControl w:val="0"/>
              <w:kinsoku/>
              <w:wordWrap/>
              <w:overflowPunct/>
              <w:topLinePunct w:val="0"/>
              <w:autoSpaceDE/>
              <w:autoSpaceDN/>
              <w:bidi w:val="0"/>
              <w:spacing w:before="68" w:line="320" w:lineRule="exact"/>
              <w:ind w:left="240" w:leftChars="100" w:right="127" w:rightChars="53" w:firstLine="0" w:firstLineChars="0"/>
              <w:jc w:val="center"/>
              <w:rPr>
                <w:rFonts w:hint="eastAsia" w:ascii="宋体" w:hAnsi="宋体" w:eastAsia="宋体" w:cs="宋体"/>
                <w:spacing w:val="-8"/>
                <w:kern w:val="2"/>
                <w:sz w:val="21"/>
                <w:szCs w:val="21"/>
                <w:lang w:val="en-US" w:eastAsia="zh-CN" w:bidi="ar-SA"/>
              </w:rPr>
            </w:pPr>
            <w:r>
              <w:rPr>
                <w:rFonts w:hint="eastAsia" w:ascii="宋体" w:hAnsi="宋体" w:eastAsia="宋体" w:cs="宋体"/>
                <w:spacing w:val="-8"/>
                <w:sz w:val="21"/>
                <w:szCs w:val="21"/>
                <w:lang w:val="en-US" w:eastAsia="zh-CN"/>
              </w:rPr>
              <w:t>对擅自修建水工程，或者建设桥梁、码头和其他拦河、跨河、临河建筑物、构筑物，铺设跨河管道、电缆造成环境污染和生态破坏的行政处罚</w:t>
            </w:r>
          </w:p>
        </w:tc>
        <w:tc>
          <w:tcPr>
            <w:tcW w:w="1094" w:type="dxa"/>
            <w:shd w:val="clear" w:color="auto" w:fill="auto"/>
            <w:vAlign w:val="center"/>
          </w:tcPr>
          <w:p w14:paraId="5C3DCF66">
            <w:pPr>
              <w:keepNext w:val="0"/>
              <w:keepLines w:val="0"/>
              <w:pageBreakBefore w:val="0"/>
              <w:widowControl w:val="0"/>
              <w:kinsoku/>
              <w:wordWrap/>
              <w:overflowPunct/>
              <w:topLinePunct w:val="0"/>
              <w:autoSpaceDE/>
              <w:autoSpaceDN/>
              <w:bidi w:val="0"/>
              <w:spacing w:before="68" w:line="320" w:lineRule="exact"/>
              <w:ind w:left="0" w:leftChars="0" w:firstLine="0" w:firstLineChars="0"/>
              <w:jc w:val="center"/>
              <w:rPr>
                <w:rFonts w:hint="eastAsia" w:ascii="仿宋_GB2312" w:hAnsi="仿宋_GB2312" w:eastAsia="仿宋_GB2312" w:cs="仿宋_GB2312"/>
                <w:spacing w:val="-8"/>
                <w:kern w:val="2"/>
                <w:sz w:val="24"/>
                <w:szCs w:val="24"/>
                <w:lang w:val="en-US" w:eastAsia="zh-CN" w:bidi="ar-SA"/>
              </w:rPr>
            </w:pPr>
            <w:r>
              <w:rPr>
                <w:rFonts w:hint="eastAsia" w:ascii="仿宋_GB2312" w:hAnsi="仿宋_GB2312" w:eastAsia="仿宋_GB2312" w:cs="仿宋_GB2312"/>
                <w:spacing w:val="-8"/>
                <w:sz w:val="24"/>
                <w:szCs w:val="24"/>
                <w:lang w:val="en-US" w:eastAsia="zh-CN"/>
              </w:rPr>
              <w:t>行政处罚</w:t>
            </w:r>
          </w:p>
        </w:tc>
        <w:tc>
          <w:tcPr>
            <w:tcW w:w="8317" w:type="dxa"/>
            <w:shd w:val="clear" w:color="auto" w:fill="auto"/>
            <w:vAlign w:val="top"/>
          </w:tcPr>
          <w:p w14:paraId="0EF344EB">
            <w:pPr>
              <w:keepNext w:val="0"/>
              <w:keepLines w:val="0"/>
              <w:pageBreakBefore w:val="0"/>
              <w:widowControl w:val="0"/>
              <w:suppressLineNumbers w:val="0"/>
              <w:kinsoku/>
              <w:wordWrap/>
              <w:overflowPunct/>
              <w:topLinePunct w:val="0"/>
              <w:autoSpaceDE/>
              <w:autoSpaceDN/>
              <w:bidi w:val="0"/>
              <w:adjustRightInd/>
              <w:snapToGrid/>
              <w:spacing w:after="0" w:afterLines="-2147483648" w:line="320" w:lineRule="exact"/>
              <w:ind w:left="240" w:leftChars="100" w:firstLine="420" w:firstLineChars="200"/>
              <w:jc w:val="both"/>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中华人民共和国水法》第六十五条第二款未经水行政主管部门或者流域管理机构同意，擅自修建水工程，或者建设桥梁、码头和其他拦河、跨河、临河建筑物、构筑物，铺设跨河管道、电缆，且防洪法未作规定的，由县级以上人民政府水行政主管部门或者流域管理机构依据职权，责令停止违法行为，限期补办有关手续；逾期不补办或者补办未被批准的，责令限期拆除违法建筑物、构筑物；逾期不拆除的，强行拆除，所需费用由违法单位或者个人负担，并处一万元以上十万元以下的罚款。备注：《生态环境部水利部关于&lt;生态环境保护综合行政执法事项指导目录（2020年版）&gt;有关事项说明的通知》（环人事〔2020〕23号）水行政主管部门依据《中华人民共和国水法》第六十五条第二款对“对擅自修建水工程，或者建设桥梁、码头和其他拦河、跨河、临河建筑物、构筑物，铺设跨河管道、电缆等行为的行政处罚”“对太湖流域擅自占用规定的水域、滩地等行为的行政处罚”行使执法职责；生态环境主管部门依据“三定”和有关法律法规规定，对上述行为造成环境污染和生态破坏的行使执法职责。</w:t>
            </w:r>
          </w:p>
        </w:tc>
        <w:tc>
          <w:tcPr>
            <w:tcW w:w="1129" w:type="dxa"/>
            <w:vAlign w:val="top"/>
          </w:tcPr>
          <w:p w14:paraId="6C8C7FD8">
            <w:pPr>
              <w:keepNext w:val="0"/>
              <w:keepLines w:val="0"/>
              <w:pageBreakBefore w:val="0"/>
              <w:widowControl w:val="0"/>
              <w:kinsoku/>
              <w:wordWrap/>
              <w:overflowPunct/>
              <w:topLinePunct w:val="0"/>
              <w:autoSpaceDE/>
              <w:autoSpaceDN/>
              <w:bidi w:val="0"/>
              <w:spacing w:line="320" w:lineRule="exact"/>
              <w:rPr>
                <w:rFonts w:ascii="宋体"/>
                <w:sz w:val="21"/>
              </w:rPr>
            </w:pPr>
          </w:p>
        </w:tc>
        <w:tc>
          <w:tcPr>
            <w:tcW w:w="990" w:type="dxa"/>
            <w:gridSpan w:val="2"/>
            <w:tcBorders>
              <w:right w:val="single" w:color="000000" w:sz="10" w:space="0"/>
            </w:tcBorders>
            <w:vAlign w:val="top"/>
          </w:tcPr>
          <w:p w14:paraId="75CDB3A5">
            <w:pPr>
              <w:keepNext w:val="0"/>
              <w:keepLines w:val="0"/>
              <w:pageBreakBefore w:val="0"/>
              <w:widowControl w:val="0"/>
              <w:kinsoku/>
              <w:wordWrap/>
              <w:overflowPunct/>
              <w:topLinePunct w:val="0"/>
              <w:autoSpaceDE/>
              <w:autoSpaceDN/>
              <w:bidi w:val="0"/>
              <w:spacing w:line="320" w:lineRule="exact"/>
              <w:rPr>
                <w:rFonts w:ascii="宋体"/>
                <w:sz w:val="21"/>
              </w:rPr>
            </w:pPr>
          </w:p>
        </w:tc>
      </w:tr>
      <w:tr w14:paraId="77917D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6" w:hRule="atLeast"/>
        </w:trPr>
        <w:tc>
          <w:tcPr>
            <w:tcW w:w="557" w:type="dxa"/>
            <w:tcBorders>
              <w:left w:val="single" w:color="000000" w:sz="10" w:space="0"/>
            </w:tcBorders>
            <w:shd w:val="clear" w:color="auto" w:fill="auto"/>
            <w:vAlign w:val="center"/>
          </w:tcPr>
          <w:p w14:paraId="58914AEA">
            <w:pPr>
              <w:keepNext w:val="0"/>
              <w:keepLines w:val="0"/>
              <w:pageBreakBefore w:val="0"/>
              <w:widowControl w:val="0"/>
              <w:kinsoku/>
              <w:wordWrap/>
              <w:overflowPunct/>
              <w:topLinePunct w:val="0"/>
              <w:autoSpaceDE/>
              <w:autoSpaceDN/>
              <w:bidi w:val="0"/>
              <w:spacing w:before="68" w:line="320" w:lineRule="exact"/>
              <w:ind w:left="0" w:leftChars="0" w:firstLine="0" w:firstLineChars="0"/>
              <w:jc w:val="center"/>
              <w:rPr>
                <w:rFonts w:hint="eastAsia" w:ascii="仿宋_GB2312" w:hAnsi="仿宋_GB2312" w:eastAsia="仿宋_GB2312" w:cs="仿宋_GB2312"/>
                <w:spacing w:val="-8"/>
                <w:sz w:val="24"/>
                <w:szCs w:val="24"/>
                <w:lang w:val="en-US" w:eastAsia="zh-CN"/>
              </w:rPr>
            </w:pPr>
            <w:r>
              <w:rPr>
                <w:rFonts w:hint="eastAsia" w:ascii="仿宋_GB2312" w:hAnsi="仿宋_GB2312" w:eastAsia="仿宋_GB2312" w:cs="仿宋_GB2312"/>
                <w:spacing w:val="-8"/>
                <w:sz w:val="24"/>
                <w:szCs w:val="24"/>
                <w:lang w:val="en-US" w:eastAsia="zh-CN"/>
              </w:rPr>
              <w:t>26</w:t>
            </w:r>
          </w:p>
        </w:tc>
        <w:tc>
          <w:tcPr>
            <w:tcW w:w="2355" w:type="dxa"/>
            <w:shd w:val="clear" w:color="auto" w:fill="auto"/>
            <w:vAlign w:val="center"/>
          </w:tcPr>
          <w:p w14:paraId="04CF9C4F">
            <w:pPr>
              <w:keepNext w:val="0"/>
              <w:keepLines w:val="0"/>
              <w:pageBreakBefore w:val="0"/>
              <w:widowControl w:val="0"/>
              <w:kinsoku/>
              <w:wordWrap/>
              <w:overflowPunct/>
              <w:topLinePunct w:val="0"/>
              <w:autoSpaceDE/>
              <w:autoSpaceDN/>
              <w:bidi w:val="0"/>
              <w:spacing w:before="68" w:line="320" w:lineRule="exact"/>
              <w:ind w:left="240" w:leftChars="100" w:right="127" w:rightChars="53" w:firstLine="0" w:firstLineChars="0"/>
              <w:jc w:val="center"/>
              <w:rPr>
                <w:rFonts w:hint="eastAsia" w:ascii="宋体" w:hAnsi="宋体" w:eastAsia="宋体" w:cs="宋体"/>
                <w:spacing w:val="-8"/>
                <w:kern w:val="2"/>
                <w:sz w:val="21"/>
                <w:szCs w:val="21"/>
                <w:lang w:val="en-US" w:eastAsia="zh-CN" w:bidi="ar-SA"/>
              </w:rPr>
            </w:pPr>
            <w:r>
              <w:rPr>
                <w:rFonts w:hint="eastAsia" w:ascii="宋体" w:hAnsi="宋体" w:eastAsia="宋体" w:cs="宋体"/>
                <w:spacing w:val="-8"/>
                <w:sz w:val="21"/>
                <w:szCs w:val="21"/>
                <w:lang w:val="en-US" w:eastAsia="zh-CN"/>
              </w:rPr>
              <w:t>对在饮用水水源一级保护区内新建、改建、扩建与供水设施和保护水源无关的建设项目等行为的行政处罚</w:t>
            </w:r>
          </w:p>
        </w:tc>
        <w:tc>
          <w:tcPr>
            <w:tcW w:w="1094" w:type="dxa"/>
            <w:shd w:val="clear" w:color="auto" w:fill="auto"/>
            <w:vAlign w:val="center"/>
          </w:tcPr>
          <w:p w14:paraId="720EA81A">
            <w:pPr>
              <w:keepNext w:val="0"/>
              <w:keepLines w:val="0"/>
              <w:pageBreakBefore w:val="0"/>
              <w:widowControl w:val="0"/>
              <w:kinsoku/>
              <w:wordWrap/>
              <w:overflowPunct/>
              <w:topLinePunct w:val="0"/>
              <w:autoSpaceDE/>
              <w:autoSpaceDN/>
              <w:bidi w:val="0"/>
              <w:spacing w:before="68" w:line="320" w:lineRule="exact"/>
              <w:ind w:left="0" w:leftChars="0" w:firstLine="0" w:firstLineChars="0"/>
              <w:jc w:val="center"/>
              <w:rPr>
                <w:rFonts w:hint="eastAsia" w:ascii="仿宋_GB2312" w:hAnsi="仿宋_GB2312" w:eastAsia="仿宋_GB2312" w:cs="仿宋_GB2312"/>
                <w:spacing w:val="-8"/>
                <w:kern w:val="2"/>
                <w:sz w:val="24"/>
                <w:szCs w:val="24"/>
                <w:lang w:val="en-US" w:eastAsia="zh-CN" w:bidi="ar-SA"/>
              </w:rPr>
            </w:pPr>
            <w:r>
              <w:rPr>
                <w:rFonts w:hint="eastAsia" w:ascii="仿宋_GB2312" w:hAnsi="仿宋_GB2312" w:eastAsia="仿宋_GB2312" w:cs="仿宋_GB2312"/>
                <w:spacing w:val="-8"/>
                <w:sz w:val="24"/>
                <w:szCs w:val="24"/>
                <w:lang w:val="en-US" w:eastAsia="zh-CN"/>
              </w:rPr>
              <w:t>行政处罚</w:t>
            </w:r>
          </w:p>
        </w:tc>
        <w:tc>
          <w:tcPr>
            <w:tcW w:w="8317" w:type="dxa"/>
            <w:shd w:val="clear" w:color="auto" w:fill="auto"/>
            <w:vAlign w:val="top"/>
          </w:tcPr>
          <w:p w14:paraId="166696EF">
            <w:pPr>
              <w:keepNext w:val="0"/>
              <w:keepLines w:val="0"/>
              <w:pageBreakBefore w:val="0"/>
              <w:widowControl w:val="0"/>
              <w:suppressLineNumbers w:val="0"/>
              <w:kinsoku/>
              <w:wordWrap/>
              <w:overflowPunct/>
              <w:topLinePunct w:val="0"/>
              <w:autoSpaceDE/>
              <w:autoSpaceDN/>
              <w:bidi w:val="0"/>
              <w:adjustRightInd/>
              <w:snapToGrid/>
              <w:spacing w:after="0" w:afterLines="-2147483648" w:line="320" w:lineRule="exact"/>
              <w:ind w:left="240" w:leftChars="100" w:firstLine="420" w:firstLineChars="200"/>
              <w:jc w:val="both"/>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中华人民共和国水污染防治法》第九十一条有下列行为之一的，由县级以上地方人民政府环境保护主管部门责令停止违法行为，处十万元以上五十万元以下的罚款；并报经有批准权的人民政府批准，责令拆除或者关闭：（一）在饮用水水源一级保护区内新建、改建、扩建与供水设施和保护水源无关的建设项目的；（二）在饮用水水源二级保护区内新建、改建、扩建排放污染物的建设项目的；（三）在饮用水水源准保护区内新建、扩建对水体污染严重的建设项目，或者改建建设项目增加排污量的。在饮用水水源一级保护区内从事网箱养殖或者组织进行旅游、垂钓或者其他可能污染饮用水水体的活动的，由县级以上地方人民政府环境保护主管部门责令停止违法行为，处二万元以上十万元以下的罚款。个人在饮用水水源一级保护区内游泳、垂钓或者从事其他可能污染饮用水水体的活动的，由县级以上地方人民政府环境保护主管部门责令停止违法行为，可以处五百元以下的罚款。</w:t>
            </w:r>
          </w:p>
        </w:tc>
        <w:tc>
          <w:tcPr>
            <w:tcW w:w="1129" w:type="dxa"/>
            <w:vAlign w:val="top"/>
          </w:tcPr>
          <w:p w14:paraId="0F33DA1B">
            <w:pPr>
              <w:keepNext w:val="0"/>
              <w:keepLines w:val="0"/>
              <w:pageBreakBefore w:val="0"/>
              <w:widowControl w:val="0"/>
              <w:kinsoku/>
              <w:wordWrap/>
              <w:overflowPunct/>
              <w:topLinePunct w:val="0"/>
              <w:autoSpaceDE/>
              <w:autoSpaceDN/>
              <w:bidi w:val="0"/>
              <w:spacing w:line="320" w:lineRule="exact"/>
              <w:rPr>
                <w:rFonts w:ascii="宋体"/>
                <w:sz w:val="21"/>
              </w:rPr>
            </w:pPr>
          </w:p>
        </w:tc>
        <w:tc>
          <w:tcPr>
            <w:tcW w:w="990" w:type="dxa"/>
            <w:gridSpan w:val="2"/>
            <w:tcBorders>
              <w:right w:val="single" w:color="000000" w:sz="10" w:space="0"/>
            </w:tcBorders>
            <w:vAlign w:val="top"/>
          </w:tcPr>
          <w:p w14:paraId="3112A664">
            <w:pPr>
              <w:keepNext w:val="0"/>
              <w:keepLines w:val="0"/>
              <w:pageBreakBefore w:val="0"/>
              <w:widowControl w:val="0"/>
              <w:kinsoku/>
              <w:wordWrap/>
              <w:overflowPunct/>
              <w:topLinePunct w:val="0"/>
              <w:autoSpaceDE/>
              <w:autoSpaceDN/>
              <w:bidi w:val="0"/>
              <w:spacing w:line="320" w:lineRule="exact"/>
              <w:rPr>
                <w:rFonts w:ascii="宋体"/>
                <w:sz w:val="21"/>
              </w:rPr>
            </w:pPr>
          </w:p>
        </w:tc>
      </w:tr>
      <w:tr w14:paraId="5531CB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6" w:hRule="atLeast"/>
        </w:trPr>
        <w:tc>
          <w:tcPr>
            <w:tcW w:w="557" w:type="dxa"/>
            <w:tcBorders>
              <w:left w:val="single" w:color="000000" w:sz="10" w:space="0"/>
            </w:tcBorders>
            <w:shd w:val="clear" w:color="auto" w:fill="auto"/>
            <w:vAlign w:val="center"/>
          </w:tcPr>
          <w:p w14:paraId="04D12B24">
            <w:pPr>
              <w:keepNext w:val="0"/>
              <w:keepLines w:val="0"/>
              <w:pageBreakBefore w:val="0"/>
              <w:widowControl w:val="0"/>
              <w:kinsoku/>
              <w:wordWrap/>
              <w:overflowPunct/>
              <w:topLinePunct w:val="0"/>
              <w:autoSpaceDE/>
              <w:autoSpaceDN/>
              <w:bidi w:val="0"/>
              <w:spacing w:before="68" w:line="320" w:lineRule="exact"/>
              <w:ind w:left="0" w:leftChars="0" w:firstLine="0" w:firstLineChars="0"/>
              <w:jc w:val="center"/>
              <w:rPr>
                <w:rFonts w:hint="eastAsia" w:ascii="仿宋_GB2312" w:hAnsi="仿宋_GB2312" w:eastAsia="仿宋_GB2312" w:cs="仿宋_GB2312"/>
                <w:spacing w:val="-8"/>
                <w:sz w:val="24"/>
                <w:szCs w:val="24"/>
                <w:lang w:val="en-US" w:eastAsia="zh-CN"/>
              </w:rPr>
            </w:pPr>
            <w:r>
              <w:rPr>
                <w:rFonts w:hint="eastAsia" w:ascii="仿宋_GB2312" w:hAnsi="仿宋_GB2312" w:eastAsia="仿宋_GB2312" w:cs="仿宋_GB2312"/>
                <w:spacing w:val="-8"/>
                <w:sz w:val="24"/>
                <w:szCs w:val="24"/>
                <w:lang w:val="en-US" w:eastAsia="zh-CN"/>
              </w:rPr>
              <w:t>27</w:t>
            </w:r>
          </w:p>
        </w:tc>
        <w:tc>
          <w:tcPr>
            <w:tcW w:w="2355" w:type="dxa"/>
            <w:shd w:val="clear" w:color="auto" w:fill="auto"/>
            <w:vAlign w:val="center"/>
          </w:tcPr>
          <w:p w14:paraId="5E422F27">
            <w:pPr>
              <w:keepNext w:val="0"/>
              <w:keepLines w:val="0"/>
              <w:pageBreakBefore w:val="0"/>
              <w:widowControl w:val="0"/>
              <w:kinsoku/>
              <w:wordWrap/>
              <w:overflowPunct/>
              <w:topLinePunct w:val="0"/>
              <w:autoSpaceDE/>
              <w:autoSpaceDN/>
              <w:bidi w:val="0"/>
              <w:spacing w:before="68" w:line="320" w:lineRule="exact"/>
              <w:ind w:left="240" w:leftChars="100" w:right="127" w:rightChars="53" w:firstLine="0" w:firstLineChars="0"/>
              <w:jc w:val="center"/>
              <w:rPr>
                <w:rFonts w:hint="eastAsia" w:ascii="宋体" w:hAnsi="宋体" w:eastAsia="宋体" w:cs="宋体"/>
                <w:spacing w:val="-8"/>
                <w:kern w:val="2"/>
                <w:sz w:val="21"/>
                <w:szCs w:val="21"/>
                <w:lang w:val="en-US" w:eastAsia="zh-CN" w:bidi="ar-SA"/>
              </w:rPr>
            </w:pPr>
            <w:r>
              <w:rPr>
                <w:rFonts w:hint="eastAsia" w:ascii="宋体" w:hAnsi="宋体" w:eastAsia="宋体" w:cs="宋体"/>
                <w:spacing w:val="-8"/>
                <w:sz w:val="21"/>
                <w:szCs w:val="21"/>
                <w:lang w:val="en-US" w:eastAsia="zh-CN"/>
              </w:rPr>
              <w:t>对在饮用水水源保护区内使用农药等行为的行政处罚</w:t>
            </w:r>
          </w:p>
        </w:tc>
        <w:tc>
          <w:tcPr>
            <w:tcW w:w="1094" w:type="dxa"/>
            <w:shd w:val="clear" w:color="auto" w:fill="auto"/>
            <w:vAlign w:val="center"/>
          </w:tcPr>
          <w:p w14:paraId="796E5A53">
            <w:pPr>
              <w:keepNext w:val="0"/>
              <w:keepLines w:val="0"/>
              <w:pageBreakBefore w:val="0"/>
              <w:widowControl w:val="0"/>
              <w:kinsoku/>
              <w:wordWrap/>
              <w:overflowPunct/>
              <w:topLinePunct w:val="0"/>
              <w:autoSpaceDE/>
              <w:autoSpaceDN/>
              <w:bidi w:val="0"/>
              <w:spacing w:before="68" w:line="320" w:lineRule="exact"/>
              <w:ind w:left="0" w:leftChars="0" w:firstLine="0" w:firstLineChars="0"/>
              <w:jc w:val="center"/>
              <w:rPr>
                <w:rFonts w:hint="eastAsia" w:ascii="仿宋_GB2312" w:hAnsi="仿宋_GB2312" w:eastAsia="仿宋_GB2312" w:cs="仿宋_GB2312"/>
                <w:spacing w:val="-8"/>
                <w:kern w:val="2"/>
                <w:sz w:val="24"/>
                <w:szCs w:val="24"/>
                <w:lang w:val="en-US" w:eastAsia="zh-CN" w:bidi="ar-SA"/>
              </w:rPr>
            </w:pPr>
            <w:r>
              <w:rPr>
                <w:rFonts w:hint="eastAsia" w:ascii="仿宋_GB2312" w:hAnsi="仿宋_GB2312" w:eastAsia="仿宋_GB2312" w:cs="仿宋_GB2312"/>
                <w:spacing w:val="-8"/>
                <w:sz w:val="24"/>
                <w:szCs w:val="24"/>
                <w:lang w:val="en-US" w:eastAsia="zh-CN"/>
              </w:rPr>
              <w:t>行政处罚</w:t>
            </w:r>
          </w:p>
        </w:tc>
        <w:tc>
          <w:tcPr>
            <w:tcW w:w="8317" w:type="dxa"/>
            <w:shd w:val="clear" w:color="auto" w:fill="auto"/>
            <w:vAlign w:val="top"/>
          </w:tcPr>
          <w:p w14:paraId="38319351">
            <w:pPr>
              <w:keepNext w:val="0"/>
              <w:keepLines w:val="0"/>
              <w:pageBreakBefore w:val="0"/>
              <w:widowControl w:val="0"/>
              <w:suppressLineNumbers w:val="0"/>
              <w:kinsoku/>
              <w:wordWrap/>
              <w:overflowPunct/>
              <w:topLinePunct w:val="0"/>
              <w:autoSpaceDE/>
              <w:autoSpaceDN/>
              <w:bidi w:val="0"/>
              <w:adjustRightInd/>
              <w:snapToGrid/>
              <w:spacing w:after="0" w:afterLines="-2147483648" w:line="320" w:lineRule="exact"/>
              <w:ind w:left="240" w:leftChars="100" w:firstLine="420" w:firstLineChars="200"/>
              <w:jc w:val="both"/>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农药管理条例》第六十条第一款第四项、第六项农药使用者有下列行为之一的，由县级人民政府农业主管部门责令改正，农药使用者为农产品生产企业、食品和食用农产品仓储企业、专业化病虫害防治服务组织和从事农产品生产的农民专业合作社等单位的，处5万元以上10万元以下罚款，农药使用者为个人的，处1万元以下罚款；构成犯罪的，依法追究刑事责任：（四）在饮用水水源保护区内使用农药；（六）在饮用水水源保护区、河道内丢弃农药、农药包装物或者清洗施药器械。</w:t>
            </w:r>
          </w:p>
        </w:tc>
        <w:tc>
          <w:tcPr>
            <w:tcW w:w="1129" w:type="dxa"/>
            <w:vAlign w:val="top"/>
          </w:tcPr>
          <w:p w14:paraId="1E21D7C6">
            <w:pPr>
              <w:keepNext w:val="0"/>
              <w:keepLines w:val="0"/>
              <w:pageBreakBefore w:val="0"/>
              <w:widowControl w:val="0"/>
              <w:kinsoku/>
              <w:wordWrap/>
              <w:overflowPunct/>
              <w:topLinePunct w:val="0"/>
              <w:autoSpaceDE/>
              <w:autoSpaceDN/>
              <w:bidi w:val="0"/>
              <w:spacing w:line="320" w:lineRule="exact"/>
              <w:rPr>
                <w:rFonts w:ascii="宋体"/>
                <w:sz w:val="21"/>
              </w:rPr>
            </w:pPr>
          </w:p>
        </w:tc>
        <w:tc>
          <w:tcPr>
            <w:tcW w:w="990" w:type="dxa"/>
            <w:gridSpan w:val="2"/>
            <w:tcBorders>
              <w:right w:val="single" w:color="000000" w:sz="10" w:space="0"/>
            </w:tcBorders>
            <w:vAlign w:val="top"/>
          </w:tcPr>
          <w:p w14:paraId="0FEE02C5">
            <w:pPr>
              <w:keepNext w:val="0"/>
              <w:keepLines w:val="0"/>
              <w:pageBreakBefore w:val="0"/>
              <w:widowControl w:val="0"/>
              <w:kinsoku/>
              <w:wordWrap/>
              <w:overflowPunct/>
              <w:topLinePunct w:val="0"/>
              <w:autoSpaceDE/>
              <w:autoSpaceDN/>
              <w:bidi w:val="0"/>
              <w:spacing w:line="320" w:lineRule="exact"/>
              <w:rPr>
                <w:rFonts w:ascii="宋体"/>
                <w:sz w:val="21"/>
              </w:rPr>
            </w:pPr>
          </w:p>
        </w:tc>
      </w:tr>
      <w:tr w14:paraId="52955B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6" w:hRule="atLeast"/>
        </w:trPr>
        <w:tc>
          <w:tcPr>
            <w:tcW w:w="557" w:type="dxa"/>
            <w:tcBorders>
              <w:left w:val="single" w:color="000000" w:sz="10" w:space="0"/>
            </w:tcBorders>
            <w:shd w:val="clear" w:color="auto" w:fill="auto"/>
            <w:vAlign w:val="center"/>
          </w:tcPr>
          <w:p w14:paraId="4560FD3F">
            <w:pPr>
              <w:keepNext w:val="0"/>
              <w:keepLines w:val="0"/>
              <w:pageBreakBefore w:val="0"/>
              <w:widowControl w:val="0"/>
              <w:kinsoku/>
              <w:wordWrap/>
              <w:overflowPunct/>
              <w:topLinePunct w:val="0"/>
              <w:autoSpaceDE/>
              <w:autoSpaceDN/>
              <w:bidi w:val="0"/>
              <w:spacing w:before="68" w:line="320" w:lineRule="exact"/>
              <w:ind w:left="0" w:leftChars="0" w:firstLine="0" w:firstLineChars="0"/>
              <w:jc w:val="center"/>
              <w:rPr>
                <w:rFonts w:hint="eastAsia" w:ascii="仿宋_GB2312" w:hAnsi="仿宋_GB2312" w:eastAsia="仿宋_GB2312" w:cs="仿宋_GB2312"/>
                <w:spacing w:val="-8"/>
                <w:sz w:val="24"/>
                <w:szCs w:val="24"/>
                <w:lang w:val="en-US" w:eastAsia="zh-CN"/>
              </w:rPr>
            </w:pPr>
            <w:r>
              <w:rPr>
                <w:rFonts w:hint="eastAsia" w:ascii="仿宋_GB2312" w:hAnsi="仿宋_GB2312" w:eastAsia="仿宋_GB2312" w:cs="仿宋_GB2312"/>
                <w:spacing w:val="-8"/>
                <w:sz w:val="24"/>
                <w:szCs w:val="24"/>
                <w:lang w:val="en-US" w:eastAsia="zh-CN"/>
              </w:rPr>
              <w:t>28</w:t>
            </w:r>
          </w:p>
        </w:tc>
        <w:tc>
          <w:tcPr>
            <w:tcW w:w="2355" w:type="dxa"/>
            <w:shd w:val="clear" w:color="auto" w:fill="auto"/>
            <w:vAlign w:val="center"/>
          </w:tcPr>
          <w:p w14:paraId="33FF1B14">
            <w:pPr>
              <w:keepNext w:val="0"/>
              <w:keepLines w:val="0"/>
              <w:pageBreakBefore w:val="0"/>
              <w:widowControl w:val="0"/>
              <w:kinsoku/>
              <w:wordWrap/>
              <w:overflowPunct/>
              <w:topLinePunct w:val="0"/>
              <w:autoSpaceDE/>
              <w:autoSpaceDN/>
              <w:bidi w:val="0"/>
              <w:spacing w:before="68" w:line="320" w:lineRule="exact"/>
              <w:ind w:left="240" w:leftChars="100" w:right="127" w:rightChars="53" w:firstLine="0" w:firstLineChars="0"/>
              <w:jc w:val="center"/>
              <w:rPr>
                <w:rFonts w:hint="eastAsia" w:ascii="宋体" w:hAnsi="宋体" w:eastAsia="宋体" w:cs="宋体"/>
                <w:spacing w:val="-8"/>
                <w:kern w:val="2"/>
                <w:sz w:val="21"/>
                <w:szCs w:val="21"/>
                <w:lang w:val="en-US" w:eastAsia="zh-CN" w:bidi="ar-SA"/>
              </w:rPr>
            </w:pPr>
            <w:r>
              <w:rPr>
                <w:rFonts w:hint="eastAsia" w:ascii="宋体" w:hAnsi="宋体" w:eastAsia="宋体" w:cs="宋体"/>
                <w:spacing w:val="-8"/>
                <w:sz w:val="21"/>
                <w:szCs w:val="21"/>
                <w:lang w:val="en-US" w:eastAsia="zh-CN"/>
              </w:rPr>
              <w:t>对不按规定制定水污染事故的应急方案等行为的行政处罚</w:t>
            </w:r>
          </w:p>
        </w:tc>
        <w:tc>
          <w:tcPr>
            <w:tcW w:w="1094" w:type="dxa"/>
            <w:shd w:val="clear" w:color="auto" w:fill="auto"/>
            <w:vAlign w:val="center"/>
          </w:tcPr>
          <w:p w14:paraId="7C72FF22">
            <w:pPr>
              <w:keepNext w:val="0"/>
              <w:keepLines w:val="0"/>
              <w:pageBreakBefore w:val="0"/>
              <w:widowControl w:val="0"/>
              <w:kinsoku/>
              <w:wordWrap/>
              <w:overflowPunct/>
              <w:topLinePunct w:val="0"/>
              <w:autoSpaceDE/>
              <w:autoSpaceDN/>
              <w:bidi w:val="0"/>
              <w:spacing w:before="68" w:line="320" w:lineRule="exact"/>
              <w:ind w:left="0" w:leftChars="0" w:firstLine="0" w:firstLineChars="0"/>
              <w:jc w:val="center"/>
              <w:rPr>
                <w:rFonts w:hint="eastAsia" w:ascii="仿宋_GB2312" w:hAnsi="仿宋_GB2312" w:eastAsia="仿宋_GB2312" w:cs="仿宋_GB2312"/>
                <w:spacing w:val="-8"/>
                <w:kern w:val="2"/>
                <w:sz w:val="24"/>
                <w:szCs w:val="24"/>
                <w:lang w:val="en-US" w:eastAsia="zh-CN" w:bidi="ar-SA"/>
              </w:rPr>
            </w:pPr>
            <w:r>
              <w:rPr>
                <w:rFonts w:hint="eastAsia" w:ascii="仿宋_GB2312" w:hAnsi="仿宋_GB2312" w:eastAsia="仿宋_GB2312" w:cs="仿宋_GB2312"/>
                <w:spacing w:val="-8"/>
                <w:sz w:val="24"/>
                <w:szCs w:val="24"/>
                <w:lang w:val="en-US" w:eastAsia="zh-CN"/>
              </w:rPr>
              <w:t>行政处罚</w:t>
            </w:r>
          </w:p>
        </w:tc>
        <w:tc>
          <w:tcPr>
            <w:tcW w:w="8317" w:type="dxa"/>
            <w:shd w:val="clear" w:color="auto" w:fill="auto"/>
            <w:vAlign w:val="top"/>
          </w:tcPr>
          <w:p w14:paraId="5D724288">
            <w:pPr>
              <w:keepNext w:val="0"/>
              <w:keepLines w:val="0"/>
              <w:pageBreakBefore w:val="0"/>
              <w:widowControl w:val="0"/>
              <w:suppressLineNumbers w:val="0"/>
              <w:kinsoku/>
              <w:wordWrap/>
              <w:overflowPunct/>
              <w:topLinePunct w:val="0"/>
              <w:autoSpaceDE/>
              <w:autoSpaceDN/>
              <w:bidi w:val="0"/>
              <w:adjustRightInd/>
              <w:snapToGrid/>
              <w:spacing w:after="0" w:afterLines="-2147483648" w:line="320" w:lineRule="exact"/>
              <w:ind w:left="240" w:leftChars="100" w:firstLine="420" w:firstLineChars="200"/>
              <w:jc w:val="both"/>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中华人民共和国水污染防治法》第九十三条企业事业单位有下列行为之一的，由县级以上人民政府环境保护主管部门责令改正；情节严重的，处二万元以上十万元以下的罚款：（一）不按照规定制定水污染事故的应急方案的；（二）水污染事故发生后，未及时启动水污染事故的应急方案，采取有关应急措施的。2.《陕西省实施《中华人民共和国环境保护法》办法》第三十三条违反本办法规定，根据不同情况，按以下规定给予处罚：（一）以拒绝进入现场等方式拒不接受生态环境行政主管部门及其环境执法机构或者其他负有生态环境保护监督管理职责的部门的监督检查，或者在接受监督检查时弄虚作假的，由县级以上生态环境行政主管部门或者其他负有生态环境保护监督管理职责的部门责令改正，处二万元以上二十万元以下的罚款。（二）未依法取得排污许可证排放污染物、超过污染物排放标准或者超过重点污染物排放总量控制指标排放污染物的、通过逃避监管的方式排放污染物的，由县级以上生态环境行政主管部门责令改正或者限制生产、停产整治，并处十万元以上一百万元以下的罚款；情节严重的，报经有批准权的人民政府批准，责令停业、关闭。（三）发生环境突发事件，不及时启动突发环境事件应急方案，采取有关应急措施的，处二万元以上十万元以下罚款；</w:t>
            </w:r>
          </w:p>
        </w:tc>
        <w:tc>
          <w:tcPr>
            <w:tcW w:w="1129" w:type="dxa"/>
            <w:vAlign w:val="top"/>
          </w:tcPr>
          <w:p w14:paraId="18D8EBB2">
            <w:pPr>
              <w:keepNext w:val="0"/>
              <w:keepLines w:val="0"/>
              <w:pageBreakBefore w:val="0"/>
              <w:widowControl w:val="0"/>
              <w:kinsoku/>
              <w:wordWrap/>
              <w:overflowPunct/>
              <w:topLinePunct w:val="0"/>
              <w:autoSpaceDE/>
              <w:autoSpaceDN/>
              <w:bidi w:val="0"/>
              <w:spacing w:line="320" w:lineRule="exact"/>
              <w:rPr>
                <w:rFonts w:ascii="宋体"/>
                <w:sz w:val="21"/>
              </w:rPr>
            </w:pPr>
          </w:p>
        </w:tc>
        <w:tc>
          <w:tcPr>
            <w:tcW w:w="990" w:type="dxa"/>
            <w:gridSpan w:val="2"/>
            <w:tcBorders>
              <w:right w:val="single" w:color="000000" w:sz="10" w:space="0"/>
            </w:tcBorders>
            <w:vAlign w:val="top"/>
          </w:tcPr>
          <w:p w14:paraId="00EB7087">
            <w:pPr>
              <w:keepNext w:val="0"/>
              <w:keepLines w:val="0"/>
              <w:pageBreakBefore w:val="0"/>
              <w:widowControl w:val="0"/>
              <w:kinsoku/>
              <w:wordWrap/>
              <w:overflowPunct/>
              <w:topLinePunct w:val="0"/>
              <w:autoSpaceDE/>
              <w:autoSpaceDN/>
              <w:bidi w:val="0"/>
              <w:spacing w:line="320" w:lineRule="exact"/>
              <w:rPr>
                <w:rFonts w:ascii="宋体"/>
                <w:sz w:val="21"/>
              </w:rPr>
            </w:pPr>
          </w:p>
        </w:tc>
      </w:tr>
      <w:tr w14:paraId="46DCD4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6" w:hRule="atLeast"/>
        </w:trPr>
        <w:tc>
          <w:tcPr>
            <w:tcW w:w="557" w:type="dxa"/>
            <w:tcBorders>
              <w:left w:val="single" w:color="000000" w:sz="10" w:space="0"/>
            </w:tcBorders>
            <w:shd w:val="clear" w:color="auto" w:fill="auto"/>
            <w:vAlign w:val="center"/>
          </w:tcPr>
          <w:p w14:paraId="6DAF98E6">
            <w:pPr>
              <w:keepNext w:val="0"/>
              <w:keepLines w:val="0"/>
              <w:pageBreakBefore w:val="0"/>
              <w:widowControl w:val="0"/>
              <w:kinsoku/>
              <w:wordWrap/>
              <w:overflowPunct/>
              <w:topLinePunct w:val="0"/>
              <w:autoSpaceDE/>
              <w:autoSpaceDN/>
              <w:bidi w:val="0"/>
              <w:spacing w:before="68" w:line="320" w:lineRule="exact"/>
              <w:ind w:left="0" w:leftChars="0" w:firstLine="0" w:firstLineChars="0"/>
              <w:jc w:val="center"/>
              <w:rPr>
                <w:rFonts w:hint="eastAsia" w:ascii="仿宋_GB2312" w:hAnsi="仿宋_GB2312" w:eastAsia="仿宋_GB2312" w:cs="仿宋_GB2312"/>
                <w:spacing w:val="-8"/>
                <w:sz w:val="24"/>
                <w:szCs w:val="24"/>
                <w:lang w:val="en-US" w:eastAsia="zh-CN"/>
              </w:rPr>
            </w:pPr>
            <w:r>
              <w:rPr>
                <w:rFonts w:hint="eastAsia" w:ascii="仿宋_GB2312" w:hAnsi="仿宋_GB2312" w:eastAsia="仿宋_GB2312" w:cs="仿宋_GB2312"/>
                <w:spacing w:val="-8"/>
                <w:sz w:val="24"/>
                <w:szCs w:val="24"/>
                <w:lang w:val="en-US" w:eastAsia="zh-CN"/>
              </w:rPr>
              <w:t>29</w:t>
            </w:r>
          </w:p>
        </w:tc>
        <w:tc>
          <w:tcPr>
            <w:tcW w:w="2355" w:type="dxa"/>
            <w:shd w:val="clear" w:color="auto" w:fill="auto"/>
            <w:vAlign w:val="center"/>
          </w:tcPr>
          <w:p w14:paraId="0A05E896">
            <w:pPr>
              <w:keepNext w:val="0"/>
              <w:keepLines w:val="0"/>
              <w:pageBreakBefore w:val="0"/>
              <w:widowControl w:val="0"/>
              <w:kinsoku/>
              <w:wordWrap/>
              <w:overflowPunct/>
              <w:topLinePunct w:val="0"/>
              <w:autoSpaceDE/>
              <w:autoSpaceDN/>
              <w:bidi w:val="0"/>
              <w:spacing w:before="68" w:line="320" w:lineRule="exact"/>
              <w:ind w:left="240" w:leftChars="100" w:right="127" w:rightChars="53" w:firstLine="0" w:firstLineChars="0"/>
              <w:jc w:val="center"/>
              <w:rPr>
                <w:rFonts w:hint="eastAsia" w:ascii="宋体" w:hAnsi="宋体" w:eastAsia="宋体" w:cs="宋体"/>
                <w:spacing w:val="-8"/>
                <w:kern w:val="2"/>
                <w:sz w:val="21"/>
                <w:szCs w:val="21"/>
                <w:lang w:val="en-US" w:eastAsia="zh-CN" w:bidi="ar-SA"/>
              </w:rPr>
            </w:pPr>
            <w:r>
              <w:rPr>
                <w:rFonts w:hint="eastAsia" w:ascii="宋体" w:hAnsi="宋体" w:eastAsia="宋体" w:cs="宋体"/>
                <w:spacing w:val="-8"/>
                <w:sz w:val="21"/>
                <w:szCs w:val="21"/>
                <w:lang w:val="en-US" w:eastAsia="zh-CN"/>
              </w:rPr>
              <w:t>对造成水污染事故的行政处罚</w:t>
            </w:r>
          </w:p>
        </w:tc>
        <w:tc>
          <w:tcPr>
            <w:tcW w:w="1094" w:type="dxa"/>
            <w:shd w:val="clear" w:color="auto" w:fill="auto"/>
            <w:vAlign w:val="center"/>
          </w:tcPr>
          <w:p w14:paraId="0587C959">
            <w:pPr>
              <w:keepNext w:val="0"/>
              <w:keepLines w:val="0"/>
              <w:pageBreakBefore w:val="0"/>
              <w:widowControl w:val="0"/>
              <w:kinsoku/>
              <w:wordWrap/>
              <w:overflowPunct/>
              <w:topLinePunct w:val="0"/>
              <w:autoSpaceDE/>
              <w:autoSpaceDN/>
              <w:bidi w:val="0"/>
              <w:spacing w:before="68" w:line="320" w:lineRule="exact"/>
              <w:ind w:left="0" w:leftChars="0" w:firstLine="0" w:firstLineChars="0"/>
              <w:jc w:val="center"/>
              <w:rPr>
                <w:rFonts w:hint="eastAsia" w:ascii="仿宋_GB2312" w:hAnsi="仿宋_GB2312" w:eastAsia="仿宋_GB2312" w:cs="仿宋_GB2312"/>
                <w:spacing w:val="-8"/>
                <w:kern w:val="2"/>
                <w:sz w:val="24"/>
                <w:szCs w:val="24"/>
                <w:lang w:val="en-US" w:eastAsia="zh-CN" w:bidi="ar-SA"/>
              </w:rPr>
            </w:pPr>
            <w:r>
              <w:rPr>
                <w:rFonts w:hint="eastAsia" w:ascii="仿宋_GB2312" w:hAnsi="仿宋_GB2312" w:eastAsia="仿宋_GB2312" w:cs="仿宋_GB2312"/>
                <w:spacing w:val="-8"/>
                <w:sz w:val="24"/>
                <w:szCs w:val="24"/>
                <w:lang w:val="en-US" w:eastAsia="zh-CN"/>
              </w:rPr>
              <w:t>行政处罚</w:t>
            </w:r>
          </w:p>
        </w:tc>
        <w:tc>
          <w:tcPr>
            <w:tcW w:w="8317" w:type="dxa"/>
            <w:shd w:val="clear" w:color="auto" w:fill="auto"/>
            <w:vAlign w:val="top"/>
          </w:tcPr>
          <w:p w14:paraId="29F4EEA3">
            <w:pPr>
              <w:keepNext w:val="0"/>
              <w:keepLines w:val="0"/>
              <w:pageBreakBefore w:val="0"/>
              <w:widowControl w:val="0"/>
              <w:suppressLineNumbers w:val="0"/>
              <w:kinsoku/>
              <w:wordWrap/>
              <w:overflowPunct/>
              <w:topLinePunct w:val="0"/>
              <w:autoSpaceDE/>
              <w:autoSpaceDN/>
              <w:bidi w:val="0"/>
              <w:adjustRightInd/>
              <w:snapToGrid/>
              <w:spacing w:after="0" w:afterLines="-2147483648" w:line="320" w:lineRule="exact"/>
              <w:ind w:left="240" w:leftChars="100" w:firstLine="420" w:firstLineChars="200"/>
              <w:jc w:val="both"/>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中华人民共和国水污染防治法》第九十四条企业事业单位违反本法规定，造成水污染事故的，除依法承担赔偿责任外，由县级以上人民政府环境保护主管部门依照本条第二款的规定处以罚款，责令限期采取治理措施，消除污染；未按照要求采取治理措施或者不具备治理能力的，由环境保护主管部门指定有治理能力的单位代为治理，所需费用由违法者承担；对造成重大或者特大水污染事故的，还可以报经有批准权的人民政府批准，责令关闭；对直接负责的主管人员和其他直接责任人员可以处上一年度从本单位取得的收入百分之五十以下的罚款；有《中华人民共和国环境保护法》第六十三条规定的违法排放水污染物等行为之一，尚不构成犯罪的，由公安机关对直接负责的主管人员和其他直接责任人员处十日以上十五日以下的拘留；情节较轻的，处五日以上十日以下的拘留。对造成一般或者较大水污染事故的，按照水污染事故造成的直接损失的百分之二十计算罚款；对造成重大或者特大水污染事故的，按照水污染事故造成的直接损失的百分之三十计算罚款。</w:t>
            </w:r>
          </w:p>
        </w:tc>
        <w:tc>
          <w:tcPr>
            <w:tcW w:w="1129" w:type="dxa"/>
            <w:vAlign w:val="top"/>
          </w:tcPr>
          <w:p w14:paraId="798F59A1">
            <w:pPr>
              <w:keepNext w:val="0"/>
              <w:keepLines w:val="0"/>
              <w:pageBreakBefore w:val="0"/>
              <w:widowControl w:val="0"/>
              <w:kinsoku/>
              <w:wordWrap/>
              <w:overflowPunct/>
              <w:topLinePunct w:val="0"/>
              <w:autoSpaceDE/>
              <w:autoSpaceDN/>
              <w:bidi w:val="0"/>
              <w:spacing w:line="320" w:lineRule="exact"/>
              <w:rPr>
                <w:rFonts w:ascii="宋体"/>
                <w:sz w:val="21"/>
              </w:rPr>
            </w:pPr>
          </w:p>
        </w:tc>
        <w:tc>
          <w:tcPr>
            <w:tcW w:w="990" w:type="dxa"/>
            <w:gridSpan w:val="2"/>
            <w:tcBorders>
              <w:right w:val="single" w:color="000000" w:sz="10" w:space="0"/>
            </w:tcBorders>
            <w:vAlign w:val="top"/>
          </w:tcPr>
          <w:p w14:paraId="4E4C488F">
            <w:pPr>
              <w:keepNext w:val="0"/>
              <w:keepLines w:val="0"/>
              <w:pageBreakBefore w:val="0"/>
              <w:widowControl w:val="0"/>
              <w:kinsoku/>
              <w:wordWrap/>
              <w:overflowPunct/>
              <w:topLinePunct w:val="0"/>
              <w:autoSpaceDE/>
              <w:autoSpaceDN/>
              <w:bidi w:val="0"/>
              <w:spacing w:line="320" w:lineRule="exact"/>
              <w:rPr>
                <w:rFonts w:ascii="宋体"/>
                <w:sz w:val="21"/>
              </w:rPr>
            </w:pPr>
          </w:p>
        </w:tc>
      </w:tr>
      <w:tr w14:paraId="457CED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6" w:hRule="atLeast"/>
        </w:trPr>
        <w:tc>
          <w:tcPr>
            <w:tcW w:w="557" w:type="dxa"/>
            <w:tcBorders>
              <w:left w:val="single" w:color="000000" w:sz="10" w:space="0"/>
            </w:tcBorders>
            <w:shd w:val="clear" w:color="auto" w:fill="auto"/>
            <w:vAlign w:val="center"/>
          </w:tcPr>
          <w:p w14:paraId="45592C91">
            <w:pPr>
              <w:keepNext w:val="0"/>
              <w:keepLines w:val="0"/>
              <w:pageBreakBefore w:val="0"/>
              <w:widowControl w:val="0"/>
              <w:kinsoku/>
              <w:wordWrap/>
              <w:overflowPunct/>
              <w:topLinePunct w:val="0"/>
              <w:autoSpaceDE/>
              <w:autoSpaceDN/>
              <w:bidi w:val="0"/>
              <w:spacing w:before="68" w:line="320" w:lineRule="exact"/>
              <w:ind w:left="0" w:leftChars="0" w:firstLine="0" w:firstLineChars="0"/>
              <w:jc w:val="center"/>
              <w:rPr>
                <w:rFonts w:hint="eastAsia" w:ascii="仿宋_GB2312" w:hAnsi="仿宋_GB2312" w:eastAsia="仿宋_GB2312" w:cs="仿宋_GB2312"/>
                <w:spacing w:val="-8"/>
                <w:sz w:val="24"/>
                <w:szCs w:val="24"/>
                <w:lang w:val="en-US" w:eastAsia="zh-CN"/>
              </w:rPr>
            </w:pPr>
            <w:r>
              <w:rPr>
                <w:rFonts w:hint="eastAsia" w:ascii="仿宋_GB2312" w:hAnsi="仿宋_GB2312" w:eastAsia="仿宋_GB2312" w:cs="仿宋_GB2312"/>
                <w:spacing w:val="-8"/>
                <w:sz w:val="24"/>
                <w:szCs w:val="24"/>
                <w:lang w:val="en-US" w:eastAsia="zh-CN"/>
              </w:rPr>
              <w:t>30</w:t>
            </w:r>
          </w:p>
        </w:tc>
        <w:tc>
          <w:tcPr>
            <w:tcW w:w="2355" w:type="dxa"/>
            <w:shd w:val="clear" w:color="auto" w:fill="auto"/>
            <w:vAlign w:val="center"/>
          </w:tcPr>
          <w:p w14:paraId="1F55F0AF">
            <w:pPr>
              <w:keepNext w:val="0"/>
              <w:keepLines w:val="0"/>
              <w:pageBreakBefore w:val="0"/>
              <w:widowControl w:val="0"/>
              <w:kinsoku/>
              <w:wordWrap/>
              <w:overflowPunct/>
              <w:topLinePunct w:val="0"/>
              <w:autoSpaceDE/>
              <w:autoSpaceDN/>
              <w:bidi w:val="0"/>
              <w:spacing w:before="68" w:line="320" w:lineRule="exact"/>
              <w:ind w:left="240" w:leftChars="100" w:right="127" w:rightChars="53" w:firstLine="0" w:firstLineChars="0"/>
              <w:jc w:val="center"/>
              <w:rPr>
                <w:rFonts w:hint="eastAsia" w:ascii="宋体" w:hAnsi="宋体" w:eastAsia="宋体" w:cs="宋体"/>
                <w:spacing w:val="-8"/>
                <w:kern w:val="2"/>
                <w:sz w:val="21"/>
                <w:szCs w:val="21"/>
                <w:lang w:val="en-US" w:eastAsia="zh-CN" w:bidi="ar-SA"/>
              </w:rPr>
            </w:pPr>
            <w:r>
              <w:rPr>
                <w:rFonts w:hint="eastAsia" w:ascii="宋体" w:hAnsi="宋体" w:eastAsia="宋体" w:cs="宋体"/>
                <w:spacing w:val="-8"/>
                <w:sz w:val="21"/>
                <w:szCs w:val="21"/>
                <w:lang w:val="en-US" w:eastAsia="zh-CN"/>
              </w:rPr>
              <w:t>对造成水污染事故的行政强制</w:t>
            </w:r>
          </w:p>
        </w:tc>
        <w:tc>
          <w:tcPr>
            <w:tcW w:w="1094" w:type="dxa"/>
            <w:shd w:val="clear" w:color="auto" w:fill="auto"/>
            <w:vAlign w:val="center"/>
          </w:tcPr>
          <w:p w14:paraId="6966C3DF">
            <w:pPr>
              <w:keepNext w:val="0"/>
              <w:keepLines w:val="0"/>
              <w:pageBreakBefore w:val="0"/>
              <w:widowControl w:val="0"/>
              <w:kinsoku/>
              <w:wordWrap/>
              <w:overflowPunct/>
              <w:topLinePunct w:val="0"/>
              <w:autoSpaceDE/>
              <w:autoSpaceDN/>
              <w:bidi w:val="0"/>
              <w:spacing w:before="68" w:line="320" w:lineRule="exact"/>
              <w:ind w:left="0" w:leftChars="0" w:firstLine="0" w:firstLineChars="0"/>
              <w:jc w:val="center"/>
              <w:rPr>
                <w:rFonts w:hint="eastAsia" w:ascii="仿宋_GB2312" w:hAnsi="仿宋_GB2312" w:eastAsia="仿宋_GB2312" w:cs="仿宋_GB2312"/>
                <w:spacing w:val="-8"/>
                <w:kern w:val="2"/>
                <w:sz w:val="24"/>
                <w:szCs w:val="24"/>
                <w:lang w:val="en-US" w:eastAsia="zh-CN" w:bidi="ar-SA"/>
              </w:rPr>
            </w:pPr>
            <w:r>
              <w:rPr>
                <w:rFonts w:hint="eastAsia" w:ascii="仿宋_GB2312" w:hAnsi="仿宋_GB2312" w:eastAsia="仿宋_GB2312" w:cs="仿宋_GB2312"/>
                <w:spacing w:val="-8"/>
                <w:sz w:val="24"/>
                <w:szCs w:val="24"/>
                <w:lang w:val="en-US" w:eastAsia="zh-CN"/>
              </w:rPr>
              <w:t>行政强制</w:t>
            </w:r>
          </w:p>
        </w:tc>
        <w:tc>
          <w:tcPr>
            <w:tcW w:w="8317" w:type="dxa"/>
            <w:shd w:val="clear" w:color="auto" w:fill="auto"/>
            <w:vAlign w:val="top"/>
          </w:tcPr>
          <w:p w14:paraId="4F269696">
            <w:pPr>
              <w:keepNext w:val="0"/>
              <w:keepLines w:val="0"/>
              <w:pageBreakBefore w:val="0"/>
              <w:widowControl w:val="0"/>
              <w:suppressLineNumbers w:val="0"/>
              <w:kinsoku/>
              <w:wordWrap/>
              <w:overflowPunct/>
              <w:topLinePunct w:val="0"/>
              <w:autoSpaceDE/>
              <w:autoSpaceDN/>
              <w:bidi w:val="0"/>
              <w:adjustRightInd/>
              <w:snapToGrid/>
              <w:spacing w:after="0" w:afterLines="-2147483648" w:line="320" w:lineRule="exact"/>
              <w:ind w:left="240" w:leftChars="100" w:firstLine="420" w:firstLineChars="200"/>
              <w:jc w:val="both"/>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中华人民共和国水污染防治法》第九十四条企业事业单位违反本法规定，造成水污染事故的，除依法承担赔偿责任外，由县级以上人民政府环境保护主管部门依照本条第二款的规定处以罚款，责令限期采取治理措施，消除污染；未按照要求采取治理措施或者不具备治理能力的，由环境保护主管部门指定有治理能力的单位代为治理，所需费用由违法者承担；对造成重大或者特大水污染事故的，还可以报经有批准权的人民政府批准，责令关闭；对直接负责的主管人员和其他直接责任人员可以处上一年度从本单位取得的收入百分之五十以下的罚款；有《中华人民共和国环境保护法》第六十三条规定的违法排放水污染物等行为之一，尚不构成犯罪的，由公安机关对直接负责的主管人员和其他直接责任人员处十日以上十五日以下的拘留；情节较轻的，处五日以上十日以下的拘留。对造成一般或者较大水污染事故的，按照水污染事故造成的直接损失的百分之二十计算罚款；对造成重大或者特大水污染事故的，按照水污染事故造成的直接损失的百分之三十计算罚款。</w:t>
            </w:r>
          </w:p>
        </w:tc>
        <w:tc>
          <w:tcPr>
            <w:tcW w:w="1129" w:type="dxa"/>
            <w:vAlign w:val="top"/>
          </w:tcPr>
          <w:p w14:paraId="647B89F4">
            <w:pPr>
              <w:keepNext w:val="0"/>
              <w:keepLines w:val="0"/>
              <w:pageBreakBefore w:val="0"/>
              <w:widowControl w:val="0"/>
              <w:kinsoku/>
              <w:wordWrap/>
              <w:overflowPunct/>
              <w:topLinePunct w:val="0"/>
              <w:autoSpaceDE/>
              <w:autoSpaceDN/>
              <w:bidi w:val="0"/>
              <w:spacing w:line="320" w:lineRule="exact"/>
              <w:rPr>
                <w:rFonts w:ascii="宋体"/>
                <w:sz w:val="21"/>
              </w:rPr>
            </w:pPr>
          </w:p>
        </w:tc>
        <w:tc>
          <w:tcPr>
            <w:tcW w:w="990" w:type="dxa"/>
            <w:gridSpan w:val="2"/>
            <w:tcBorders>
              <w:right w:val="single" w:color="000000" w:sz="10" w:space="0"/>
            </w:tcBorders>
            <w:vAlign w:val="top"/>
          </w:tcPr>
          <w:p w14:paraId="1580ECD2">
            <w:pPr>
              <w:keepNext w:val="0"/>
              <w:keepLines w:val="0"/>
              <w:pageBreakBefore w:val="0"/>
              <w:widowControl w:val="0"/>
              <w:kinsoku/>
              <w:wordWrap/>
              <w:overflowPunct/>
              <w:topLinePunct w:val="0"/>
              <w:autoSpaceDE/>
              <w:autoSpaceDN/>
              <w:bidi w:val="0"/>
              <w:spacing w:line="320" w:lineRule="exact"/>
              <w:rPr>
                <w:rFonts w:ascii="宋体"/>
                <w:sz w:val="21"/>
              </w:rPr>
            </w:pPr>
          </w:p>
        </w:tc>
      </w:tr>
      <w:tr w14:paraId="2E9945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6" w:hRule="atLeast"/>
        </w:trPr>
        <w:tc>
          <w:tcPr>
            <w:tcW w:w="557" w:type="dxa"/>
            <w:tcBorders>
              <w:left w:val="single" w:color="000000" w:sz="10" w:space="0"/>
            </w:tcBorders>
            <w:shd w:val="clear" w:color="auto" w:fill="auto"/>
            <w:vAlign w:val="center"/>
          </w:tcPr>
          <w:p w14:paraId="7C69F5B1">
            <w:pPr>
              <w:keepNext w:val="0"/>
              <w:keepLines w:val="0"/>
              <w:pageBreakBefore w:val="0"/>
              <w:widowControl w:val="0"/>
              <w:kinsoku/>
              <w:wordWrap/>
              <w:overflowPunct/>
              <w:topLinePunct w:val="0"/>
              <w:autoSpaceDE/>
              <w:autoSpaceDN/>
              <w:bidi w:val="0"/>
              <w:spacing w:before="68" w:line="320" w:lineRule="exact"/>
              <w:ind w:left="0" w:leftChars="0" w:firstLine="0" w:firstLineChars="0"/>
              <w:jc w:val="center"/>
              <w:rPr>
                <w:rFonts w:hint="eastAsia" w:ascii="仿宋_GB2312" w:hAnsi="仿宋_GB2312" w:eastAsia="仿宋_GB2312" w:cs="仿宋_GB2312"/>
                <w:spacing w:val="-8"/>
                <w:sz w:val="24"/>
                <w:szCs w:val="24"/>
                <w:lang w:val="en-US" w:eastAsia="zh-CN"/>
              </w:rPr>
            </w:pPr>
            <w:r>
              <w:rPr>
                <w:rFonts w:hint="eastAsia" w:ascii="仿宋_GB2312" w:hAnsi="仿宋_GB2312" w:eastAsia="仿宋_GB2312" w:cs="仿宋_GB2312"/>
                <w:spacing w:val="-8"/>
                <w:sz w:val="24"/>
                <w:szCs w:val="24"/>
                <w:lang w:val="en-US" w:eastAsia="zh-CN"/>
              </w:rPr>
              <w:t>31</w:t>
            </w:r>
          </w:p>
        </w:tc>
        <w:tc>
          <w:tcPr>
            <w:tcW w:w="2355" w:type="dxa"/>
            <w:shd w:val="clear" w:color="auto" w:fill="auto"/>
            <w:vAlign w:val="center"/>
          </w:tcPr>
          <w:p w14:paraId="16AD27D9">
            <w:pPr>
              <w:keepNext w:val="0"/>
              <w:keepLines w:val="0"/>
              <w:pageBreakBefore w:val="0"/>
              <w:widowControl w:val="0"/>
              <w:kinsoku/>
              <w:wordWrap/>
              <w:overflowPunct/>
              <w:topLinePunct w:val="0"/>
              <w:autoSpaceDE/>
              <w:autoSpaceDN/>
              <w:bidi w:val="0"/>
              <w:spacing w:before="68" w:line="320" w:lineRule="exact"/>
              <w:ind w:left="240" w:leftChars="100" w:right="127" w:rightChars="53" w:firstLine="0" w:firstLineChars="0"/>
              <w:jc w:val="center"/>
              <w:rPr>
                <w:rFonts w:hint="eastAsia" w:ascii="宋体" w:hAnsi="宋体" w:eastAsia="宋体" w:cs="宋体"/>
                <w:spacing w:val="-8"/>
                <w:kern w:val="2"/>
                <w:sz w:val="21"/>
                <w:szCs w:val="21"/>
                <w:lang w:val="en-US" w:eastAsia="zh-CN" w:bidi="ar-SA"/>
              </w:rPr>
            </w:pPr>
            <w:r>
              <w:rPr>
                <w:rFonts w:hint="eastAsia" w:ascii="宋体" w:hAnsi="宋体" w:eastAsia="宋体" w:cs="宋体"/>
                <w:spacing w:val="-8"/>
                <w:sz w:val="21"/>
                <w:szCs w:val="21"/>
                <w:lang w:val="en-US" w:eastAsia="zh-CN"/>
              </w:rPr>
              <w:t>对违法排污造成突发环境事件行为的行政强制</w:t>
            </w:r>
          </w:p>
        </w:tc>
        <w:tc>
          <w:tcPr>
            <w:tcW w:w="1094" w:type="dxa"/>
            <w:shd w:val="clear" w:color="auto" w:fill="auto"/>
            <w:vAlign w:val="center"/>
          </w:tcPr>
          <w:p w14:paraId="11D98C62">
            <w:pPr>
              <w:keepNext w:val="0"/>
              <w:keepLines w:val="0"/>
              <w:pageBreakBefore w:val="0"/>
              <w:widowControl w:val="0"/>
              <w:kinsoku/>
              <w:wordWrap/>
              <w:overflowPunct/>
              <w:topLinePunct w:val="0"/>
              <w:autoSpaceDE/>
              <w:autoSpaceDN/>
              <w:bidi w:val="0"/>
              <w:spacing w:before="68" w:line="320" w:lineRule="exact"/>
              <w:ind w:left="0" w:leftChars="0" w:firstLine="0" w:firstLineChars="0"/>
              <w:jc w:val="center"/>
              <w:rPr>
                <w:rFonts w:hint="eastAsia" w:ascii="仿宋_GB2312" w:hAnsi="仿宋_GB2312" w:eastAsia="仿宋_GB2312" w:cs="仿宋_GB2312"/>
                <w:spacing w:val="-8"/>
                <w:kern w:val="2"/>
                <w:sz w:val="24"/>
                <w:szCs w:val="24"/>
                <w:lang w:val="en-US" w:eastAsia="zh-CN" w:bidi="ar-SA"/>
              </w:rPr>
            </w:pPr>
            <w:r>
              <w:rPr>
                <w:rFonts w:hint="eastAsia" w:ascii="仿宋_GB2312" w:hAnsi="仿宋_GB2312" w:eastAsia="仿宋_GB2312" w:cs="仿宋_GB2312"/>
                <w:spacing w:val="-8"/>
                <w:sz w:val="24"/>
                <w:szCs w:val="24"/>
                <w:lang w:val="en-US" w:eastAsia="zh-CN"/>
              </w:rPr>
              <w:t>行政强制</w:t>
            </w:r>
          </w:p>
        </w:tc>
        <w:tc>
          <w:tcPr>
            <w:tcW w:w="8317" w:type="dxa"/>
            <w:shd w:val="clear" w:color="auto" w:fill="auto"/>
            <w:vAlign w:val="top"/>
          </w:tcPr>
          <w:p w14:paraId="03642B2B">
            <w:pPr>
              <w:keepNext w:val="0"/>
              <w:keepLines w:val="0"/>
              <w:pageBreakBefore w:val="0"/>
              <w:widowControl w:val="0"/>
              <w:suppressLineNumbers w:val="0"/>
              <w:kinsoku/>
              <w:wordWrap/>
              <w:overflowPunct/>
              <w:topLinePunct w:val="0"/>
              <w:autoSpaceDE/>
              <w:autoSpaceDN/>
              <w:bidi w:val="0"/>
              <w:adjustRightInd/>
              <w:snapToGrid/>
              <w:spacing w:after="0" w:afterLines="-2147483648" w:line="320" w:lineRule="exact"/>
              <w:ind w:left="240" w:leftChars="100" w:firstLine="420" w:firstLineChars="200"/>
              <w:jc w:val="both"/>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中华人民共和国环境保护法》第二十五条企业事业单位和其他生产经营者违反法律法规规定排放污染物，造成或者可能造成严重污染的，县级以上人民政府环境保护主管部门和其他负有环境保护监督管理职责的部门，可以查封、扣押造成污染物排放的设施、设备。</w:t>
            </w:r>
          </w:p>
          <w:p w14:paraId="21E81B8C">
            <w:pPr>
              <w:keepNext w:val="0"/>
              <w:keepLines w:val="0"/>
              <w:pageBreakBefore w:val="0"/>
              <w:widowControl w:val="0"/>
              <w:suppressLineNumbers w:val="0"/>
              <w:kinsoku/>
              <w:wordWrap/>
              <w:overflowPunct/>
              <w:topLinePunct w:val="0"/>
              <w:autoSpaceDE/>
              <w:autoSpaceDN/>
              <w:bidi w:val="0"/>
              <w:adjustRightInd/>
              <w:snapToGrid/>
              <w:spacing w:after="0" w:afterLines="-2147483648" w:line="320" w:lineRule="exact"/>
              <w:ind w:left="240" w:leftChars="100" w:firstLine="420" w:firstLineChars="200"/>
              <w:jc w:val="both"/>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突发环境事件应急管理办法》第三十七条企业事业单位违反本办法规定，导致发生突发环境事件，《中华人民共和国突发事件应对法》《中华人民共和国水污染防治法》《中华人民共和国大气污染防治法》《中华人民共和国固体废物污染环境防治法》等法律法规已有相关处罚规定的，依照有关法律法规执行。较大、重大和特别重大突发环境事件发生后，企业事业单位未按要求执行停产、停排措施，继续违反法律法规规定排放污染物的，环境保护主管部门应当依法对造成污染物排放的设施、设备实施查封、扣押。</w:t>
            </w:r>
          </w:p>
        </w:tc>
        <w:tc>
          <w:tcPr>
            <w:tcW w:w="1129" w:type="dxa"/>
            <w:vAlign w:val="top"/>
          </w:tcPr>
          <w:p w14:paraId="3CD97373">
            <w:pPr>
              <w:keepNext w:val="0"/>
              <w:keepLines w:val="0"/>
              <w:pageBreakBefore w:val="0"/>
              <w:widowControl w:val="0"/>
              <w:kinsoku/>
              <w:wordWrap/>
              <w:overflowPunct/>
              <w:topLinePunct w:val="0"/>
              <w:autoSpaceDE/>
              <w:autoSpaceDN/>
              <w:bidi w:val="0"/>
              <w:spacing w:line="320" w:lineRule="exact"/>
              <w:rPr>
                <w:rFonts w:ascii="宋体"/>
                <w:sz w:val="21"/>
              </w:rPr>
            </w:pPr>
          </w:p>
        </w:tc>
        <w:tc>
          <w:tcPr>
            <w:tcW w:w="990" w:type="dxa"/>
            <w:gridSpan w:val="2"/>
            <w:tcBorders>
              <w:right w:val="single" w:color="000000" w:sz="10" w:space="0"/>
            </w:tcBorders>
            <w:vAlign w:val="top"/>
          </w:tcPr>
          <w:p w14:paraId="32525F95">
            <w:pPr>
              <w:keepNext w:val="0"/>
              <w:keepLines w:val="0"/>
              <w:pageBreakBefore w:val="0"/>
              <w:widowControl w:val="0"/>
              <w:kinsoku/>
              <w:wordWrap/>
              <w:overflowPunct/>
              <w:topLinePunct w:val="0"/>
              <w:autoSpaceDE/>
              <w:autoSpaceDN/>
              <w:bidi w:val="0"/>
              <w:spacing w:line="320" w:lineRule="exact"/>
              <w:rPr>
                <w:rFonts w:ascii="宋体"/>
                <w:sz w:val="21"/>
              </w:rPr>
            </w:pPr>
          </w:p>
        </w:tc>
      </w:tr>
      <w:tr w14:paraId="6B2683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6" w:hRule="atLeast"/>
        </w:trPr>
        <w:tc>
          <w:tcPr>
            <w:tcW w:w="557" w:type="dxa"/>
            <w:tcBorders>
              <w:left w:val="single" w:color="000000" w:sz="10" w:space="0"/>
            </w:tcBorders>
            <w:shd w:val="clear" w:color="auto" w:fill="auto"/>
            <w:vAlign w:val="center"/>
          </w:tcPr>
          <w:p w14:paraId="799457EF">
            <w:pPr>
              <w:keepNext w:val="0"/>
              <w:keepLines w:val="0"/>
              <w:pageBreakBefore w:val="0"/>
              <w:widowControl w:val="0"/>
              <w:kinsoku/>
              <w:wordWrap/>
              <w:overflowPunct/>
              <w:topLinePunct w:val="0"/>
              <w:autoSpaceDE/>
              <w:autoSpaceDN/>
              <w:bidi w:val="0"/>
              <w:spacing w:before="68" w:line="320" w:lineRule="exact"/>
              <w:ind w:left="0" w:leftChars="0" w:firstLine="0" w:firstLineChars="0"/>
              <w:jc w:val="center"/>
              <w:rPr>
                <w:rFonts w:hint="eastAsia" w:ascii="仿宋_GB2312" w:hAnsi="仿宋_GB2312" w:eastAsia="仿宋_GB2312" w:cs="仿宋_GB2312"/>
                <w:spacing w:val="-8"/>
                <w:sz w:val="24"/>
                <w:szCs w:val="24"/>
                <w:lang w:val="en-US" w:eastAsia="zh-CN"/>
              </w:rPr>
            </w:pPr>
            <w:r>
              <w:rPr>
                <w:rFonts w:hint="eastAsia" w:ascii="仿宋_GB2312" w:hAnsi="仿宋_GB2312" w:eastAsia="仿宋_GB2312" w:cs="仿宋_GB2312"/>
                <w:spacing w:val="-8"/>
                <w:sz w:val="24"/>
                <w:szCs w:val="24"/>
                <w:lang w:val="en-US" w:eastAsia="zh-CN"/>
              </w:rPr>
              <w:t>32</w:t>
            </w:r>
          </w:p>
        </w:tc>
        <w:tc>
          <w:tcPr>
            <w:tcW w:w="2355" w:type="dxa"/>
            <w:shd w:val="clear" w:color="auto" w:fill="auto"/>
            <w:vAlign w:val="center"/>
          </w:tcPr>
          <w:p w14:paraId="5F5D4FE0">
            <w:pPr>
              <w:keepNext w:val="0"/>
              <w:keepLines w:val="0"/>
              <w:pageBreakBefore w:val="0"/>
              <w:widowControl w:val="0"/>
              <w:kinsoku/>
              <w:wordWrap/>
              <w:overflowPunct/>
              <w:topLinePunct w:val="0"/>
              <w:autoSpaceDE/>
              <w:autoSpaceDN/>
              <w:bidi w:val="0"/>
              <w:spacing w:before="68" w:line="320" w:lineRule="exact"/>
              <w:ind w:left="240" w:leftChars="100" w:right="127" w:rightChars="53" w:firstLine="0" w:firstLineChars="0"/>
              <w:jc w:val="center"/>
              <w:rPr>
                <w:rFonts w:hint="eastAsia" w:ascii="宋体" w:hAnsi="宋体" w:eastAsia="宋体" w:cs="宋体"/>
                <w:spacing w:val="-8"/>
                <w:kern w:val="2"/>
                <w:sz w:val="21"/>
                <w:szCs w:val="21"/>
                <w:lang w:val="en-US" w:eastAsia="zh-CN" w:bidi="ar-SA"/>
              </w:rPr>
            </w:pPr>
            <w:r>
              <w:rPr>
                <w:rFonts w:hint="eastAsia" w:ascii="宋体" w:hAnsi="宋体" w:eastAsia="宋体" w:cs="宋体"/>
                <w:spacing w:val="-8"/>
                <w:sz w:val="21"/>
                <w:szCs w:val="21"/>
                <w:lang w:val="en-US" w:eastAsia="zh-CN"/>
              </w:rPr>
              <w:t>对被责令改正的企业事业单位和其他生产经营者继续违法排放水污染物等行为的行政处罚</w:t>
            </w:r>
          </w:p>
        </w:tc>
        <w:tc>
          <w:tcPr>
            <w:tcW w:w="1094" w:type="dxa"/>
            <w:shd w:val="clear" w:color="auto" w:fill="auto"/>
            <w:vAlign w:val="center"/>
          </w:tcPr>
          <w:p w14:paraId="6ECCE6D0">
            <w:pPr>
              <w:keepNext w:val="0"/>
              <w:keepLines w:val="0"/>
              <w:pageBreakBefore w:val="0"/>
              <w:widowControl w:val="0"/>
              <w:kinsoku/>
              <w:wordWrap/>
              <w:overflowPunct/>
              <w:topLinePunct w:val="0"/>
              <w:autoSpaceDE/>
              <w:autoSpaceDN/>
              <w:bidi w:val="0"/>
              <w:spacing w:before="68" w:line="320" w:lineRule="exact"/>
              <w:ind w:left="0" w:leftChars="0" w:firstLine="0" w:firstLineChars="0"/>
              <w:jc w:val="center"/>
              <w:rPr>
                <w:rFonts w:hint="eastAsia" w:ascii="仿宋_GB2312" w:hAnsi="仿宋_GB2312" w:eastAsia="仿宋_GB2312" w:cs="仿宋_GB2312"/>
                <w:spacing w:val="-8"/>
                <w:kern w:val="2"/>
                <w:sz w:val="24"/>
                <w:szCs w:val="24"/>
                <w:lang w:val="en-US" w:eastAsia="zh-CN" w:bidi="ar-SA"/>
              </w:rPr>
            </w:pPr>
            <w:r>
              <w:rPr>
                <w:rFonts w:hint="eastAsia" w:ascii="仿宋_GB2312" w:hAnsi="仿宋_GB2312" w:eastAsia="仿宋_GB2312" w:cs="仿宋_GB2312"/>
                <w:spacing w:val="-8"/>
                <w:sz w:val="24"/>
                <w:szCs w:val="24"/>
                <w:lang w:val="en-US" w:eastAsia="zh-CN"/>
              </w:rPr>
              <w:t>行政处罚</w:t>
            </w:r>
          </w:p>
        </w:tc>
        <w:tc>
          <w:tcPr>
            <w:tcW w:w="8317" w:type="dxa"/>
            <w:shd w:val="clear" w:color="auto" w:fill="auto"/>
            <w:vAlign w:val="top"/>
          </w:tcPr>
          <w:p w14:paraId="671DCDCC">
            <w:pPr>
              <w:keepNext w:val="0"/>
              <w:keepLines w:val="0"/>
              <w:pageBreakBefore w:val="0"/>
              <w:widowControl w:val="0"/>
              <w:suppressLineNumbers w:val="0"/>
              <w:kinsoku/>
              <w:wordWrap/>
              <w:overflowPunct/>
              <w:topLinePunct w:val="0"/>
              <w:autoSpaceDE/>
              <w:autoSpaceDN/>
              <w:bidi w:val="0"/>
              <w:adjustRightInd/>
              <w:snapToGrid/>
              <w:spacing w:after="0" w:afterLines="-2147483648" w:line="320" w:lineRule="exact"/>
              <w:ind w:left="240" w:leftChars="100" w:firstLine="420" w:firstLineChars="200"/>
              <w:jc w:val="both"/>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中华人民共和国水污染防治法》第九十五条企业事业单位和其他生产经营者违法排放水污染物，受到罚款处罚，被责令改正的，依法作出处罚决定的行政机关应当组织复查，发现其继续违法排放水污染物或者拒绝、阻挠复查的，依照《中华人民共和国环境保护法》的规定按日连续处罚。</w:t>
            </w:r>
          </w:p>
        </w:tc>
        <w:tc>
          <w:tcPr>
            <w:tcW w:w="1129" w:type="dxa"/>
            <w:vAlign w:val="top"/>
          </w:tcPr>
          <w:p w14:paraId="76A4A0D3">
            <w:pPr>
              <w:keepNext w:val="0"/>
              <w:keepLines w:val="0"/>
              <w:pageBreakBefore w:val="0"/>
              <w:widowControl w:val="0"/>
              <w:kinsoku/>
              <w:wordWrap/>
              <w:overflowPunct/>
              <w:topLinePunct w:val="0"/>
              <w:autoSpaceDE/>
              <w:autoSpaceDN/>
              <w:bidi w:val="0"/>
              <w:spacing w:line="320" w:lineRule="exact"/>
              <w:rPr>
                <w:rFonts w:ascii="宋体"/>
                <w:sz w:val="21"/>
              </w:rPr>
            </w:pPr>
          </w:p>
        </w:tc>
        <w:tc>
          <w:tcPr>
            <w:tcW w:w="990" w:type="dxa"/>
            <w:gridSpan w:val="2"/>
            <w:tcBorders>
              <w:right w:val="single" w:color="000000" w:sz="10" w:space="0"/>
            </w:tcBorders>
            <w:vAlign w:val="top"/>
          </w:tcPr>
          <w:p w14:paraId="7C287729">
            <w:pPr>
              <w:keepNext w:val="0"/>
              <w:keepLines w:val="0"/>
              <w:pageBreakBefore w:val="0"/>
              <w:widowControl w:val="0"/>
              <w:kinsoku/>
              <w:wordWrap/>
              <w:overflowPunct/>
              <w:topLinePunct w:val="0"/>
              <w:autoSpaceDE/>
              <w:autoSpaceDN/>
              <w:bidi w:val="0"/>
              <w:spacing w:line="320" w:lineRule="exact"/>
              <w:rPr>
                <w:rFonts w:ascii="宋体"/>
                <w:sz w:val="21"/>
              </w:rPr>
            </w:pPr>
          </w:p>
        </w:tc>
      </w:tr>
      <w:tr w14:paraId="4C68FE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6" w:hRule="atLeast"/>
        </w:trPr>
        <w:tc>
          <w:tcPr>
            <w:tcW w:w="557" w:type="dxa"/>
            <w:tcBorders>
              <w:left w:val="single" w:color="000000" w:sz="10" w:space="0"/>
            </w:tcBorders>
            <w:shd w:val="clear" w:color="auto" w:fill="auto"/>
            <w:vAlign w:val="center"/>
          </w:tcPr>
          <w:p w14:paraId="1AA8B367">
            <w:pPr>
              <w:keepNext w:val="0"/>
              <w:keepLines w:val="0"/>
              <w:pageBreakBefore w:val="0"/>
              <w:widowControl w:val="0"/>
              <w:kinsoku/>
              <w:wordWrap/>
              <w:overflowPunct/>
              <w:topLinePunct w:val="0"/>
              <w:autoSpaceDE/>
              <w:autoSpaceDN/>
              <w:bidi w:val="0"/>
              <w:spacing w:before="68" w:line="320" w:lineRule="exact"/>
              <w:ind w:left="0" w:leftChars="0" w:firstLine="0" w:firstLineChars="0"/>
              <w:jc w:val="center"/>
              <w:rPr>
                <w:rFonts w:hint="eastAsia" w:ascii="仿宋_GB2312" w:hAnsi="仿宋_GB2312" w:eastAsia="仿宋_GB2312" w:cs="仿宋_GB2312"/>
                <w:spacing w:val="-8"/>
                <w:sz w:val="24"/>
                <w:szCs w:val="24"/>
                <w:lang w:val="en-US" w:eastAsia="zh-CN"/>
              </w:rPr>
            </w:pPr>
            <w:r>
              <w:rPr>
                <w:rFonts w:hint="eastAsia" w:ascii="仿宋_GB2312" w:hAnsi="仿宋_GB2312" w:eastAsia="仿宋_GB2312" w:cs="仿宋_GB2312"/>
                <w:spacing w:val="-8"/>
                <w:sz w:val="24"/>
                <w:szCs w:val="24"/>
                <w:lang w:val="en-US" w:eastAsia="zh-CN"/>
              </w:rPr>
              <w:t>33</w:t>
            </w:r>
          </w:p>
        </w:tc>
        <w:tc>
          <w:tcPr>
            <w:tcW w:w="2355" w:type="dxa"/>
            <w:shd w:val="clear" w:color="auto" w:fill="auto"/>
            <w:vAlign w:val="center"/>
          </w:tcPr>
          <w:p w14:paraId="43E3A516">
            <w:pPr>
              <w:keepNext w:val="0"/>
              <w:keepLines w:val="0"/>
              <w:pageBreakBefore w:val="0"/>
              <w:widowControl w:val="0"/>
              <w:kinsoku/>
              <w:wordWrap/>
              <w:overflowPunct/>
              <w:topLinePunct w:val="0"/>
              <w:autoSpaceDE/>
              <w:autoSpaceDN/>
              <w:bidi w:val="0"/>
              <w:spacing w:before="68" w:line="320" w:lineRule="exact"/>
              <w:ind w:left="240" w:leftChars="100" w:right="127" w:rightChars="53" w:firstLine="0" w:firstLineChars="0"/>
              <w:jc w:val="center"/>
              <w:rPr>
                <w:rFonts w:hint="eastAsia" w:ascii="宋体" w:hAnsi="宋体" w:eastAsia="宋体" w:cs="宋体"/>
                <w:spacing w:val="-8"/>
                <w:kern w:val="2"/>
                <w:sz w:val="21"/>
                <w:szCs w:val="21"/>
                <w:lang w:val="en-US" w:eastAsia="zh-CN" w:bidi="ar-SA"/>
              </w:rPr>
            </w:pPr>
            <w:r>
              <w:rPr>
                <w:rFonts w:hint="eastAsia" w:ascii="宋体" w:hAnsi="宋体" w:eastAsia="宋体" w:cs="宋体"/>
                <w:spacing w:val="-8"/>
                <w:sz w:val="21"/>
                <w:szCs w:val="21"/>
                <w:lang w:val="en-US" w:eastAsia="zh-CN"/>
              </w:rPr>
              <w:t>对拒不接受大气污染监督检查或在接受监督检查时弄虚作假行为的行政处罚</w:t>
            </w:r>
          </w:p>
        </w:tc>
        <w:tc>
          <w:tcPr>
            <w:tcW w:w="1094" w:type="dxa"/>
            <w:shd w:val="clear" w:color="auto" w:fill="auto"/>
            <w:vAlign w:val="center"/>
          </w:tcPr>
          <w:p w14:paraId="674C729E">
            <w:pPr>
              <w:keepNext w:val="0"/>
              <w:keepLines w:val="0"/>
              <w:pageBreakBefore w:val="0"/>
              <w:widowControl w:val="0"/>
              <w:kinsoku/>
              <w:wordWrap/>
              <w:overflowPunct/>
              <w:topLinePunct w:val="0"/>
              <w:autoSpaceDE/>
              <w:autoSpaceDN/>
              <w:bidi w:val="0"/>
              <w:spacing w:before="68" w:line="320" w:lineRule="exact"/>
              <w:ind w:left="0" w:leftChars="0" w:firstLine="0" w:firstLineChars="0"/>
              <w:jc w:val="center"/>
              <w:rPr>
                <w:rFonts w:hint="eastAsia" w:ascii="仿宋_GB2312" w:hAnsi="仿宋_GB2312" w:eastAsia="仿宋_GB2312" w:cs="仿宋_GB2312"/>
                <w:spacing w:val="-8"/>
                <w:kern w:val="2"/>
                <w:sz w:val="24"/>
                <w:szCs w:val="24"/>
                <w:lang w:val="en-US" w:eastAsia="zh-CN" w:bidi="ar-SA"/>
              </w:rPr>
            </w:pPr>
            <w:r>
              <w:rPr>
                <w:rFonts w:hint="eastAsia" w:ascii="仿宋_GB2312" w:hAnsi="仿宋_GB2312" w:eastAsia="仿宋_GB2312" w:cs="仿宋_GB2312"/>
                <w:spacing w:val="-8"/>
                <w:sz w:val="24"/>
                <w:szCs w:val="24"/>
                <w:lang w:val="en-US" w:eastAsia="zh-CN"/>
              </w:rPr>
              <w:t>行政处罚</w:t>
            </w:r>
          </w:p>
        </w:tc>
        <w:tc>
          <w:tcPr>
            <w:tcW w:w="8317" w:type="dxa"/>
            <w:shd w:val="clear" w:color="auto" w:fill="auto"/>
            <w:vAlign w:val="top"/>
          </w:tcPr>
          <w:p w14:paraId="2E859E12">
            <w:pPr>
              <w:keepNext w:val="0"/>
              <w:keepLines w:val="0"/>
              <w:pageBreakBefore w:val="0"/>
              <w:widowControl w:val="0"/>
              <w:suppressLineNumbers w:val="0"/>
              <w:kinsoku/>
              <w:wordWrap/>
              <w:overflowPunct/>
              <w:topLinePunct w:val="0"/>
              <w:autoSpaceDE/>
              <w:autoSpaceDN/>
              <w:bidi w:val="0"/>
              <w:adjustRightInd/>
              <w:snapToGrid/>
              <w:spacing w:after="0" w:afterLines="-2147483648" w:line="320" w:lineRule="exact"/>
              <w:ind w:left="240" w:leftChars="100" w:firstLine="420" w:firstLineChars="200"/>
              <w:jc w:val="both"/>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中华人民共和国大气污染防治法》第九十八条违反本法规定，以拒绝进入现场等方式拒不接受生态环境主管部门及其环境执法机构或者其他负有大气环境保护监督管理职责的部门的监督检查，或者在接受监督检查时弄虚作假的，由县级以上人民政府生态环境主管部门或者其他负有大气环境保护监督管理职责的部门责令改正，处二万元以上二十万元以下的罚款；构成违反治安管理行为的，由公安机关依法予以处罚。</w:t>
            </w:r>
          </w:p>
          <w:p w14:paraId="7C1BFC96">
            <w:pPr>
              <w:keepNext w:val="0"/>
              <w:keepLines w:val="0"/>
              <w:pageBreakBefore w:val="0"/>
              <w:widowControl w:val="0"/>
              <w:suppressLineNumbers w:val="0"/>
              <w:kinsoku/>
              <w:wordWrap/>
              <w:overflowPunct/>
              <w:topLinePunct w:val="0"/>
              <w:autoSpaceDE/>
              <w:autoSpaceDN/>
              <w:bidi w:val="0"/>
              <w:adjustRightInd/>
              <w:snapToGrid/>
              <w:spacing w:after="0" w:afterLines="-2147483648" w:line="320" w:lineRule="exact"/>
              <w:ind w:left="240" w:leftChars="100" w:firstLine="420" w:firstLineChars="200"/>
              <w:jc w:val="both"/>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环境监测管理办法》第十九条排污者拒绝、阻挠环境监测工作人员进行环境监测活动或者弄虚作假的，由县级以上环境保护部门依法给予行政处罚；构成违反治安管理行为的，由公安机关依法给予治安处罚；构成犯罪的，依法追究刑事责任。</w:t>
            </w:r>
          </w:p>
        </w:tc>
        <w:tc>
          <w:tcPr>
            <w:tcW w:w="1129" w:type="dxa"/>
            <w:vAlign w:val="top"/>
          </w:tcPr>
          <w:p w14:paraId="4046159D">
            <w:pPr>
              <w:keepNext w:val="0"/>
              <w:keepLines w:val="0"/>
              <w:pageBreakBefore w:val="0"/>
              <w:widowControl w:val="0"/>
              <w:kinsoku/>
              <w:wordWrap/>
              <w:overflowPunct/>
              <w:topLinePunct w:val="0"/>
              <w:autoSpaceDE/>
              <w:autoSpaceDN/>
              <w:bidi w:val="0"/>
              <w:spacing w:line="320" w:lineRule="exact"/>
              <w:rPr>
                <w:rFonts w:ascii="宋体"/>
                <w:sz w:val="21"/>
              </w:rPr>
            </w:pPr>
          </w:p>
        </w:tc>
        <w:tc>
          <w:tcPr>
            <w:tcW w:w="990" w:type="dxa"/>
            <w:gridSpan w:val="2"/>
            <w:tcBorders>
              <w:right w:val="single" w:color="000000" w:sz="10" w:space="0"/>
            </w:tcBorders>
            <w:vAlign w:val="top"/>
          </w:tcPr>
          <w:p w14:paraId="2D1F6C33">
            <w:pPr>
              <w:keepNext w:val="0"/>
              <w:keepLines w:val="0"/>
              <w:pageBreakBefore w:val="0"/>
              <w:widowControl w:val="0"/>
              <w:kinsoku/>
              <w:wordWrap/>
              <w:overflowPunct/>
              <w:topLinePunct w:val="0"/>
              <w:autoSpaceDE/>
              <w:autoSpaceDN/>
              <w:bidi w:val="0"/>
              <w:spacing w:line="320" w:lineRule="exact"/>
              <w:rPr>
                <w:rFonts w:ascii="宋体"/>
                <w:sz w:val="21"/>
              </w:rPr>
            </w:pPr>
          </w:p>
        </w:tc>
      </w:tr>
      <w:tr w14:paraId="14C108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6" w:hRule="atLeast"/>
        </w:trPr>
        <w:tc>
          <w:tcPr>
            <w:tcW w:w="557" w:type="dxa"/>
            <w:tcBorders>
              <w:left w:val="single" w:color="000000" w:sz="10" w:space="0"/>
            </w:tcBorders>
            <w:shd w:val="clear" w:color="auto" w:fill="auto"/>
            <w:vAlign w:val="center"/>
          </w:tcPr>
          <w:p w14:paraId="7363896F">
            <w:pPr>
              <w:keepNext w:val="0"/>
              <w:keepLines w:val="0"/>
              <w:pageBreakBefore w:val="0"/>
              <w:widowControl w:val="0"/>
              <w:kinsoku/>
              <w:wordWrap/>
              <w:overflowPunct/>
              <w:topLinePunct w:val="0"/>
              <w:autoSpaceDE/>
              <w:autoSpaceDN/>
              <w:bidi w:val="0"/>
              <w:spacing w:before="68" w:line="320" w:lineRule="exact"/>
              <w:ind w:left="0" w:leftChars="0" w:firstLine="0" w:firstLineChars="0"/>
              <w:jc w:val="center"/>
              <w:rPr>
                <w:rFonts w:hint="eastAsia" w:ascii="仿宋_GB2312" w:hAnsi="仿宋_GB2312" w:eastAsia="仿宋_GB2312" w:cs="仿宋_GB2312"/>
                <w:spacing w:val="-8"/>
                <w:sz w:val="24"/>
                <w:szCs w:val="24"/>
                <w:lang w:val="en-US" w:eastAsia="zh-CN"/>
              </w:rPr>
            </w:pPr>
            <w:r>
              <w:rPr>
                <w:rFonts w:hint="eastAsia" w:ascii="仿宋_GB2312" w:hAnsi="仿宋_GB2312" w:eastAsia="仿宋_GB2312" w:cs="仿宋_GB2312"/>
                <w:spacing w:val="-8"/>
                <w:sz w:val="24"/>
                <w:szCs w:val="24"/>
                <w:lang w:val="en-US" w:eastAsia="zh-CN"/>
              </w:rPr>
              <w:t>34</w:t>
            </w:r>
          </w:p>
        </w:tc>
        <w:tc>
          <w:tcPr>
            <w:tcW w:w="2355" w:type="dxa"/>
            <w:shd w:val="clear" w:color="auto" w:fill="auto"/>
            <w:vAlign w:val="center"/>
          </w:tcPr>
          <w:p w14:paraId="5F73EAD5">
            <w:pPr>
              <w:keepNext w:val="0"/>
              <w:keepLines w:val="0"/>
              <w:pageBreakBefore w:val="0"/>
              <w:widowControl w:val="0"/>
              <w:kinsoku/>
              <w:wordWrap/>
              <w:overflowPunct/>
              <w:topLinePunct w:val="0"/>
              <w:autoSpaceDE/>
              <w:autoSpaceDN/>
              <w:bidi w:val="0"/>
              <w:spacing w:before="68" w:line="320" w:lineRule="exact"/>
              <w:ind w:left="240" w:leftChars="100" w:right="127" w:rightChars="53" w:firstLine="0" w:firstLineChars="0"/>
              <w:jc w:val="center"/>
              <w:rPr>
                <w:rFonts w:hint="eastAsia" w:ascii="宋体" w:hAnsi="宋体" w:eastAsia="宋体" w:cs="宋体"/>
                <w:spacing w:val="-8"/>
                <w:kern w:val="2"/>
                <w:sz w:val="21"/>
                <w:szCs w:val="21"/>
                <w:lang w:val="en-US" w:eastAsia="zh-CN" w:bidi="ar-SA"/>
              </w:rPr>
            </w:pPr>
            <w:r>
              <w:rPr>
                <w:rFonts w:hint="eastAsia" w:ascii="宋体" w:hAnsi="宋体" w:eastAsia="宋体" w:cs="宋体"/>
                <w:spacing w:val="-8"/>
                <w:sz w:val="21"/>
                <w:szCs w:val="21"/>
                <w:lang w:val="en-US" w:eastAsia="zh-CN"/>
              </w:rPr>
              <w:t>对拒不接受消耗臭氧层物质检查或在检查时弄虚作假行为的行政处罚</w:t>
            </w:r>
          </w:p>
        </w:tc>
        <w:tc>
          <w:tcPr>
            <w:tcW w:w="1094" w:type="dxa"/>
            <w:shd w:val="clear" w:color="auto" w:fill="auto"/>
            <w:vAlign w:val="center"/>
          </w:tcPr>
          <w:p w14:paraId="3645E005">
            <w:pPr>
              <w:keepNext w:val="0"/>
              <w:keepLines w:val="0"/>
              <w:pageBreakBefore w:val="0"/>
              <w:widowControl w:val="0"/>
              <w:kinsoku/>
              <w:wordWrap/>
              <w:overflowPunct/>
              <w:topLinePunct w:val="0"/>
              <w:autoSpaceDE/>
              <w:autoSpaceDN/>
              <w:bidi w:val="0"/>
              <w:spacing w:before="68" w:line="320" w:lineRule="exact"/>
              <w:ind w:left="0" w:leftChars="0" w:firstLine="0" w:firstLineChars="0"/>
              <w:jc w:val="center"/>
              <w:rPr>
                <w:rFonts w:hint="eastAsia" w:ascii="仿宋_GB2312" w:hAnsi="仿宋_GB2312" w:eastAsia="仿宋_GB2312" w:cs="仿宋_GB2312"/>
                <w:spacing w:val="-8"/>
                <w:kern w:val="2"/>
                <w:sz w:val="24"/>
                <w:szCs w:val="24"/>
                <w:lang w:val="en-US" w:eastAsia="zh-CN" w:bidi="ar-SA"/>
              </w:rPr>
            </w:pPr>
            <w:r>
              <w:rPr>
                <w:rFonts w:hint="eastAsia" w:ascii="仿宋_GB2312" w:hAnsi="仿宋_GB2312" w:eastAsia="仿宋_GB2312" w:cs="仿宋_GB2312"/>
                <w:spacing w:val="-8"/>
                <w:sz w:val="24"/>
                <w:szCs w:val="24"/>
                <w:lang w:val="en-US" w:eastAsia="zh-CN"/>
              </w:rPr>
              <w:t>行政处罚</w:t>
            </w:r>
          </w:p>
        </w:tc>
        <w:tc>
          <w:tcPr>
            <w:tcW w:w="8317" w:type="dxa"/>
            <w:shd w:val="clear" w:color="auto" w:fill="auto"/>
            <w:vAlign w:val="top"/>
          </w:tcPr>
          <w:p w14:paraId="3D1FEC57">
            <w:pPr>
              <w:keepNext w:val="0"/>
              <w:keepLines w:val="0"/>
              <w:pageBreakBefore w:val="0"/>
              <w:widowControl w:val="0"/>
              <w:suppressLineNumbers w:val="0"/>
              <w:kinsoku/>
              <w:wordWrap/>
              <w:overflowPunct/>
              <w:topLinePunct w:val="0"/>
              <w:autoSpaceDE/>
              <w:autoSpaceDN/>
              <w:bidi w:val="0"/>
              <w:adjustRightInd/>
              <w:snapToGrid/>
              <w:spacing w:after="0" w:afterLines="-2147483648" w:line="320" w:lineRule="exact"/>
              <w:ind w:left="240" w:leftChars="100" w:firstLine="420" w:firstLineChars="200"/>
              <w:jc w:val="both"/>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消耗臭氧层物质管理条例》第三十九条拒绝、阻碍环境保护主管部门或者其他有关部门的监督检查，或者在接受监督检查时弄虚作假的，由监督检查部门责令改正，处1万元以上2万元以下的罚款；构成违反治安管理行为的，由公安机关依法给予治安管理处罚；构成犯罪的，依法追究刑事责任。</w:t>
            </w:r>
          </w:p>
        </w:tc>
        <w:tc>
          <w:tcPr>
            <w:tcW w:w="1129" w:type="dxa"/>
            <w:vAlign w:val="top"/>
          </w:tcPr>
          <w:p w14:paraId="44E6908F">
            <w:pPr>
              <w:keepNext w:val="0"/>
              <w:keepLines w:val="0"/>
              <w:pageBreakBefore w:val="0"/>
              <w:widowControl w:val="0"/>
              <w:kinsoku/>
              <w:wordWrap/>
              <w:overflowPunct/>
              <w:topLinePunct w:val="0"/>
              <w:autoSpaceDE/>
              <w:autoSpaceDN/>
              <w:bidi w:val="0"/>
              <w:spacing w:line="320" w:lineRule="exact"/>
              <w:rPr>
                <w:rFonts w:ascii="宋体"/>
                <w:sz w:val="21"/>
              </w:rPr>
            </w:pPr>
          </w:p>
        </w:tc>
        <w:tc>
          <w:tcPr>
            <w:tcW w:w="990" w:type="dxa"/>
            <w:gridSpan w:val="2"/>
            <w:tcBorders>
              <w:right w:val="single" w:color="000000" w:sz="10" w:space="0"/>
            </w:tcBorders>
            <w:vAlign w:val="top"/>
          </w:tcPr>
          <w:p w14:paraId="0637B54B">
            <w:pPr>
              <w:keepNext w:val="0"/>
              <w:keepLines w:val="0"/>
              <w:pageBreakBefore w:val="0"/>
              <w:widowControl w:val="0"/>
              <w:kinsoku/>
              <w:wordWrap/>
              <w:overflowPunct/>
              <w:topLinePunct w:val="0"/>
              <w:autoSpaceDE/>
              <w:autoSpaceDN/>
              <w:bidi w:val="0"/>
              <w:spacing w:line="320" w:lineRule="exact"/>
              <w:rPr>
                <w:rFonts w:ascii="宋体"/>
                <w:sz w:val="21"/>
              </w:rPr>
            </w:pPr>
          </w:p>
        </w:tc>
      </w:tr>
      <w:tr w14:paraId="2D865E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6" w:hRule="atLeast"/>
        </w:trPr>
        <w:tc>
          <w:tcPr>
            <w:tcW w:w="557" w:type="dxa"/>
            <w:tcBorders>
              <w:left w:val="single" w:color="000000" w:sz="10" w:space="0"/>
            </w:tcBorders>
            <w:shd w:val="clear" w:color="auto" w:fill="auto"/>
            <w:vAlign w:val="center"/>
          </w:tcPr>
          <w:p w14:paraId="7402971D">
            <w:pPr>
              <w:keepNext w:val="0"/>
              <w:keepLines w:val="0"/>
              <w:pageBreakBefore w:val="0"/>
              <w:widowControl w:val="0"/>
              <w:kinsoku/>
              <w:wordWrap/>
              <w:overflowPunct/>
              <w:topLinePunct w:val="0"/>
              <w:autoSpaceDE/>
              <w:autoSpaceDN/>
              <w:bidi w:val="0"/>
              <w:spacing w:before="68" w:line="320" w:lineRule="exact"/>
              <w:ind w:left="0" w:leftChars="0" w:firstLine="0" w:firstLineChars="0"/>
              <w:jc w:val="center"/>
              <w:rPr>
                <w:rFonts w:hint="eastAsia" w:ascii="仿宋_GB2312" w:hAnsi="仿宋_GB2312" w:eastAsia="仿宋_GB2312" w:cs="仿宋_GB2312"/>
                <w:spacing w:val="-8"/>
                <w:sz w:val="24"/>
                <w:szCs w:val="24"/>
                <w:lang w:val="en-US" w:eastAsia="zh-CN"/>
              </w:rPr>
            </w:pPr>
            <w:r>
              <w:rPr>
                <w:rFonts w:hint="eastAsia" w:ascii="仿宋_GB2312" w:hAnsi="仿宋_GB2312" w:eastAsia="仿宋_GB2312" w:cs="仿宋_GB2312"/>
                <w:spacing w:val="-8"/>
                <w:sz w:val="24"/>
                <w:szCs w:val="24"/>
                <w:lang w:val="en-US" w:eastAsia="zh-CN"/>
              </w:rPr>
              <w:t>35</w:t>
            </w:r>
          </w:p>
        </w:tc>
        <w:tc>
          <w:tcPr>
            <w:tcW w:w="2355" w:type="dxa"/>
            <w:shd w:val="clear" w:color="auto" w:fill="auto"/>
            <w:vAlign w:val="center"/>
          </w:tcPr>
          <w:p w14:paraId="34161BC8">
            <w:pPr>
              <w:keepNext w:val="0"/>
              <w:keepLines w:val="0"/>
              <w:pageBreakBefore w:val="0"/>
              <w:widowControl w:val="0"/>
              <w:kinsoku/>
              <w:wordWrap/>
              <w:overflowPunct/>
              <w:topLinePunct w:val="0"/>
              <w:autoSpaceDE/>
              <w:autoSpaceDN/>
              <w:bidi w:val="0"/>
              <w:spacing w:before="68" w:line="320" w:lineRule="exact"/>
              <w:ind w:left="240" w:leftChars="100" w:right="127" w:rightChars="53" w:firstLine="0" w:firstLineChars="0"/>
              <w:jc w:val="center"/>
              <w:rPr>
                <w:rFonts w:hint="eastAsia" w:ascii="宋体" w:hAnsi="宋体" w:eastAsia="宋体" w:cs="宋体"/>
                <w:spacing w:val="-8"/>
                <w:kern w:val="2"/>
                <w:sz w:val="21"/>
                <w:szCs w:val="21"/>
                <w:lang w:val="en-US" w:eastAsia="zh-CN" w:bidi="ar-SA"/>
              </w:rPr>
            </w:pPr>
            <w:r>
              <w:rPr>
                <w:rFonts w:hint="eastAsia" w:ascii="宋体" w:hAnsi="宋体" w:eastAsia="宋体" w:cs="宋体"/>
                <w:spacing w:val="-8"/>
                <w:sz w:val="21"/>
                <w:szCs w:val="21"/>
                <w:lang w:val="en-US" w:eastAsia="zh-CN"/>
              </w:rPr>
              <w:t>对未依法取得排污许可证排放大气污染物等行为的行政处罚</w:t>
            </w:r>
          </w:p>
        </w:tc>
        <w:tc>
          <w:tcPr>
            <w:tcW w:w="1094" w:type="dxa"/>
            <w:shd w:val="clear" w:color="auto" w:fill="auto"/>
            <w:vAlign w:val="center"/>
          </w:tcPr>
          <w:p w14:paraId="4F6607E6">
            <w:pPr>
              <w:keepNext w:val="0"/>
              <w:keepLines w:val="0"/>
              <w:pageBreakBefore w:val="0"/>
              <w:widowControl w:val="0"/>
              <w:kinsoku/>
              <w:wordWrap/>
              <w:overflowPunct/>
              <w:topLinePunct w:val="0"/>
              <w:autoSpaceDE/>
              <w:autoSpaceDN/>
              <w:bidi w:val="0"/>
              <w:spacing w:before="68" w:line="320" w:lineRule="exact"/>
              <w:ind w:left="0" w:leftChars="0" w:firstLine="0" w:firstLineChars="0"/>
              <w:jc w:val="center"/>
              <w:rPr>
                <w:rFonts w:hint="eastAsia" w:ascii="仿宋_GB2312" w:hAnsi="仿宋_GB2312" w:eastAsia="仿宋_GB2312" w:cs="仿宋_GB2312"/>
                <w:spacing w:val="-8"/>
                <w:kern w:val="2"/>
                <w:sz w:val="24"/>
                <w:szCs w:val="24"/>
                <w:lang w:val="en-US" w:eastAsia="zh-CN" w:bidi="ar-SA"/>
              </w:rPr>
            </w:pPr>
            <w:r>
              <w:rPr>
                <w:rFonts w:hint="eastAsia" w:ascii="仿宋_GB2312" w:hAnsi="仿宋_GB2312" w:eastAsia="仿宋_GB2312" w:cs="仿宋_GB2312"/>
                <w:spacing w:val="-8"/>
                <w:sz w:val="24"/>
                <w:szCs w:val="24"/>
                <w:lang w:val="en-US" w:eastAsia="zh-CN"/>
              </w:rPr>
              <w:t>行政处罚</w:t>
            </w:r>
          </w:p>
        </w:tc>
        <w:tc>
          <w:tcPr>
            <w:tcW w:w="8317" w:type="dxa"/>
            <w:shd w:val="clear" w:color="auto" w:fill="auto"/>
            <w:vAlign w:val="top"/>
          </w:tcPr>
          <w:p w14:paraId="719E87A2">
            <w:pPr>
              <w:keepNext w:val="0"/>
              <w:keepLines w:val="0"/>
              <w:pageBreakBefore w:val="0"/>
              <w:widowControl w:val="0"/>
              <w:suppressLineNumbers w:val="0"/>
              <w:kinsoku/>
              <w:wordWrap/>
              <w:overflowPunct/>
              <w:topLinePunct w:val="0"/>
              <w:autoSpaceDE/>
              <w:autoSpaceDN/>
              <w:bidi w:val="0"/>
              <w:adjustRightInd/>
              <w:snapToGrid/>
              <w:spacing w:after="0" w:afterLines="-2147483648" w:line="320" w:lineRule="exact"/>
              <w:ind w:left="240" w:leftChars="100" w:firstLine="420" w:firstLineChars="200"/>
              <w:jc w:val="both"/>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中华人民共和国大气污染防治法》第九十九条违反本法规定，有下列行为之一的，由县级以上人民政府生态环境主管部门责令改正或者限制生产、停产整治，并处十万元以上一百万元以下的罚款；情节严重的，报经有批准权的人民政府批准，责令停业、关闭：未依法取得排污许可证排放大气污染物的；超过大气污染物排放标准或者超过重点大气污染物排放总量控制指标排放大气污染物的；通过逃避监管的方式排放大气污染物的。</w:t>
            </w:r>
          </w:p>
          <w:p w14:paraId="33A40638">
            <w:pPr>
              <w:keepNext w:val="0"/>
              <w:keepLines w:val="0"/>
              <w:pageBreakBefore w:val="0"/>
              <w:widowControl w:val="0"/>
              <w:suppressLineNumbers w:val="0"/>
              <w:kinsoku/>
              <w:wordWrap/>
              <w:overflowPunct/>
              <w:topLinePunct w:val="0"/>
              <w:autoSpaceDE/>
              <w:autoSpaceDN/>
              <w:bidi w:val="0"/>
              <w:adjustRightInd/>
              <w:snapToGrid/>
              <w:spacing w:after="0" w:afterLines="-2147483648" w:line="320" w:lineRule="exact"/>
              <w:ind w:left="240" w:leftChars="100" w:firstLine="420" w:firstLineChars="200"/>
              <w:jc w:val="both"/>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陕西省大气污染防治条例（2019年修正）》第六十四条违反本条例第十三条第二款规定，擅自拆除、停止运行大气污染防治设施或者防治设施不正常运行的，由县级以上生态环境行政主管部门责令限期改正，处一万元以上十万元以下罚款。第六十六条违反本条例第十四条第二款、第十六条规定，以规避监管的方式排放大气污染物以及未取得排污许可证的，由县级以上生态环境行政主管部门责令改正或者限制生产、停产整治，并处十万元以上一百万元以下罚款；情节严重的，报经有批准权的人民政府批准，责令停业、关闭。</w:t>
            </w:r>
          </w:p>
        </w:tc>
        <w:tc>
          <w:tcPr>
            <w:tcW w:w="1129" w:type="dxa"/>
            <w:vAlign w:val="top"/>
          </w:tcPr>
          <w:p w14:paraId="49BCC8E0">
            <w:pPr>
              <w:keepNext w:val="0"/>
              <w:keepLines w:val="0"/>
              <w:pageBreakBefore w:val="0"/>
              <w:widowControl w:val="0"/>
              <w:kinsoku/>
              <w:wordWrap/>
              <w:overflowPunct/>
              <w:topLinePunct w:val="0"/>
              <w:autoSpaceDE/>
              <w:autoSpaceDN/>
              <w:bidi w:val="0"/>
              <w:spacing w:line="320" w:lineRule="exact"/>
              <w:rPr>
                <w:rFonts w:ascii="宋体"/>
                <w:sz w:val="21"/>
              </w:rPr>
            </w:pPr>
          </w:p>
        </w:tc>
        <w:tc>
          <w:tcPr>
            <w:tcW w:w="990" w:type="dxa"/>
            <w:gridSpan w:val="2"/>
            <w:tcBorders>
              <w:right w:val="single" w:color="000000" w:sz="10" w:space="0"/>
            </w:tcBorders>
            <w:vAlign w:val="top"/>
          </w:tcPr>
          <w:p w14:paraId="19647177">
            <w:pPr>
              <w:keepNext w:val="0"/>
              <w:keepLines w:val="0"/>
              <w:pageBreakBefore w:val="0"/>
              <w:widowControl w:val="0"/>
              <w:kinsoku/>
              <w:wordWrap/>
              <w:overflowPunct/>
              <w:topLinePunct w:val="0"/>
              <w:autoSpaceDE/>
              <w:autoSpaceDN/>
              <w:bidi w:val="0"/>
              <w:spacing w:line="320" w:lineRule="exact"/>
              <w:rPr>
                <w:rFonts w:ascii="宋体"/>
                <w:sz w:val="21"/>
              </w:rPr>
            </w:pPr>
          </w:p>
        </w:tc>
      </w:tr>
      <w:tr w14:paraId="4DC9D1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6" w:hRule="atLeast"/>
        </w:trPr>
        <w:tc>
          <w:tcPr>
            <w:tcW w:w="557" w:type="dxa"/>
            <w:tcBorders>
              <w:left w:val="single" w:color="000000" w:sz="10" w:space="0"/>
            </w:tcBorders>
            <w:shd w:val="clear" w:color="auto" w:fill="auto"/>
            <w:vAlign w:val="center"/>
          </w:tcPr>
          <w:p w14:paraId="7D5F8A17">
            <w:pPr>
              <w:keepNext w:val="0"/>
              <w:keepLines w:val="0"/>
              <w:pageBreakBefore w:val="0"/>
              <w:widowControl w:val="0"/>
              <w:kinsoku/>
              <w:wordWrap/>
              <w:overflowPunct/>
              <w:topLinePunct w:val="0"/>
              <w:autoSpaceDE/>
              <w:autoSpaceDN/>
              <w:bidi w:val="0"/>
              <w:spacing w:before="68" w:line="320" w:lineRule="exact"/>
              <w:ind w:left="0" w:leftChars="0" w:firstLine="0" w:firstLineChars="0"/>
              <w:jc w:val="center"/>
              <w:rPr>
                <w:rFonts w:hint="eastAsia" w:ascii="仿宋_GB2312" w:hAnsi="仿宋_GB2312" w:eastAsia="仿宋_GB2312" w:cs="仿宋_GB2312"/>
                <w:spacing w:val="-8"/>
                <w:sz w:val="24"/>
                <w:szCs w:val="24"/>
                <w:lang w:val="en-US" w:eastAsia="zh-CN"/>
              </w:rPr>
            </w:pPr>
            <w:r>
              <w:rPr>
                <w:rFonts w:hint="eastAsia" w:ascii="仿宋_GB2312" w:hAnsi="仿宋_GB2312" w:eastAsia="仿宋_GB2312" w:cs="仿宋_GB2312"/>
                <w:spacing w:val="-8"/>
                <w:sz w:val="24"/>
                <w:szCs w:val="24"/>
                <w:lang w:val="en-US" w:eastAsia="zh-CN"/>
              </w:rPr>
              <w:t>36</w:t>
            </w:r>
          </w:p>
        </w:tc>
        <w:tc>
          <w:tcPr>
            <w:tcW w:w="2355" w:type="dxa"/>
            <w:shd w:val="clear" w:color="auto" w:fill="auto"/>
            <w:vAlign w:val="center"/>
          </w:tcPr>
          <w:p w14:paraId="2FA9239D">
            <w:pPr>
              <w:keepNext w:val="0"/>
              <w:keepLines w:val="0"/>
              <w:pageBreakBefore w:val="0"/>
              <w:widowControl w:val="0"/>
              <w:kinsoku/>
              <w:wordWrap/>
              <w:overflowPunct/>
              <w:topLinePunct w:val="0"/>
              <w:autoSpaceDE/>
              <w:autoSpaceDN/>
              <w:bidi w:val="0"/>
              <w:spacing w:before="68" w:line="320" w:lineRule="exact"/>
              <w:ind w:left="240" w:leftChars="100" w:right="127" w:rightChars="53" w:firstLine="0" w:firstLineChars="0"/>
              <w:jc w:val="center"/>
              <w:rPr>
                <w:rFonts w:hint="eastAsia" w:ascii="宋体" w:hAnsi="宋体" w:eastAsia="宋体" w:cs="宋体"/>
                <w:spacing w:val="-8"/>
                <w:kern w:val="2"/>
                <w:sz w:val="21"/>
                <w:szCs w:val="21"/>
                <w:lang w:val="en-US" w:eastAsia="zh-CN" w:bidi="ar-SA"/>
              </w:rPr>
            </w:pPr>
            <w:r>
              <w:rPr>
                <w:rFonts w:hint="eastAsia" w:ascii="宋体" w:hAnsi="宋体" w:eastAsia="宋体" w:cs="宋体"/>
                <w:spacing w:val="-8"/>
                <w:sz w:val="21"/>
                <w:szCs w:val="21"/>
                <w:lang w:val="en-US" w:eastAsia="zh-CN"/>
              </w:rPr>
              <w:t>对未依法取得排污许可证排放大气污染物等行为受到罚款处罚，被责令改正，拒不改正行为的行政处罚</w:t>
            </w:r>
          </w:p>
        </w:tc>
        <w:tc>
          <w:tcPr>
            <w:tcW w:w="1094" w:type="dxa"/>
            <w:shd w:val="clear" w:color="auto" w:fill="auto"/>
            <w:vAlign w:val="center"/>
          </w:tcPr>
          <w:p w14:paraId="4F765FCC">
            <w:pPr>
              <w:keepNext w:val="0"/>
              <w:keepLines w:val="0"/>
              <w:pageBreakBefore w:val="0"/>
              <w:widowControl w:val="0"/>
              <w:kinsoku/>
              <w:wordWrap/>
              <w:overflowPunct/>
              <w:topLinePunct w:val="0"/>
              <w:autoSpaceDE/>
              <w:autoSpaceDN/>
              <w:bidi w:val="0"/>
              <w:spacing w:before="68" w:line="320" w:lineRule="exact"/>
              <w:ind w:left="0" w:leftChars="0" w:firstLine="0" w:firstLineChars="0"/>
              <w:jc w:val="center"/>
              <w:rPr>
                <w:rFonts w:hint="eastAsia" w:ascii="仿宋_GB2312" w:hAnsi="仿宋_GB2312" w:eastAsia="仿宋_GB2312" w:cs="仿宋_GB2312"/>
                <w:spacing w:val="-8"/>
                <w:kern w:val="2"/>
                <w:sz w:val="24"/>
                <w:szCs w:val="24"/>
                <w:lang w:val="en-US" w:eastAsia="zh-CN" w:bidi="ar-SA"/>
              </w:rPr>
            </w:pPr>
            <w:r>
              <w:rPr>
                <w:rFonts w:hint="eastAsia" w:ascii="仿宋_GB2312" w:hAnsi="仿宋_GB2312" w:eastAsia="仿宋_GB2312" w:cs="仿宋_GB2312"/>
                <w:spacing w:val="-8"/>
                <w:sz w:val="24"/>
                <w:szCs w:val="24"/>
                <w:lang w:val="en-US" w:eastAsia="zh-CN"/>
              </w:rPr>
              <w:t>行政处罚</w:t>
            </w:r>
          </w:p>
        </w:tc>
        <w:tc>
          <w:tcPr>
            <w:tcW w:w="8317" w:type="dxa"/>
            <w:shd w:val="clear" w:color="auto" w:fill="auto"/>
            <w:vAlign w:val="top"/>
          </w:tcPr>
          <w:p w14:paraId="489244C9">
            <w:pPr>
              <w:keepNext w:val="0"/>
              <w:keepLines w:val="0"/>
              <w:pageBreakBefore w:val="0"/>
              <w:widowControl w:val="0"/>
              <w:suppressLineNumbers w:val="0"/>
              <w:kinsoku/>
              <w:wordWrap/>
              <w:overflowPunct/>
              <w:topLinePunct w:val="0"/>
              <w:autoSpaceDE/>
              <w:autoSpaceDN/>
              <w:bidi w:val="0"/>
              <w:adjustRightInd/>
              <w:snapToGrid/>
              <w:spacing w:after="0" w:afterLines="-2147483648" w:line="320" w:lineRule="exact"/>
              <w:ind w:left="240" w:leftChars="100" w:firstLine="420" w:firstLineChars="200"/>
              <w:jc w:val="both"/>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中华人民共和国大气污染防治法》第一百二十三条违反本法规定，企业事业单位和其他生产经营者有下列行为之一，受到罚款处罚，被责令改正，拒不改正的，依法作出处罚决定的行政机关可以自责令改正之日的次日起，按照原处罚数额按日连续处罚：（一）未依法取得排污许可证排放大气污染物的；（二）超过大气污染物排放标准或者超过重点大气污染物排放总量控制指标排放大气污染物的；（三）通过逃避监管的方式排放大气污染物的；（四）建筑施工或者贮存易产生扬尘的物料未采取有效措施防治扬尘污染的。</w:t>
            </w:r>
          </w:p>
        </w:tc>
        <w:tc>
          <w:tcPr>
            <w:tcW w:w="1129" w:type="dxa"/>
            <w:vAlign w:val="top"/>
          </w:tcPr>
          <w:p w14:paraId="61F8B03D">
            <w:pPr>
              <w:keepNext w:val="0"/>
              <w:keepLines w:val="0"/>
              <w:pageBreakBefore w:val="0"/>
              <w:widowControl w:val="0"/>
              <w:kinsoku/>
              <w:wordWrap/>
              <w:overflowPunct/>
              <w:topLinePunct w:val="0"/>
              <w:autoSpaceDE/>
              <w:autoSpaceDN/>
              <w:bidi w:val="0"/>
              <w:spacing w:line="320" w:lineRule="exact"/>
              <w:rPr>
                <w:rFonts w:ascii="宋体"/>
                <w:sz w:val="21"/>
              </w:rPr>
            </w:pPr>
          </w:p>
        </w:tc>
        <w:tc>
          <w:tcPr>
            <w:tcW w:w="990" w:type="dxa"/>
            <w:gridSpan w:val="2"/>
            <w:tcBorders>
              <w:right w:val="single" w:color="000000" w:sz="10" w:space="0"/>
            </w:tcBorders>
            <w:vAlign w:val="top"/>
          </w:tcPr>
          <w:p w14:paraId="55FCAAE2">
            <w:pPr>
              <w:keepNext w:val="0"/>
              <w:keepLines w:val="0"/>
              <w:pageBreakBefore w:val="0"/>
              <w:widowControl w:val="0"/>
              <w:kinsoku/>
              <w:wordWrap/>
              <w:overflowPunct/>
              <w:topLinePunct w:val="0"/>
              <w:autoSpaceDE/>
              <w:autoSpaceDN/>
              <w:bidi w:val="0"/>
              <w:spacing w:line="320" w:lineRule="exact"/>
              <w:rPr>
                <w:rFonts w:ascii="宋体"/>
                <w:sz w:val="21"/>
              </w:rPr>
            </w:pPr>
          </w:p>
        </w:tc>
      </w:tr>
      <w:tr w14:paraId="49E8D0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6" w:hRule="atLeast"/>
        </w:trPr>
        <w:tc>
          <w:tcPr>
            <w:tcW w:w="557" w:type="dxa"/>
            <w:tcBorders>
              <w:left w:val="single" w:color="000000" w:sz="10" w:space="0"/>
            </w:tcBorders>
            <w:shd w:val="clear" w:color="auto" w:fill="auto"/>
            <w:vAlign w:val="center"/>
          </w:tcPr>
          <w:p w14:paraId="31CFACAC">
            <w:pPr>
              <w:keepNext w:val="0"/>
              <w:keepLines w:val="0"/>
              <w:pageBreakBefore w:val="0"/>
              <w:widowControl w:val="0"/>
              <w:kinsoku/>
              <w:wordWrap/>
              <w:overflowPunct/>
              <w:topLinePunct w:val="0"/>
              <w:autoSpaceDE/>
              <w:autoSpaceDN/>
              <w:bidi w:val="0"/>
              <w:spacing w:before="68" w:line="320" w:lineRule="exact"/>
              <w:ind w:left="0" w:leftChars="0" w:firstLine="0" w:firstLineChars="0"/>
              <w:jc w:val="center"/>
              <w:rPr>
                <w:rFonts w:hint="eastAsia" w:ascii="仿宋_GB2312" w:hAnsi="仿宋_GB2312" w:eastAsia="仿宋_GB2312" w:cs="仿宋_GB2312"/>
                <w:spacing w:val="-8"/>
                <w:sz w:val="24"/>
                <w:szCs w:val="24"/>
                <w:lang w:val="en-US" w:eastAsia="zh-CN"/>
              </w:rPr>
            </w:pPr>
            <w:r>
              <w:rPr>
                <w:rFonts w:hint="eastAsia" w:ascii="仿宋_GB2312" w:hAnsi="仿宋_GB2312" w:eastAsia="仿宋_GB2312" w:cs="仿宋_GB2312"/>
                <w:spacing w:val="-8"/>
                <w:sz w:val="24"/>
                <w:szCs w:val="24"/>
                <w:lang w:val="en-US" w:eastAsia="zh-CN"/>
              </w:rPr>
              <w:t>37</w:t>
            </w:r>
          </w:p>
        </w:tc>
        <w:tc>
          <w:tcPr>
            <w:tcW w:w="2355" w:type="dxa"/>
            <w:shd w:val="clear" w:color="auto" w:fill="auto"/>
            <w:vAlign w:val="center"/>
          </w:tcPr>
          <w:p w14:paraId="06A4EB87">
            <w:pPr>
              <w:keepNext w:val="0"/>
              <w:keepLines w:val="0"/>
              <w:pageBreakBefore w:val="0"/>
              <w:widowControl w:val="0"/>
              <w:kinsoku/>
              <w:wordWrap/>
              <w:overflowPunct/>
              <w:topLinePunct w:val="0"/>
              <w:autoSpaceDE/>
              <w:autoSpaceDN/>
              <w:bidi w:val="0"/>
              <w:spacing w:before="68" w:line="320" w:lineRule="exact"/>
              <w:ind w:left="240" w:leftChars="100" w:right="127" w:rightChars="53" w:firstLine="0" w:firstLineChars="0"/>
              <w:jc w:val="center"/>
              <w:rPr>
                <w:rFonts w:hint="eastAsia" w:ascii="宋体" w:hAnsi="宋体" w:eastAsia="宋体" w:cs="宋体"/>
                <w:spacing w:val="-8"/>
                <w:kern w:val="2"/>
                <w:sz w:val="21"/>
                <w:szCs w:val="21"/>
                <w:lang w:val="en-US" w:eastAsia="zh-CN" w:bidi="ar-SA"/>
              </w:rPr>
            </w:pPr>
            <w:r>
              <w:rPr>
                <w:rFonts w:hint="eastAsia" w:ascii="宋体" w:hAnsi="宋体" w:eastAsia="宋体" w:cs="宋体"/>
                <w:spacing w:val="-8"/>
                <w:sz w:val="21"/>
                <w:szCs w:val="21"/>
                <w:lang w:val="en-US" w:eastAsia="zh-CN"/>
              </w:rPr>
              <w:t>对侵占、损毁或者擅自移动、改变大气环境质量监测设施等行为的行政处罚</w:t>
            </w:r>
          </w:p>
        </w:tc>
        <w:tc>
          <w:tcPr>
            <w:tcW w:w="1094" w:type="dxa"/>
            <w:shd w:val="clear" w:color="auto" w:fill="auto"/>
            <w:vAlign w:val="center"/>
          </w:tcPr>
          <w:p w14:paraId="79D0A020">
            <w:pPr>
              <w:keepNext w:val="0"/>
              <w:keepLines w:val="0"/>
              <w:pageBreakBefore w:val="0"/>
              <w:widowControl w:val="0"/>
              <w:kinsoku/>
              <w:wordWrap/>
              <w:overflowPunct/>
              <w:topLinePunct w:val="0"/>
              <w:autoSpaceDE/>
              <w:autoSpaceDN/>
              <w:bidi w:val="0"/>
              <w:spacing w:before="68" w:line="320" w:lineRule="exact"/>
              <w:ind w:left="0" w:leftChars="0" w:firstLine="0" w:firstLineChars="0"/>
              <w:jc w:val="center"/>
              <w:rPr>
                <w:rFonts w:hint="eastAsia" w:ascii="仿宋_GB2312" w:hAnsi="仿宋_GB2312" w:eastAsia="仿宋_GB2312" w:cs="仿宋_GB2312"/>
                <w:spacing w:val="-8"/>
                <w:kern w:val="2"/>
                <w:sz w:val="24"/>
                <w:szCs w:val="24"/>
                <w:lang w:val="en-US" w:eastAsia="zh-CN" w:bidi="ar-SA"/>
              </w:rPr>
            </w:pPr>
            <w:r>
              <w:rPr>
                <w:rFonts w:hint="eastAsia" w:ascii="仿宋_GB2312" w:hAnsi="仿宋_GB2312" w:eastAsia="仿宋_GB2312" w:cs="仿宋_GB2312"/>
                <w:spacing w:val="-8"/>
                <w:sz w:val="24"/>
                <w:szCs w:val="24"/>
                <w:lang w:val="en-US" w:eastAsia="zh-CN"/>
              </w:rPr>
              <w:t>行政处罚</w:t>
            </w:r>
          </w:p>
        </w:tc>
        <w:tc>
          <w:tcPr>
            <w:tcW w:w="8317" w:type="dxa"/>
            <w:shd w:val="clear" w:color="auto" w:fill="auto"/>
            <w:vAlign w:val="top"/>
          </w:tcPr>
          <w:p w14:paraId="0A0681CE">
            <w:pPr>
              <w:keepNext w:val="0"/>
              <w:keepLines w:val="0"/>
              <w:pageBreakBefore w:val="0"/>
              <w:widowControl w:val="0"/>
              <w:suppressLineNumbers w:val="0"/>
              <w:kinsoku/>
              <w:wordWrap/>
              <w:overflowPunct/>
              <w:topLinePunct w:val="0"/>
              <w:autoSpaceDE/>
              <w:autoSpaceDN/>
              <w:bidi w:val="0"/>
              <w:adjustRightInd/>
              <w:snapToGrid/>
              <w:spacing w:after="0" w:afterLines="-2147483648" w:line="320" w:lineRule="exact"/>
              <w:ind w:left="240" w:leftChars="100" w:firstLine="420" w:firstLineChars="200"/>
              <w:jc w:val="both"/>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中华人民共和国大气污染防治法》第一百条违反本法规定，有下列行为之一的，由县级以上人民政府生态环境主管部门责令改正，处二万元以上二十万元以下的罚款；拒不改正的，责令停产整治：（一）侵占、损毁或者擅自移动、改变大气环境质量监测设施或者大气污染物排放自动监测设备的；（二）未按照规定对所排放的工业废气和有毒有害大气污染物进行监测并保存原始监测记录的；（三）未按照规定安装、使用大气污染物排放自动监测设备或者未按照规定与环境保护主管部门的监控设备联网，并保证监测设备正常运行的；（四）重点排污单位不公开或者不如实公开自动监测数据的；（五）未按照规定设置大气污染物排放口的。</w:t>
            </w:r>
          </w:p>
          <w:p w14:paraId="4081231A">
            <w:pPr>
              <w:keepNext w:val="0"/>
              <w:keepLines w:val="0"/>
              <w:pageBreakBefore w:val="0"/>
              <w:widowControl w:val="0"/>
              <w:suppressLineNumbers w:val="0"/>
              <w:kinsoku/>
              <w:wordWrap/>
              <w:overflowPunct/>
              <w:topLinePunct w:val="0"/>
              <w:autoSpaceDE/>
              <w:autoSpaceDN/>
              <w:bidi w:val="0"/>
              <w:adjustRightInd/>
              <w:snapToGrid/>
              <w:spacing w:after="0" w:afterLines="-2147483648" w:line="320" w:lineRule="exact"/>
              <w:ind w:left="240" w:leftChars="100" w:firstLine="420" w:firstLineChars="200"/>
              <w:jc w:val="both"/>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排污许可管理办法（试行）》第三十四条排污单位应当按照排污许可证规定，安装或者使用符合国家有关环境监测、计量认证规定的监测设备，按照规定维护监测设施，开展自行监测，保存原始监测记录。实施排污许可重点管理的排污单位，应当按照排污许可证规定安装自动监测设备，并与环境保护主管部门的监控设备联网。对未采用污染防治可行技术的，应当加强自行监测，评估污染防治技术达标可行性。第五十六条违反本办法第三十四条，有下列行为之一的，由县级以上环境保护主管部门依据《中华人民共和国大气污染防治法》《中华人民共和国水污染防治法》的规定，责令改正，处二万元以上二十万元以下的罚款；拒不改正的，依法责令停产整治：（一）未按照规定对所排放的工业废气和有毒有害大气污染物、水污染物进行监测，或者未保存原始监测记录的；（二）未按照规定安装大气污染物、水污染物自动监测设备，或者未按照规定与环境保护主管部门的监控设备联网，或者未保证监测设备正常运行的。</w:t>
            </w:r>
          </w:p>
          <w:p w14:paraId="29EBB13B">
            <w:pPr>
              <w:keepNext w:val="0"/>
              <w:keepLines w:val="0"/>
              <w:pageBreakBefore w:val="0"/>
              <w:widowControl w:val="0"/>
              <w:suppressLineNumbers w:val="0"/>
              <w:kinsoku/>
              <w:wordWrap/>
              <w:overflowPunct/>
              <w:topLinePunct w:val="0"/>
              <w:autoSpaceDE/>
              <w:autoSpaceDN/>
              <w:bidi w:val="0"/>
              <w:adjustRightInd/>
              <w:snapToGrid/>
              <w:spacing w:after="0" w:afterLines="-2147483648" w:line="320" w:lineRule="exact"/>
              <w:ind w:left="240" w:leftChars="100" w:firstLine="420" w:firstLineChars="200"/>
              <w:jc w:val="both"/>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3.《陕西省大气污染防治条例（2019年修正）》第六十五条违反本条例第十四条第一款规定，未按照规定设置大气污染物排放口的，由县级生态环境行政主管部门责令限期改正，处二万元以上二十万元以下罚款；拒不改正的，责令停产整治。4.《陕西省大气污染防治条例（2019年修正）》第六十七条违反本条例第十九条规定，有下列行为之一的，由县级以上生态环境行政主管部门责令限期改正，处二万元以上二十万元以下的罚款；拒不改正的，责令停产整治：（一）未按照规定设置监测点位、采样平台或者安装自动监测设备的；（二）自动监测设备未按照规定与监控平台联网或者不能正常运行、传输数据的；（三）未按照规定公布污染物排放情况等环境信息的。</w:t>
            </w:r>
          </w:p>
        </w:tc>
        <w:tc>
          <w:tcPr>
            <w:tcW w:w="1129" w:type="dxa"/>
            <w:vAlign w:val="top"/>
          </w:tcPr>
          <w:p w14:paraId="5A5C1189">
            <w:pPr>
              <w:keepNext w:val="0"/>
              <w:keepLines w:val="0"/>
              <w:pageBreakBefore w:val="0"/>
              <w:widowControl w:val="0"/>
              <w:kinsoku/>
              <w:wordWrap/>
              <w:overflowPunct/>
              <w:topLinePunct w:val="0"/>
              <w:autoSpaceDE/>
              <w:autoSpaceDN/>
              <w:bidi w:val="0"/>
              <w:spacing w:line="320" w:lineRule="exact"/>
              <w:rPr>
                <w:rFonts w:ascii="宋体"/>
                <w:sz w:val="21"/>
              </w:rPr>
            </w:pPr>
          </w:p>
        </w:tc>
        <w:tc>
          <w:tcPr>
            <w:tcW w:w="990" w:type="dxa"/>
            <w:gridSpan w:val="2"/>
            <w:tcBorders>
              <w:right w:val="single" w:color="000000" w:sz="10" w:space="0"/>
            </w:tcBorders>
            <w:vAlign w:val="top"/>
          </w:tcPr>
          <w:p w14:paraId="30604857">
            <w:pPr>
              <w:keepNext w:val="0"/>
              <w:keepLines w:val="0"/>
              <w:pageBreakBefore w:val="0"/>
              <w:widowControl w:val="0"/>
              <w:kinsoku/>
              <w:wordWrap/>
              <w:overflowPunct/>
              <w:topLinePunct w:val="0"/>
              <w:autoSpaceDE/>
              <w:autoSpaceDN/>
              <w:bidi w:val="0"/>
              <w:spacing w:line="320" w:lineRule="exact"/>
              <w:rPr>
                <w:rFonts w:ascii="宋体"/>
                <w:sz w:val="21"/>
              </w:rPr>
            </w:pPr>
          </w:p>
        </w:tc>
      </w:tr>
      <w:tr w14:paraId="420D9F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6" w:hRule="atLeast"/>
        </w:trPr>
        <w:tc>
          <w:tcPr>
            <w:tcW w:w="557" w:type="dxa"/>
            <w:tcBorders>
              <w:left w:val="single" w:color="000000" w:sz="10" w:space="0"/>
            </w:tcBorders>
            <w:shd w:val="clear" w:color="auto" w:fill="auto"/>
            <w:vAlign w:val="center"/>
          </w:tcPr>
          <w:p w14:paraId="62F3D1B1">
            <w:pPr>
              <w:keepNext w:val="0"/>
              <w:keepLines w:val="0"/>
              <w:pageBreakBefore w:val="0"/>
              <w:widowControl w:val="0"/>
              <w:kinsoku/>
              <w:wordWrap/>
              <w:overflowPunct/>
              <w:topLinePunct w:val="0"/>
              <w:autoSpaceDE/>
              <w:autoSpaceDN/>
              <w:bidi w:val="0"/>
              <w:spacing w:before="68" w:line="320" w:lineRule="exact"/>
              <w:ind w:left="0" w:leftChars="0" w:firstLine="0" w:firstLineChars="0"/>
              <w:jc w:val="center"/>
              <w:rPr>
                <w:rFonts w:hint="eastAsia" w:ascii="仿宋_GB2312" w:hAnsi="仿宋_GB2312" w:eastAsia="仿宋_GB2312" w:cs="仿宋_GB2312"/>
                <w:spacing w:val="-8"/>
                <w:sz w:val="24"/>
                <w:szCs w:val="24"/>
                <w:lang w:val="en-US" w:eastAsia="zh-CN"/>
              </w:rPr>
            </w:pPr>
            <w:r>
              <w:rPr>
                <w:rFonts w:hint="eastAsia" w:ascii="仿宋_GB2312" w:hAnsi="仿宋_GB2312" w:eastAsia="仿宋_GB2312" w:cs="仿宋_GB2312"/>
                <w:spacing w:val="-8"/>
                <w:sz w:val="24"/>
                <w:szCs w:val="24"/>
                <w:lang w:val="en-US" w:eastAsia="zh-CN"/>
              </w:rPr>
              <w:t>38</w:t>
            </w:r>
          </w:p>
        </w:tc>
        <w:tc>
          <w:tcPr>
            <w:tcW w:w="2355" w:type="dxa"/>
            <w:shd w:val="clear" w:color="auto" w:fill="auto"/>
            <w:vAlign w:val="center"/>
          </w:tcPr>
          <w:p w14:paraId="7DA6372E">
            <w:pPr>
              <w:keepNext w:val="0"/>
              <w:keepLines w:val="0"/>
              <w:pageBreakBefore w:val="0"/>
              <w:widowControl w:val="0"/>
              <w:kinsoku/>
              <w:wordWrap/>
              <w:overflowPunct/>
              <w:topLinePunct w:val="0"/>
              <w:autoSpaceDE/>
              <w:autoSpaceDN/>
              <w:bidi w:val="0"/>
              <w:spacing w:before="68" w:line="320" w:lineRule="exact"/>
              <w:ind w:left="240" w:leftChars="100" w:right="127" w:rightChars="53" w:firstLine="0" w:firstLineChars="0"/>
              <w:jc w:val="center"/>
              <w:rPr>
                <w:rFonts w:hint="eastAsia" w:ascii="宋体" w:hAnsi="宋体" w:eastAsia="宋体" w:cs="宋体"/>
                <w:spacing w:val="-8"/>
                <w:kern w:val="2"/>
                <w:sz w:val="21"/>
                <w:szCs w:val="21"/>
                <w:lang w:val="en-US" w:eastAsia="zh-CN" w:bidi="ar-SA"/>
              </w:rPr>
            </w:pPr>
            <w:r>
              <w:rPr>
                <w:rFonts w:hint="eastAsia" w:ascii="宋体" w:hAnsi="宋体" w:eastAsia="宋体" w:cs="宋体"/>
                <w:spacing w:val="-8"/>
                <w:sz w:val="21"/>
                <w:szCs w:val="21"/>
                <w:lang w:val="en-US" w:eastAsia="zh-CN"/>
              </w:rPr>
              <w:t>对单位燃用不符合质量标准的煤炭、石油焦行为的行政处罚</w:t>
            </w:r>
          </w:p>
        </w:tc>
        <w:tc>
          <w:tcPr>
            <w:tcW w:w="1094" w:type="dxa"/>
            <w:shd w:val="clear" w:color="auto" w:fill="auto"/>
            <w:vAlign w:val="center"/>
          </w:tcPr>
          <w:p w14:paraId="1AF8C83A">
            <w:pPr>
              <w:keepNext w:val="0"/>
              <w:keepLines w:val="0"/>
              <w:pageBreakBefore w:val="0"/>
              <w:widowControl w:val="0"/>
              <w:kinsoku/>
              <w:wordWrap/>
              <w:overflowPunct/>
              <w:topLinePunct w:val="0"/>
              <w:autoSpaceDE/>
              <w:autoSpaceDN/>
              <w:bidi w:val="0"/>
              <w:spacing w:before="68" w:line="320" w:lineRule="exact"/>
              <w:ind w:left="0" w:leftChars="0" w:firstLine="0" w:firstLineChars="0"/>
              <w:jc w:val="center"/>
              <w:rPr>
                <w:rFonts w:hint="eastAsia" w:ascii="仿宋_GB2312" w:hAnsi="仿宋_GB2312" w:eastAsia="仿宋_GB2312" w:cs="仿宋_GB2312"/>
                <w:spacing w:val="-8"/>
                <w:kern w:val="2"/>
                <w:sz w:val="24"/>
                <w:szCs w:val="24"/>
                <w:lang w:val="en-US" w:eastAsia="zh-CN" w:bidi="ar-SA"/>
              </w:rPr>
            </w:pPr>
            <w:r>
              <w:rPr>
                <w:rFonts w:hint="eastAsia" w:ascii="仿宋_GB2312" w:hAnsi="仿宋_GB2312" w:eastAsia="仿宋_GB2312" w:cs="仿宋_GB2312"/>
                <w:spacing w:val="-8"/>
                <w:sz w:val="24"/>
                <w:szCs w:val="24"/>
                <w:lang w:val="en-US" w:eastAsia="zh-CN"/>
              </w:rPr>
              <w:t>行政处罚</w:t>
            </w:r>
          </w:p>
        </w:tc>
        <w:tc>
          <w:tcPr>
            <w:tcW w:w="8317" w:type="dxa"/>
            <w:shd w:val="clear" w:color="auto" w:fill="auto"/>
            <w:vAlign w:val="top"/>
          </w:tcPr>
          <w:p w14:paraId="3FD46962">
            <w:pPr>
              <w:keepNext w:val="0"/>
              <w:keepLines w:val="0"/>
              <w:pageBreakBefore w:val="0"/>
              <w:widowControl w:val="0"/>
              <w:suppressLineNumbers w:val="0"/>
              <w:kinsoku/>
              <w:wordWrap/>
              <w:overflowPunct/>
              <w:topLinePunct w:val="0"/>
              <w:autoSpaceDE/>
              <w:autoSpaceDN/>
              <w:bidi w:val="0"/>
              <w:adjustRightInd/>
              <w:snapToGrid/>
              <w:spacing w:after="0" w:afterLines="-2147483648" w:line="320" w:lineRule="exact"/>
              <w:ind w:left="240" w:leftChars="100" w:firstLine="420" w:firstLineChars="200"/>
              <w:jc w:val="both"/>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1.《中华人民共和国大气污染防治法》第一百零五条违反本法规定，单位燃用不符合质量标准的煤炭、石油焦的，由县级以上人民政府生态环境主管部门责令改正，处货值金额一倍以上三倍以下的罚款。</w:t>
            </w:r>
          </w:p>
        </w:tc>
        <w:tc>
          <w:tcPr>
            <w:tcW w:w="1129" w:type="dxa"/>
            <w:vAlign w:val="top"/>
          </w:tcPr>
          <w:p w14:paraId="631243C2">
            <w:pPr>
              <w:keepNext w:val="0"/>
              <w:keepLines w:val="0"/>
              <w:pageBreakBefore w:val="0"/>
              <w:widowControl w:val="0"/>
              <w:kinsoku/>
              <w:wordWrap/>
              <w:overflowPunct/>
              <w:topLinePunct w:val="0"/>
              <w:autoSpaceDE/>
              <w:autoSpaceDN/>
              <w:bidi w:val="0"/>
              <w:spacing w:line="320" w:lineRule="exact"/>
              <w:rPr>
                <w:rFonts w:ascii="宋体"/>
                <w:sz w:val="21"/>
              </w:rPr>
            </w:pPr>
          </w:p>
        </w:tc>
        <w:tc>
          <w:tcPr>
            <w:tcW w:w="990" w:type="dxa"/>
            <w:gridSpan w:val="2"/>
            <w:tcBorders>
              <w:right w:val="single" w:color="000000" w:sz="10" w:space="0"/>
            </w:tcBorders>
            <w:vAlign w:val="top"/>
          </w:tcPr>
          <w:p w14:paraId="6E6C50AF">
            <w:pPr>
              <w:keepNext w:val="0"/>
              <w:keepLines w:val="0"/>
              <w:pageBreakBefore w:val="0"/>
              <w:widowControl w:val="0"/>
              <w:kinsoku/>
              <w:wordWrap/>
              <w:overflowPunct/>
              <w:topLinePunct w:val="0"/>
              <w:autoSpaceDE/>
              <w:autoSpaceDN/>
              <w:bidi w:val="0"/>
              <w:spacing w:line="320" w:lineRule="exact"/>
              <w:rPr>
                <w:rFonts w:ascii="宋体"/>
                <w:sz w:val="21"/>
              </w:rPr>
            </w:pPr>
          </w:p>
        </w:tc>
      </w:tr>
      <w:tr w14:paraId="366611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6" w:hRule="atLeast"/>
        </w:trPr>
        <w:tc>
          <w:tcPr>
            <w:tcW w:w="557" w:type="dxa"/>
            <w:tcBorders>
              <w:left w:val="single" w:color="000000" w:sz="10" w:space="0"/>
            </w:tcBorders>
            <w:shd w:val="clear" w:color="auto" w:fill="auto"/>
            <w:vAlign w:val="center"/>
          </w:tcPr>
          <w:p w14:paraId="3FC47395">
            <w:pPr>
              <w:keepNext w:val="0"/>
              <w:keepLines w:val="0"/>
              <w:pageBreakBefore w:val="0"/>
              <w:widowControl w:val="0"/>
              <w:kinsoku/>
              <w:wordWrap/>
              <w:overflowPunct/>
              <w:topLinePunct w:val="0"/>
              <w:autoSpaceDE/>
              <w:autoSpaceDN/>
              <w:bidi w:val="0"/>
              <w:spacing w:before="68" w:line="320" w:lineRule="exact"/>
              <w:ind w:left="0" w:leftChars="0" w:firstLine="0" w:firstLineChars="0"/>
              <w:jc w:val="center"/>
              <w:rPr>
                <w:rFonts w:hint="eastAsia" w:ascii="仿宋_GB2312" w:hAnsi="仿宋_GB2312" w:eastAsia="仿宋_GB2312" w:cs="仿宋_GB2312"/>
                <w:spacing w:val="-8"/>
                <w:sz w:val="24"/>
                <w:szCs w:val="24"/>
                <w:lang w:val="en-US" w:eastAsia="zh-CN"/>
              </w:rPr>
            </w:pPr>
            <w:r>
              <w:rPr>
                <w:rFonts w:hint="eastAsia" w:ascii="仿宋_GB2312" w:hAnsi="仿宋_GB2312" w:eastAsia="仿宋_GB2312" w:cs="仿宋_GB2312"/>
                <w:spacing w:val="-8"/>
                <w:sz w:val="24"/>
                <w:szCs w:val="24"/>
                <w:lang w:val="en-US" w:eastAsia="zh-CN"/>
              </w:rPr>
              <w:t>39</w:t>
            </w:r>
          </w:p>
        </w:tc>
        <w:tc>
          <w:tcPr>
            <w:tcW w:w="2355" w:type="dxa"/>
            <w:shd w:val="clear" w:color="auto" w:fill="auto"/>
            <w:vAlign w:val="center"/>
          </w:tcPr>
          <w:p w14:paraId="42036FD7">
            <w:pPr>
              <w:keepNext w:val="0"/>
              <w:keepLines w:val="0"/>
              <w:pageBreakBefore w:val="0"/>
              <w:widowControl w:val="0"/>
              <w:kinsoku/>
              <w:wordWrap/>
              <w:overflowPunct/>
              <w:topLinePunct w:val="0"/>
              <w:autoSpaceDE/>
              <w:autoSpaceDN/>
              <w:bidi w:val="0"/>
              <w:spacing w:before="68" w:line="320" w:lineRule="exact"/>
              <w:ind w:left="240" w:leftChars="100" w:right="127" w:rightChars="53" w:firstLine="0" w:firstLineChars="0"/>
              <w:jc w:val="center"/>
              <w:rPr>
                <w:rFonts w:hint="eastAsia" w:ascii="宋体" w:hAnsi="宋体" w:eastAsia="宋体" w:cs="宋体"/>
                <w:spacing w:val="-8"/>
                <w:kern w:val="2"/>
                <w:sz w:val="21"/>
                <w:szCs w:val="21"/>
                <w:lang w:val="en-US" w:eastAsia="zh-CN" w:bidi="ar-SA"/>
              </w:rPr>
            </w:pPr>
            <w:r>
              <w:rPr>
                <w:rFonts w:hint="eastAsia" w:ascii="宋体" w:hAnsi="宋体" w:eastAsia="宋体" w:cs="宋体"/>
                <w:spacing w:val="-8"/>
                <w:sz w:val="21"/>
                <w:szCs w:val="21"/>
                <w:lang w:val="en-US" w:eastAsia="zh-CN"/>
              </w:rPr>
              <w:t>对在禁燃区内新、扩建燃用高污染燃料的设施等行为的行政处罚</w:t>
            </w:r>
          </w:p>
        </w:tc>
        <w:tc>
          <w:tcPr>
            <w:tcW w:w="1094" w:type="dxa"/>
            <w:shd w:val="clear" w:color="auto" w:fill="auto"/>
            <w:vAlign w:val="center"/>
          </w:tcPr>
          <w:p w14:paraId="72FD4EB7">
            <w:pPr>
              <w:keepNext w:val="0"/>
              <w:keepLines w:val="0"/>
              <w:pageBreakBefore w:val="0"/>
              <w:widowControl w:val="0"/>
              <w:kinsoku/>
              <w:wordWrap/>
              <w:overflowPunct/>
              <w:topLinePunct w:val="0"/>
              <w:autoSpaceDE/>
              <w:autoSpaceDN/>
              <w:bidi w:val="0"/>
              <w:spacing w:before="68" w:line="320" w:lineRule="exact"/>
              <w:ind w:left="0" w:leftChars="0" w:firstLine="0" w:firstLineChars="0"/>
              <w:jc w:val="center"/>
              <w:rPr>
                <w:rFonts w:hint="eastAsia" w:ascii="仿宋_GB2312" w:hAnsi="仿宋_GB2312" w:eastAsia="仿宋_GB2312" w:cs="仿宋_GB2312"/>
                <w:spacing w:val="-8"/>
                <w:kern w:val="2"/>
                <w:sz w:val="24"/>
                <w:szCs w:val="24"/>
                <w:lang w:val="en-US" w:eastAsia="zh-CN" w:bidi="ar-SA"/>
              </w:rPr>
            </w:pPr>
            <w:r>
              <w:rPr>
                <w:rFonts w:hint="eastAsia" w:ascii="仿宋_GB2312" w:hAnsi="仿宋_GB2312" w:eastAsia="仿宋_GB2312" w:cs="仿宋_GB2312"/>
                <w:spacing w:val="-8"/>
                <w:sz w:val="24"/>
                <w:szCs w:val="24"/>
                <w:lang w:val="en-US" w:eastAsia="zh-CN"/>
              </w:rPr>
              <w:t>行政处罚</w:t>
            </w:r>
          </w:p>
        </w:tc>
        <w:tc>
          <w:tcPr>
            <w:tcW w:w="8317" w:type="dxa"/>
            <w:shd w:val="clear" w:color="auto" w:fill="auto"/>
            <w:vAlign w:val="top"/>
          </w:tcPr>
          <w:p w14:paraId="596CE588">
            <w:pPr>
              <w:keepNext w:val="0"/>
              <w:keepLines w:val="0"/>
              <w:pageBreakBefore w:val="0"/>
              <w:widowControl w:val="0"/>
              <w:suppressLineNumbers w:val="0"/>
              <w:kinsoku/>
              <w:wordWrap/>
              <w:overflowPunct/>
              <w:topLinePunct w:val="0"/>
              <w:autoSpaceDE/>
              <w:autoSpaceDN/>
              <w:bidi w:val="0"/>
              <w:adjustRightInd/>
              <w:snapToGrid/>
              <w:spacing w:after="0" w:afterLines="-2147483648" w:line="320" w:lineRule="exact"/>
              <w:ind w:left="240" w:leftChars="100" w:firstLine="420" w:firstLineChars="200"/>
              <w:jc w:val="both"/>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中华人民共和国大气污染防治法》第一百零七条第一款违反本法规定，在禁燃区内新建、扩建燃用高污染燃料的设施，或者未按照规定停止燃用高污染燃料，或者在城市集中供热管网覆盖地区新建、扩建分散燃煤供热锅炉，或者未按照规定拆除已建成的不能达标排放的燃煤供热锅炉的，由县级以上地方人民政府生态环境主管部门没收燃用高污染燃料的设施，组织拆除燃煤供热锅炉，并处二万元以上二十万元以下的罚款。</w:t>
            </w:r>
          </w:p>
          <w:p w14:paraId="6327674A">
            <w:pPr>
              <w:keepNext w:val="0"/>
              <w:keepLines w:val="0"/>
              <w:pageBreakBefore w:val="0"/>
              <w:widowControl w:val="0"/>
              <w:suppressLineNumbers w:val="0"/>
              <w:kinsoku/>
              <w:wordWrap/>
              <w:overflowPunct/>
              <w:topLinePunct w:val="0"/>
              <w:autoSpaceDE/>
              <w:autoSpaceDN/>
              <w:bidi w:val="0"/>
              <w:adjustRightInd/>
              <w:snapToGrid/>
              <w:spacing w:after="0" w:afterLines="-2147483648" w:line="320" w:lineRule="exact"/>
              <w:ind w:left="240" w:leftChars="100" w:firstLine="420" w:firstLineChars="200"/>
              <w:jc w:val="both"/>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陕西省大气污染防治条例（2019年修正）》第六十八条违反本条例第二十八条第二款、第二十九条第二款规定，在禁燃区内新建、扩建燃用高污染燃料的设施，或者未按照规定停止燃用高污染燃料，或者在城市燃气管网和集中供热管网覆盖地区新建、扩建燃烧煤炭、重油、渣油的供热设施，或者未按照规定拆除已建成的不能达标排放的燃煤供热锅炉的，由县级生态环境行政主管部门没收燃用高污染燃料的设施，组织拆除燃煤供热锅炉，并处二万元以上二十万元以下的罚款。</w:t>
            </w:r>
          </w:p>
        </w:tc>
        <w:tc>
          <w:tcPr>
            <w:tcW w:w="1129" w:type="dxa"/>
            <w:vAlign w:val="top"/>
          </w:tcPr>
          <w:p w14:paraId="6DE60846">
            <w:pPr>
              <w:keepNext w:val="0"/>
              <w:keepLines w:val="0"/>
              <w:pageBreakBefore w:val="0"/>
              <w:widowControl w:val="0"/>
              <w:kinsoku/>
              <w:wordWrap/>
              <w:overflowPunct/>
              <w:topLinePunct w:val="0"/>
              <w:autoSpaceDE/>
              <w:autoSpaceDN/>
              <w:bidi w:val="0"/>
              <w:spacing w:line="320" w:lineRule="exact"/>
              <w:rPr>
                <w:rFonts w:ascii="宋体"/>
                <w:sz w:val="21"/>
              </w:rPr>
            </w:pPr>
          </w:p>
        </w:tc>
        <w:tc>
          <w:tcPr>
            <w:tcW w:w="990" w:type="dxa"/>
            <w:gridSpan w:val="2"/>
            <w:tcBorders>
              <w:right w:val="single" w:color="000000" w:sz="10" w:space="0"/>
            </w:tcBorders>
            <w:vAlign w:val="top"/>
          </w:tcPr>
          <w:p w14:paraId="16CEC3FA">
            <w:pPr>
              <w:keepNext w:val="0"/>
              <w:keepLines w:val="0"/>
              <w:pageBreakBefore w:val="0"/>
              <w:widowControl w:val="0"/>
              <w:kinsoku/>
              <w:wordWrap/>
              <w:overflowPunct/>
              <w:topLinePunct w:val="0"/>
              <w:autoSpaceDE/>
              <w:autoSpaceDN/>
              <w:bidi w:val="0"/>
              <w:spacing w:line="320" w:lineRule="exact"/>
              <w:rPr>
                <w:rFonts w:ascii="宋体"/>
                <w:sz w:val="21"/>
              </w:rPr>
            </w:pPr>
          </w:p>
        </w:tc>
      </w:tr>
      <w:tr w14:paraId="3D3484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6" w:hRule="atLeast"/>
        </w:trPr>
        <w:tc>
          <w:tcPr>
            <w:tcW w:w="557" w:type="dxa"/>
            <w:tcBorders>
              <w:left w:val="single" w:color="000000" w:sz="10" w:space="0"/>
            </w:tcBorders>
            <w:shd w:val="clear" w:color="auto" w:fill="auto"/>
            <w:vAlign w:val="center"/>
          </w:tcPr>
          <w:p w14:paraId="734D1297">
            <w:pPr>
              <w:keepNext w:val="0"/>
              <w:keepLines w:val="0"/>
              <w:pageBreakBefore w:val="0"/>
              <w:widowControl w:val="0"/>
              <w:kinsoku/>
              <w:wordWrap/>
              <w:overflowPunct/>
              <w:topLinePunct w:val="0"/>
              <w:autoSpaceDE/>
              <w:autoSpaceDN/>
              <w:bidi w:val="0"/>
              <w:spacing w:before="68" w:line="320" w:lineRule="exact"/>
              <w:ind w:left="0" w:leftChars="0" w:firstLine="0" w:firstLineChars="0"/>
              <w:jc w:val="center"/>
              <w:rPr>
                <w:rFonts w:hint="eastAsia" w:ascii="仿宋_GB2312" w:hAnsi="仿宋_GB2312" w:eastAsia="仿宋_GB2312" w:cs="仿宋_GB2312"/>
                <w:spacing w:val="-8"/>
                <w:sz w:val="24"/>
                <w:szCs w:val="24"/>
                <w:lang w:val="en-US" w:eastAsia="zh-CN"/>
              </w:rPr>
            </w:pPr>
            <w:r>
              <w:rPr>
                <w:rFonts w:hint="eastAsia" w:ascii="仿宋_GB2312" w:hAnsi="仿宋_GB2312" w:eastAsia="仿宋_GB2312" w:cs="仿宋_GB2312"/>
                <w:spacing w:val="-8"/>
                <w:sz w:val="24"/>
                <w:szCs w:val="24"/>
                <w:lang w:val="en-US" w:eastAsia="zh-CN"/>
              </w:rPr>
              <w:t>40</w:t>
            </w:r>
          </w:p>
        </w:tc>
        <w:tc>
          <w:tcPr>
            <w:tcW w:w="2355" w:type="dxa"/>
            <w:shd w:val="clear" w:color="auto" w:fill="auto"/>
            <w:vAlign w:val="center"/>
          </w:tcPr>
          <w:p w14:paraId="4228E132">
            <w:pPr>
              <w:keepNext w:val="0"/>
              <w:keepLines w:val="0"/>
              <w:pageBreakBefore w:val="0"/>
              <w:widowControl w:val="0"/>
              <w:kinsoku/>
              <w:wordWrap/>
              <w:overflowPunct/>
              <w:topLinePunct w:val="0"/>
              <w:autoSpaceDE/>
              <w:autoSpaceDN/>
              <w:bidi w:val="0"/>
              <w:spacing w:before="68" w:line="320" w:lineRule="exact"/>
              <w:ind w:left="240" w:leftChars="100" w:right="127" w:rightChars="53" w:firstLine="0" w:firstLineChars="0"/>
              <w:jc w:val="center"/>
              <w:rPr>
                <w:rFonts w:hint="eastAsia" w:ascii="宋体" w:hAnsi="宋体" w:eastAsia="宋体" w:cs="宋体"/>
                <w:spacing w:val="-8"/>
                <w:kern w:val="2"/>
                <w:sz w:val="21"/>
                <w:szCs w:val="21"/>
                <w:lang w:val="en-US" w:eastAsia="zh-CN" w:bidi="ar-SA"/>
              </w:rPr>
            </w:pPr>
            <w:r>
              <w:rPr>
                <w:rFonts w:hint="eastAsia" w:ascii="宋体" w:hAnsi="宋体" w:eastAsia="宋体" w:cs="宋体"/>
                <w:spacing w:val="-8"/>
                <w:sz w:val="21"/>
                <w:szCs w:val="21"/>
                <w:lang w:val="en-US" w:eastAsia="zh-CN"/>
              </w:rPr>
              <w:t>对生产、进口、销售或者使用不符合规定标准或者要求锅炉行为的行政处罚</w:t>
            </w:r>
          </w:p>
        </w:tc>
        <w:tc>
          <w:tcPr>
            <w:tcW w:w="1094" w:type="dxa"/>
            <w:shd w:val="clear" w:color="auto" w:fill="auto"/>
            <w:vAlign w:val="center"/>
          </w:tcPr>
          <w:p w14:paraId="6A363416">
            <w:pPr>
              <w:keepNext w:val="0"/>
              <w:keepLines w:val="0"/>
              <w:pageBreakBefore w:val="0"/>
              <w:widowControl w:val="0"/>
              <w:kinsoku/>
              <w:wordWrap/>
              <w:overflowPunct/>
              <w:topLinePunct w:val="0"/>
              <w:autoSpaceDE/>
              <w:autoSpaceDN/>
              <w:bidi w:val="0"/>
              <w:spacing w:before="68" w:line="320" w:lineRule="exact"/>
              <w:ind w:left="0" w:leftChars="0" w:firstLine="0" w:firstLineChars="0"/>
              <w:jc w:val="center"/>
              <w:rPr>
                <w:rFonts w:hint="eastAsia" w:ascii="仿宋_GB2312" w:hAnsi="仿宋_GB2312" w:eastAsia="仿宋_GB2312" w:cs="仿宋_GB2312"/>
                <w:spacing w:val="-8"/>
                <w:kern w:val="2"/>
                <w:sz w:val="24"/>
                <w:szCs w:val="24"/>
                <w:lang w:val="en-US" w:eastAsia="zh-CN" w:bidi="ar-SA"/>
              </w:rPr>
            </w:pPr>
            <w:r>
              <w:rPr>
                <w:rFonts w:hint="eastAsia" w:ascii="仿宋_GB2312" w:hAnsi="仿宋_GB2312" w:eastAsia="仿宋_GB2312" w:cs="仿宋_GB2312"/>
                <w:spacing w:val="-8"/>
                <w:sz w:val="24"/>
                <w:szCs w:val="24"/>
                <w:lang w:val="en-US" w:eastAsia="zh-CN"/>
              </w:rPr>
              <w:t>行政处罚</w:t>
            </w:r>
          </w:p>
        </w:tc>
        <w:tc>
          <w:tcPr>
            <w:tcW w:w="8317" w:type="dxa"/>
            <w:shd w:val="clear" w:color="auto" w:fill="auto"/>
            <w:vAlign w:val="top"/>
          </w:tcPr>
          <w:p w14:paraId="2CC98888">
            <w:pPr>
              <w:keepNext w:val="0"/>
              <w:keepLines w:val="0"/>
              <w:pageBreakBefore w:val="0"/>
              <w:widowControl w:val="0"/>
              <w:suppressLineNumbers w:val="0"/>
              <w:kinsoku/>
              <w:wordWrap/>
              <w:overflowPunct/>
              <w:topLinePunct w:val="0"/>
              <w:autoSpaceDE/>
              <w:autoSpaceDN/>
              <w:bidi w:val="0"/>
              <w:adjustRightInd/>
              <w:snapToGrid/>
              <w:spacing w:after="0" w:afterLines="-2147483648" w:line="320" w:lineRule="exact"/>
              <w:ind w:left="240" w:leftChars="100" w:firstLine="420" w:firstLineChars="200"/>
              <w:jc w:val="both"/>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中华人民共和国大气污染防治法》第一百零七条第二款违反本法规定，生产、进口、销售或者使用不符合规定标准或者要求的锅炉，由县级以上人民政府市场监督管理、生态环境主管部门责令改正，没收违法所得，并处二万元以上二十万元以下的罚款。</w:t>
            </w:r>
          </w:p>
        </w:tc>
        <w:tc>
          <w:tcPr>
            <w:tcW w:w="1129" w:type="dxa"/>
            <w:vAlign w:val="top"/>
          </w:tcPr>
          <w:p w14:paraId="04577BFD">
            <w:pPr>
              <w:keepNext w:val="0"/>
              <w:keepLines w:val="0"/>
              <w:pageBreakBefore w:val="0"/>
              <w:widowControl w:val="0"/>
              <w:kinsoku/>
              <w:wordWrap/>
              <w:overflowPunct/>
              <w:topLinePunct w:val="0"/>
              <w:autoSpaceDE/>
              <w:autoSpaceDN/>
              <w:bidi w:val="0"/>
              <w:spacing w:line="320" w:lineRule="exact"/>
              <w:rPr>
                <w:rFonts w:ascii="宋体"/>
                <w:sz w:val="21"/>
              </w:rPr>
            </w:pPr>
          </w:p>
        </w:tc>
        <w:tc>
          <w:tcPr>
            <w:tcW w:w="990" w:type="dxa"/>
            <w:gridSpan w:val="2"/>
            <w:tcBorders>
              <w:right w:val="single" w:color="000000" w:sz="10" w:space="0"/>
            </w:tcBorders>
            <w:vAlign w:val="top"/>
          </w:tcPr>
          <w:p w14:paraId="1025C5C8">
            <w:pPr>
              <w:keepNext w:val="0"/>
              <w:keepLines w:val="0"/>
              <w:pageBreakBefore w:val="0"/>
              <w:widowControl w:val="0"/>
              <w:kinsoku/>
              <w:wordWrap/>
              <w:overflowPunct/>
              <w:topLinePunct w:val="0"/>
              <w:autoSpaceDE/>
              <w:autoSpaceDN/>
              <w:bidi w:val="0"/>
              <w:spacing w:line="320" w:lineRule="exact"/>
              <w:rPr>
                <w:rFonts w:ascii="宋体"/>
                <w:sz w:val="21"/>
              </w:rPr>
            </w:pPr>
          </w:p>
        </w:tc>
      </w:tr>
      <w:tr w14:paraId="241C3B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6" w:hRule="atLeast"/>
        </w:trPr>
        <w:tc>
          <w:tcPr>
            <w:tcW w:w="557" w:type="dxa"/>
            <w:tcBorders>
              <w:left w:val="single" w:color="000000" w:sz="10" w:space="0"/>
            </w:tcBorders>
            <w:shd w:val="clear" w:color="auto" w:fill="auto"/>
            <w:vAlign w:val="center"/>
          </w:tcPr>
          <w:p w14:paraId="2D6316E4">
            <w:pPr>
              <w:keepNext w:val="0"/>
              <w:keepLines w:val="0"/>
              <w:pageBreakBefore w:val="0"/>
              <w:widowControl w:val="0"/>
              <w:kinsoku/>
              <w:wordWrap/>
              <w:overflowPunct/>
              <w:topLinePunct w:val="0"/>
              <w:autoSpaceDE/>
              <w:autoSpaceDN/>
              <w:bidi w:val="0"/>
              <w:spacing w:before="68" w:line="320" w:lineRule="exact"/>
              <w:ind w:left="0" w:leftChars="0" w:firstLine="0" w:firstLineChars="0"/>
              <w:jc w:val="center"/>
              <w:rPr>
                <w:rFonts w:hint="eastAsia" w:ascii="仿宋_GB2312" w:hAnsi="仿宋_GB2312" w:eastAsia="仿宋_GB2312" w:cs="仿宋_GB2312"/>
                <w:spacing w:val="-8"/>
                <w:sz w:val="24"/>
                <w:szCs w:val="24"/>
                <w:lang w:val="en-US" w:eastAsia="zh-CN"/>
              </w:rPr>
            </w:pPr>
            <w:r>
              <w:rPr>
                <w:rFonts w:hint="eastAsia" w:ascii="仿宋_GB2312" w:hAnsi="仿宋_GB2312" w:eastAsia="仿宋_GB2312" w:cs="仿宋_GB2312"/>
                <w:spacing w:val="-8"/>
                <w:sz w:val="24"/>
                <w:szCs w:val="24"/>
                <w:lang w:val="en-US" w:eastAsia="zh-CN"/>
              </w:rPr>
              <w:t>41</w:t>
            </w:r>
          </w:p>
        </w:tc>
        <w:tc>
          <w:tcPr>
            <w:tcW w:w="2355" w:type="dxa"/>
            <w:shd w:val="clear" w:color="auto" w:fill="auto"/>
            <w:vAlign w:val="center"/>
          </w:tcPr>
          <w:p w14:paraId="525E49C7">
            <w:pPr>
              <w:keepNext w:val="0"/>
              <w:keepLines w:val="0"/>
              <w:pageBreakBefore w:val="0"/>
              <w:widowControl w:val="0"/>
              <w:kinsoku/>
              <w:wordWrap/>
              <w:overflowPunct/>
              <w:topLinePunct w:val="0"/>
              <w:autoSpaceDE/>
              <w:autoSpaceDN/>
              <w:bidi w:val="0"/>
              <w:spacing w:before="68" w:line="320" w:lineRule="exact"/>
              <w:ind w:left="240" w:leftChars="100" w:right="127" w:rightChars="53" w:firstLine="0" w:firstLineChars="0"/>
              <w:jc w:val="center"/>
              <w:rPr>
                <w:rFonts w:hint="eastAsia" w:ascii="宋体" w:hAnsi="宋体" w:eastAsia="宋体" w:cs="宋体"/>
                <w:spacing w:val="-8"/>
                <w:kern w:val="2"/>
                <w:sz w:val="21"/>
                <w:szCs w:val="21"/>
                <w:lang w:val="en-US" w:eastAsia="zh-CN" w:bidi="ar-SA"/>
              </w:rPr>
            </w:pPr>
            <w:r>
              <w:rPr>
                <w:rFonts w:hint="eastAsia" w:ascii="宋体" w:hAnsi="宋体" w:eastAsia="宋体" w:cs="宋体"/>
                <w:spacing w:val="-8"/>
                <w:sz w:val="21"/>
                <w:szCs w:val="21"/>
                <w:lang w:val="en-US" w:eastAsia="zh-CN"/>
              </w:rPr>
              <w:t>对未按照规定配备除尘、脱硫、脱硝装置的行为的行政处罚</w:t>
            </w:r>
          </w:p>
        </w:tc>
        <w:tc>
          <w:tcPr>
            <w:tcW w:w="1094" w:type="dxa"/>
            <w:shd w:val="clear" w:color="auto" w:fill="auto"/>
            <w:vAlign w:val="center"/>
          </w:tcPr>
          <w:p w14:paraId="61E855EB">
            <w:pPr>
              <w:keepNext w:val="0"/>
              <w:keepLines w:val="0"/>
              <w:pageBreakBefore w:val="0"/>
              <w:widowControl w:val="0"/>
              <w:kinsoku/>
              <w:wordWrap/>
              <w:overflowPunct/>
              <w:topLinePunct w:val="0"/>
              <w:autoSpaceDE/>
              <w:autoSpaceDN/>
              <w:bidi w:val="0"/>
              <w:spacing w:before="68" w:line="320" w:lineRule="exact"/>
              <w:ind w:left="0" w:leftChars="0" w:firstLine="0" w:firstLineChars="0"/>
              <w:jc w:val="center"/>
              <w:rPr>
                <w:rFonts w:hint="eastAsia" w:ascii="仿宋_GB2312" w:hAnsi="仿宋_GB2312" w:eastAsia="仿宋_GB2312" w:cs="仿宋_GB2312"/>
                <w:spacing w:val="-8"/>
                <w:kern w:val="2"/>
                <w:sz w:val="24"/>
                <w:szCs w:val="24"/>
                <w:lang w:val="en-US" w:eastAsia="zh-CN" w:bidi="ar-SA"/>
              </w:rPr>
            </w:pPr>
            <w:r>
              <w:rPr>
                <w:rFonts w:hint="eastAsia" w:ascii="仿宋_GB2312" w:hAnsi="仿宋_GB2312" w:eastAsia="仿宋_GB2312" w:cs="仿宋_GB2312"/>
                <w:spacing w:val="-8"/>
                <w:sz w:val="24"/>
                <w:szCs w:val="24"/>
                <w:lang w:val="en-US" w:eastAsia="zh-CN"/>
              </w:rPr>
              <w:t>行政处罚</w:t>
            </w:r>
          </w:p>
        </w:tc>
        <w:tc>
          <w:tcPr>
            <w:tcW w:w="8317" w:type="dxa"/>
            <w:shd w:val="clear" w:color="auto" w:fill="auto"/>
            <w:vAlign w:val="top"/>
          </w:tcPr>
          <w:p w14:paraId="7AF6BC21">
            <w:pPr>
              <w:keepNext w:val="0"/>
              <w:keepLines w:val="0"/>
              <w:pageBreakBefore w:val="0"/>
              <w:widowControl w:val="0"/>
              <w:suppressLineNumbers w:val="0"/>
              <w:kinsoku/>
              <w:wordWrap/>
              <w:overflowPunct/>
              <w:topLinePunct w:val="0"/>
              <w:autoSpaceDE/>
              <w:autoSpaceDN/>
              <w:bidi w:val="0"/>
              <w:adjustRightInd/>
              <w:snapToGrid/>
              <w:spacing w:after="0" w:afterLines="-2147483648" w:line="320" w:lineRule="exact"/>
              <w:ind w:left="240" w:leftChars="100" w:firstLine="420" w:firstLineChars="200"/>
              <w:jc w:val="both"/>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陕西省大气污染防治条例（2019年修正）》第六十九条违反本条例第三十六条第一、二款规定，未按照规定配备除尘、脱硫、脱硝装置的，由县级以上生态环境行政主管部门责令限期改正，处十万元以上五十万元以下罚款。</w:t>
            </w:r>
          </w:p>
        </w:tc>
        <w:tc>
          <w:tcPr>
            <w:tcW w:w="1129" w:type="dxa"/>
            <w:vAlign w:val="top"/>
          </w:tcPr>
          <w:p w14:paraId="097379B5">
            <w:pPr>
              <w:keepNext w:val="0"/>
              <w:keepLines w:val="0"/>
              <w:pageBreakBefore w:val="0"/>
              <w:widowControl w:val="0"/>
              <w:kinsoku/>
              <w:wordWrap/>
              <w:overflowPunct/>
              <w:topLinePunct w:val="0"/>
              <w:autoSpaceDE/>
              <w:autoSpaceDN/>
              <w:bidi w:val="0"/>
              <w:spacing w:line="320" w:lineRule="exact"/>
              <w:rPr>
                <w:rFonts w:ascii="宋体"/>
                <w:sz w:val="21"/>
              </w:rPr>
            </w:pPr>
          </w:p>
        </w:tc>
        <w:tc>
          <w:tcPr>
            <w:tcW w:w="990" w:type="dxa"/>
            <w:gridSpan w:val="2"/>
            <w:tcBorders>
              <w:right w:val="single" w:color="000000" w:sz="10" w:space="0"/>
            </w:tcBorders>
            <w:vAlign w:val="top"/>
          </w:tcPr>
          <w:p w14:paraId="22ABDD53">
            <w:pPr>
              <w:keepNext w:val="0"/>
              <w:keepLines w:val="0"/>
              <w:pageBreakBefore w:val="0"/>
              <w:widowControl w:val="0"/>
              <w:kinsoku/>
              <w:wordWrap/>
              <w:overflowPunct/>
              <w:topLinePunct w:val="0"/>
              <w:autoSpaceDE/>
              <w:autoSpaceDN/>
              <w:bidi w:val="0"/>
              <w:spacing w:line="320" w:lineRule="exact"/>
              <w:rPr>
                <w:rFonts w:ascii="宋体"/>
                <w:sz w:val="21"/>
              </w:rPr>
            </w:pPr>
          </w:p>
        </w:tc>
      </w:tr>
      <w:tr w14:paraId="01A660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6" w:hRule="atLeast"/>
        </w:trPr>
        <w:tc>
          <w:tcPr>
            <w:tcW w:w="557" w:type="dxa"/>
            <w:tcBorders>
              <w:left w:val="single" w:color="000000" w:sz="10" w:space="0"/>
            </w:tcBorders>
            <w:shd w:val="clear" w:color="auto" w:fill="auto"/>
            <w:vAlign w:val="center"/>
          </w:tcPr>
          <w:p w14:paraId="6DDC0E7F">
            <w:pPr>
              <w:keepNext w:val="0"/>
              <w:keepLines w:val="0"/>
              <w:pageBreakBefore w:val="0"/>
              <w:widowControl w:val="0"/>
              <w:kinsoku/>
              <w:wordWrap/>
              <w:overflowPunct/>
              <w:topLinePunct w:val="0"/>
              <w:autoSpaceDE/>
              <w:autoSpaceDN/>
              <w:bidi w:val="0"/>
              <w:spacing w:before="68" w:line="320" w:lineRule="exact"/>
              <w:ind w:left="0" w:leftChars="0" w:firstLine="0" w:firstLineChars="0"/>
              <w:jc w:val="center"/>
              <w:rPr>
                <w:rFonts w:hint="eastAsia" w:ascii="仿宋_GB2312" w:hAnsi="仿宋_GB2312" w:eastAsia="仿宋_GB2312" w:cs="仿宋_GB2312"/>
                <w:spacing w:val="-8"/>
                <w:sz w:val="24"/>
                <w:szCs w:val="24"/>
                <w:lang w:val="en-US" w:eastAsia="zh-CN"/>
              </w:rPr>
            </w:pPr>
            <w:r>
              <w:rPr>
                <w:rFonts w:hint="eastAsia" w:ascii="仿宋_GB2312" w:hAnsi="仿宋_GB2312" w:eastAsia="仿宋_GB2312" w:cs="仿宋_GB2312"/>
                <w:spacing w:val="-8"/>
                <w:sz w:val="24"/>
                <w:szCs w:val="24"/>
                <w:lang w:val="en-US" w:eastAsia="zh-CN"/>
              </w:rPr>
              <w:t>42</w:t>
            </w:r>
          </w:p>
        </w:tc>
        <w:tc>
          <w:tcPr>
            <w:tcW w:w="2355" w:type="dxa"/>
            <w:shd w:val="clear" w:color="auto" w:fill="auto"/>
            <w:vAlign w:val="center"/>
          </w:tcPr>
          <w:p w14:paraId="4BCCD422">
            <w:pPr>
              <w:keepNext w:val="0"/>
              <w:keepLines w:val="0"/>
              <w:pageBreakBefore w:val="0"/>
              <w:widowControl w:val="0"/>
              <w:kinsoku/>
              <w:wordWrap/>
              <w:overflowPunct/>
              <w:topLinePunct w:val="0"/>
              <w:autoSpaceDE/>
              <w:autoSpaceDN/>
              <w:bidi w:val="0"/>
              <w:spacing w:before="68" w:line="320" w:lineRule="exact"/>
              <w:ind w:left="240" w:leftChars="100" w:right="127" w:rightChars="53" w:firstLine="0" w:firstLineChars="0"/>
              <w:jc w:val="center"/>
              <w:rPr>
                <w:rFonts w:hint="eastAsia" w:ascii="宋体" w:hAnsi="宋体" w:eastAsia="宋体" w:cs="宋体"/>
                <w:spacing w:val="-8"/>
                <w:kern w:val="2"/>
                <w:sz w:val="21"/>
                <w:szCs w:val="21"/>
                <w:lang w:val="en-US" w:eastAsia="zh-CN" w:bidi="ar-SA"/>
              </w:rPr>
            </w:pPr>
            <w:r>
              <w:rPr>
                <w:rFonts w:hint="eastAsia" w:ascii="宋体" w:hAnsi="宋体" w:eastAsia="宋体" w:cs="宋体"/>
                <w:spacing w:val="-8"/>
                <w:sz w:val="21"/>
                <w:szCs w:val="21"/>
                <w:lang w:val="en-US" w:eastAsia="zh-CN"/>
              </w:rPr>
              <w:t>对违反挥发性有机物治理相关规定行为的行政处罚</w:t>
            </w:r>
          </w:p>
        </w:tc>
        <w:tc>
          <w:tcPr>
            <w:tcW w:w="1094" w:type="dxa"/>
            <w:shd w:val="clear" w:color="auto" w:fill="auto"/>
            <w:vAlign w:val="center"/>
          </w:tcPr>
          <w:p w14:paraId="1099A7D8">
            <w:pPr>
              <w:keepNext w:val="0"/>
              <w:keepLines w:val="0"/>
              <w:pageBreakBefore w:val="0"/>
              <w:widowControl w:val="0"/>
              <w:kinsoku/>
              <w:wordWrap/>
              <w:overflowPunct/>
              <w:topLinePunct w:val="0"/>
              <w:autoSpaceDE/>
              <w:autoSpaceDN/>
              <w:bidi w:val="0"/>
              <w:spacing w:before="68" w:line="320" w:lineRule="exact"/>
              <w:ind w:left="0" w:leftChars="0" w:firstLine="0" w:firstLineChars="0"/>
              <w:jc w:val="center"/>
              <w:rPr>
                <w:rFonts w:hint="eastAsia" w:ascii="仿宋_GB2312" w:hAnsi="仿宋_GB2312" w:eastAsia="仿宋_GB2312" w:cs="仿宋_GB2312"/>
                <w:spacing w:val="-8"/>
                <w:kern w:val="2"/>
                <w:sz w:val="24"/>
                <w:szCs w:val="24"/>
                <w:lang w:val="en-US" w:eastAsia="zh-CN" w:bidi="ar-SA"/>
              </w:rPr>
            </w:pPr>
            <w:r>
              <w:rPr>
                <w:rFonts w:hint="eastAsia" w:ascii="仿宋_GB2312" w:hAnsi="仿宋_GB2312" w:eastAsia="仿宋_GB2312" w:cs="仿宋_GB2312"/>
                <w:spacing w:val="-8"/>
                <w:sz w:val="24"/>
                <w:szCs w:val="24"/>
                <w:lang w:val="en-US" w:eastAsia="zh-CN"/>
              </w:rPr>
              <w:t>行政处罚</w:t>
            </w:r>
          </w:p>
        </w:tc>
        <w:tc>
          <w:tcPr>
            <w:tcW w:w="8317" w:type="dxa"/>
            <w:shd w:val="clear" w:color="auto" w:fill="auto"/>
            <w:vAlign w:val="top"/>
          </w:tcPr>
          <w:p w14:paraId="67F87D6F">
            <w:pPr>
              <w:keepNext w:val="0"/>
              <w:keepLines w:val="0"/>
              <w:pageBreakBefore w:val="0"/>
              <w:widowControl w:val="0"/>
              <w:suppressLineNumbers w:val="0"/>
              <w:kinsoku/>
              <w:wordWrap/>
              <w:overflowPunct/>
              <w:topLinePunct w:val="0"/>
              <w:autoSpaceDE/>
              <w:autoSpaceDN/>
              <w:bidi w:val="0"/>
              <w:adjustRightInd/>
              <w:snapToGrid/>
              <w:spacing w:after="0" w:afterLines="-2147483648" w:line="320" w:lineRule="exact"/>
              <w:ind w:left="240" w:leftChars="100" w:firstLine="420" w:firstLineChars="200"/>
              <w:jc w:val="both"/>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中华人民共和国大气污染防治法》第一百零八条违反本法规定，有下列行为之一的，由县级以上人民政府生态环境主管部门责令改正，处二万元以上二十万元以下的罚款；拒不改正的，责令停产整治：（一）产生含挥发性有机物废气的生产和服务活动，未在密闭空间或者设备中进行，未按照规定安装、使用污染防治设施，或者未采取减少废气排放措施的；（二）工业涂装企业未使用低挥发性有机物含量涂料或者未建立、保存台账的；（三）石油、化工以及其他生产和使用有机溶剂的企业，未采取措施对管道、设备进行日常维护、维修，减少物料泄漏或者对泄漏的物料未及时收集处理的；（四）储油储气库、加油加气站和油罐车、气罐车等，未按照国家有关规定安装并正常使用油气回收装置的；（五）钢铁、建材、有色金属、石油、化工、制药、矿产开采等企业，未采取集中收集处理、密闭、围挡、遮盖、清扫、洒水等措施，控制、减少粉尘和气态污染物排放的；（六）工业生产、垃圾填埋或者其他活动中产生的可燃性气体未回收利用，不具备回收利用条件未进行防治污染处理，或者可燃性气体回收利用装置不能正常作业，未及时修复或者更新的。</w:t>
            </w:r>
          </w:p>
          <w:p w14:paraId="072B403F">
            <w:pPr>
              <w:keepNext w:val="0"/>
              <w:keepLines w:val="0"/>
              <w:pageBreakBefore w:val="0"/>
              <w:widowControl w:val="0"/>
              <w:suppressLineNumbers w:val="0"/>
              <w:kinsoku/>
              <w:wordWrap/>
              <w:overflowPunct/>
              <w:topLinePunct w:val="0"/>
              <w:autoSpaceDE/>
              <w:autoSpaceDN/>
              <w:bidi w:val="0"/>
              <w:adjustRightInd/>
              <w:snapToGrid/>
              <w:spacing w:after="0" w:afterLines="-2147483648" w:line="320" w:lineRule="exact"/>
              <w:ind w:left="240" w:leftChars="100" w:firstLine="420" w:firstLineChars="200"/>
              <w:jc w:val="both"/>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陕西省大气污染防治条例（2019年修正）》第七十一条违反本条例第五十三条第二、三、四款规定，生产经营单位未按规定要求作业的，由县级生态环境行政主管部门责令限期改正，处五万元以上三十万元以下罚款。第五十三条鼓励采用先进生产工艺、推广使用低毒、低挥发性的有机溶剂，支持非有机溶剂型涂料、农药、缓释肥料生产和使用，减少挥发性有机物排放。石化、有机化工、电子、装备制造、表面涂装、包装印刷、服装干洗等产生含挥发性有机物废气的生产经营单位，应当使用低挥发性有机物含量涂料或溶剂，在密闭环境中进行作业，安装使用污染治理设备和废气收集系统，保证其正常使用，记录原辅材料的挥发性有机物含量、使用量、废弃量，生产设施以及污染控制设备的主要操作参数、运行情况和保养维护等事项。禁止在居民住宅楼、商住综合楼内与居住层相邻的楼层新建、扩建服装干洗场所。生产、销售、使用可挥发性有机物的单位，应当建立泄漏检测与修复制度，及时收集处理泄漏物料。</w:t>
            </w:r>
          </w:p>
        </w:tc>
        <w:tc>
          <w:tcPr>
            <w:tcW w:w="1129" w:type="dxa"/>
            <w:vAlign w:val="top"/>
          </w:tcPr>
          <w:p w14:paraId="3F4963DD">
            <w:pPr>
              <w:keepNext w:val="0"/>
              <w:keepLines w:val="0"/>
              <w:pageBreakBefore w:val="0"/>
              <w:widowControl w:val="0"/>
              <w:kinsoku/>
              <w:wordWrap/>
              <w:overflowPunct/>
              <w:topLinePunct w:val="0"/>
              <w:autoSpaceDE/>
              <w:autoSpaceDN/>
              <w:bidi w:val="0"/>
              <w:spacing w:line="320" w:lineRule="exact"/>
              <w:rPr>
                <w:rFonts w:ascii="宋体"/>
                <w:sz w:val="21"/>
              </w:rPr>
            </w:pPr>
          </w:p>
        </w:tc>
        <w:tc>
          <w:tcPr>
            <w:tcW w:w="990" w:type="dxa"/>
            <w:gridSpan w:val="2"/>
            <w:tcBorders>
              <w:right w:val="single" w:color="000000" w:sz="10" w:space="0"/>
            </w:tcBorders>
            <w:vAlign w:val="top"/>
          </w:tcPr>
          <w:p w14:paraId="3B249F75">
            <w:pPr>
              <w:keepNext w:val="0"/>
              <w:keepLines w:val="0"/>
              <w:pageBreakBefore w:val="0"/>
              <w:widowControl w:val="0"/>
              <w:kinsoku/>
              <w:wordWrap/>
              <w:overflowPunct/>
              <w:topLinePunct w:val="0"/>
              <w:autoSpaceDE/>
              <w:autoSpaceDN/>
              <w:bidi w:val="0"/>
              <w:spacing w:line="320" w:lineRule="exact"/>
              <w:rPr>
                <w:rFonts w:ascii="宋体"/>
                <w:sz w:val="21"/>
              </w:rPr>
            </w:pPr>
          </w:p>
        </w:tc>
      </w:tr>
      <w:tr w14:paraId="22C83F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6" w:hRule="atLeast"/>
        </w:trPr>
        <w:tc>
          <w:tcPr>
            <w:tcW w:w="557" w:type="dxa"/>
            <w:tcBorders>
              <w:left w:val="single" w:color="000000" w:sz="10" w:space="0"/>
            </w:tcBorders>
            <w:shd w:val="clear" w:color="auto" w:fill="auto"/>
            <w:vAlign w:val="center"/>
          </w:tcPr>
          <w:p w14:paraId="2DAEDA1B">
            <w:pPr>
              <w:keepNext w:val="0"/>
              <w:keepLines w:val="0"/>
              <w:pageBreakBefore w:val="0"/>
              <w:widowControl w:val="0"/>
              <w:kinsoku/>
              <w:wordWrap/>
              <w:overflowPunct/>
              <w:topLinePunct w:val="0"/>
              <w:autoSpaceDE/>
              <w:autoSpaceDN/>
              <w:bidi w:val="0"/>
              <w:spacing w:before="68" w:line="320" w:lineRule="exact"/>
              <w:ind w:left="0" w:leftChars="0" w:firstLine="0" w:firstLineChars="0"/>
              <w:jc w:val="center"/>
              <w:rPr>
                <w:rFonts w:hint="eastAsia" w:ascii="仿宋_GB2312" w:hAnsi="仿宋_GB2312" w:eastAsia="仿宋_GB2312" w:cs="仿宋_GB2312"/>
                <w:spacing w:val="-8"/>
                <w:sz w:val="24"/>
                <w:szCs w:val="24"/>
                <w:lang w:val="en-US" w:eastAsia="zh-CN"/>
              </w:rPr>
            </w:pPr>
            <w:r>
              <w:rPr>
                <w:rFonts w:hint="eastAsia" w:ascii="仿宋_GB2312" w:hAnsi="仿宋_GB2312" w:eastAsia="仿宋_GB2312" w:cs="仿宋_GB2312"/>
                <w:spacing w:val="-8"/>
                <w:sz w:val="24"/>
                <w:szCs w:val="24"/>
                <w:lang w:val="en-US" w:eastAsia="zh-CN"/>
              </w:rPr>
              <w:t>43</w:t>
            </w:r>
          </w:p>
        </w:tc>
        <w:tc>
          <w:tcPr>
            <w:tcW w:w="2355" w:type="dxa"/>
            <w:shd w:val="clear" w:color="auto" w:fill="auto"/>
            <w:vAlign w:val="center"/>
          </w:tcPr>
          <w:p w14:paraId="4735D05E">
            <w:pPr>
              <w:keepNext w:val="0"/>
              <w:keepLines w:val="0"/>
              <w:pageBreakBefore w:val="0"/>
              <w:widowControl w:val="0"/>
              <w:kinsoku/>
              <w:wordWrap/>
              <w:overflowPunct/>
              <w:topLinePunct w:val="0"/>
              <w:autoSpaceDE/>
              <w:autoSpaceDN/>
              <w:bidi w:val="0"/>
              <w:spacing w:before="68" w:line="320" w:lineRule="exact"/>
              <w:ind w:left="240" w:leftChars="100" w:right="127" w:rightChars="53" w:firstLine="0" w:firstLineChars="0"/>
              <w:jc w:val="center"/>
              <w:rPr>
                <w:rFonts w:hint="eastAsia" w:ascii="宋体" w:hAnsi="宋体" w:eastAsia="宋体" w:cs="宋体"/>
                <w:spacing w:val="-8"/>
                <w:kern w:val="2"/>
                <w:sz w:val="21"/>
                <w:szCs w:val="21"/>
                <w:lang w:val="en-US" w:eastAsia="zh-CN" w:bidi="ar-SA"/>
              </w:rPr>
            </w:pPr>
            <w:r>
              <w:rPr>
                <w:rFonts w:hint="eastAsia" w:ascii="宋体" w:hAnsi="宋体" w:eastAsia="宋体" w:cs="宋体"/>
                <w:spacing w:val="-8"/>
                <w:sz w:val="21"/>
                <w:szCs w:val="21"/>
                <w:lang w:val="en-US" w:eastAsia="zh-CN"/>
              </w:rPr>
              <w:t>对生产超过污染物排放标准的机动车、非道路移动机械行为的行政处罚</w:t>
            </w:r>
          </w:p>
        </w:tc>
        <w:tc>
          <w:tcPr>
            <w:tcW w:w="1094" w:type="dxa"/>
            <w:shd w:val="clear" w:color="auto" w:fill="auto"/>
            <w:vAlign w:val="center"/>
          </w:tcPr>
          <w:p w14:paraId="29E27CA6">
            <w:pPr>
              <w:keepNext w:val="0"/>
              <w:keepLines w:val="0"/>
              <w:pageBreakBefore w:val="0"/>
              <w:widowControl w:val="0"/>
              <w:kinsoku/>
              <w:wordWrap/>
              <w:overflowPunct/>
              <w:topLinePunct w:val="0"/>
              <w:autoSpaceDE/>
              <w:autoSpaceDN/>
              <w:bidi w:val="0"/>
              <w:spacing w:before="68" w:line="320" w:lineRule="exact"/>
              <w:ind w:left="0" w:leftChars="0" w:firstLine="0" w:firstLineChars="0"/>
              <w:jc w:val="center"/>
              <w:rPr>
                <w:rFonts w:hint="eastAsia" w:ascii="仿宋_GB2312" w:hAnsi="仿宋_GB2312" w:eastAsia="仿宋_GB2312" w:cs="仿宋_GB2312"/>
                <w:spacing w:val="-8"/>
                <w:kern w:val="2"/>
                <w:sz w:val="24"/>
                <w:szCs w:val="24"/>
                <w:lang w:val="en-US" w:eastAsia="zh-CN" w:bidi="ar-SA"/>
              </w:rPr>
            </w:pPr>
            <w:r>
              <w:rPr>
                <w:rFonts w:hint="eastAsia" w:ascii="仿宋_GB2312" w:hAnsi="仿宋_GB2312" w:eastAsia="仿宋_GB2312" w:cs="仿宋_GB2312"/>
                <w:spacing w:val="-8"/>
                <w:sz w:val="24"/>
                <w:szCs w:val="24"/>
                <w:lang w:val="en-US" w:eastAsia="zh-CN"/>
              </w:rPr>
              <w:t>行政处罚</w:t>
            </w:r>
          </w:p>
        </w:tc>
        <w:tc>
          <w:tcPr>
            <w:tcW w:w="8317" w:type="dxa"/>
            <w:shd w:val="clear" w:color="auto" w:fill="auto"/>
            <w:vAlign w:val="top"/>
          </w:tcPr>
          <w:p w14:paraId="37FEDFCD">
            <w:pPr>
              <w:keepNext w:val="0"/>
              <w:keepLines w:val="0"/>
              <w:pageBreakBefore w:val="0"/>
              <w:widowControl w:val="0"/>
              <w:suppressLineNumbers w:val="0"/>
              <w:kinsoku/>
              <w:wordWrap/>
              <w:overflowPunct/>
              <w:topLinePunct w:val="0"/>
              <w:autoSpaceDE/>
              <w:autoSpaceDN/>
              <w:bidi w:val="0"/>
              <w:adjustRightInd/>
              <w:snapToGrid/>
              <w:spacing w:after="0" w:afterLines="-2147483648" w:line="320" w:lineRule="exact"/>
              <w:ind w:left="240" w:leftChars="100" w:firstLine="420" w:firstLineChars="200"/>
              <w:jc w:val="both"/>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中华人民共和国大气污染防治法》第一百零九条第一款违反本法规定，生产超过污染物排放标准的机动车、非道路移动机械的，由省级以上人民政府生态环境主管部门责令改正，没收违法所得，并处货值金额一倍以上三倍以下的罚款，没收销毁无法达到污染物排放标准的机动车、非道路移动机械；拒不改正的，责令停产整治，并由国务院机动车生产主管部门责令停止生产该车型。</w:t>
            </w:r>
          </w:p>
        </w:tc>
        <w:tc>
          <w:tcPr>
            <w:tcW w:w="1129" w:type="dxa"/>
            <w:vAlign w:val="top"/>
          </w:tcPr>
          <w:p w14:paraId="4AC492B8">
            <w:pPr>
              <w:keepNext w:val="0"/>
              <w:keepLines w:val="0"/>
              <w:pageBreakBefore w:val="0"/>
              <w:widowControl w:val="0"/>
              <w:kinsoku/>
              <w:wordWrap/>
              <w:overflowPunct/>
              <w:topLinePunct w:val="0"/>
              <w:autoSpaceDE/>
              <w:autoSpaceDN/>
              <w:bidi w:val="0"/>
              <w:spacing w:line="320" w:lineRule="exact"/>
              <w:rPr>
                <w:rFonts w:ascii="宋体"/>
                <w:sz w:val="21"/>
              </w:rPr>
            </w:pPr>
          </w:p>
        </w:tc>
        <w:tc>
          <w:tcPr>
            <w:tcW w:w="990" w:type="dxa"/>
            <w:gridSpan w:val="2"/>
            <w:tcBorders>
              <w:right w:val="single" w:color="000000" w:sz="10" w:space="0"/>
            </w:tcBorders>
            <w:vAlign w:val="top"/>
          </w:tcPr>
          <w:p w14:paraId="1487ADC3">
            <w:pPr>
              <w:keepNext w:val="0"/>
              <w:keepLines w:val="0"/>
              <w:pageBreakBefore w:val="0"/>
              <w:widowControl w:val="0"/>
              <w:kinsoku/>
              <w:wordWrap/>
              <w:overflowPunct/>
              <w:topLinePunct w:val="0"/>
              <w:autoSpaceDE/>
              <w:autoSpaceDN/>
              <w:bidi w:val="0"/>
              <w:spacing w:line="320" w:lineRule="exact"/>
              <w:rPr>
                <w:rFonts w:ascii="宋体"/>
                <w:sz w:val="21"/>
              </w:rPr>
            </w:pPr>
          </w:p>
        </w:tc>
      </w:tr>
      <w:tr w14:paraId="4BBEF4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6" w:hRule="atLeast"/>
        </w:trPr>
        <w:tc>
          <w:tcPr>
            <w:tcW w:w="557" w:type="dxa"/>
            <w:tcBorders>
              <w:left w:val="single" w:color="000000" w:sz="10" w:space="0"/>
            </w:tcBorders>
            <w:shd w:val="clear" w:color="auto" w:fill="auto"/>
            <w:vAlign w:val="center"/>
          </w:tcPr>
          <w:p w14:paraId="50EE87DB">
            <w:pPr>
              <w:keepNext w:val="0"/>
              <w:keepLines w:val="0"/>
              <w:pageBreakBefore w:val="0"/>
              <w:widowControl w:val="0"/>
              <w:kinsoku/>
              <w:wordWrap/>
              <w:overflowPunct/>
              <w:topLinePunct w:val="0"/>
              <w:autoSpaceDE/>
              <w:autoSpaceDN/>
              <w:bidi w:val="0"/>
              <w:spacing w:before="68" w:line="320" w:lineRule="exact"/>
              <w:ind w:left="0" w:leftChars="0" w:firstLine="0" w:firstLineChars="0"/>
              <w:jc w:val="center"/>
              <w:rPr>
                <w:rFonts w:hint="eastAsia" w:ascii="仿宋_GB2312" w:hAnsi="仿宋_GB2312" w:eastAsia="仿宋_GB2312" w:cs="仿宋_GB2312"/>
                <w:spacing w:val="-8"/>
                <w:sz w:val="24"/>
                <w:szCs w:val="24"/>
                <w:lang w:val="en-US" w:eastAsia="zh-CN"/>
              </w:rPr>
            </w:pPr>
            <w:r>
              <w:rPr>
                <w:rFonts w:hint="eastAsia" w:ascii="仿宋_GB2312" w:hAnsi="仿宋_GB2312" w:eastAsia="仿宋_GB2312" w:cs="仿宋_GB2312"/>
                <w:spacing w:val="-8"/>
                <w:sz w:val="24"/>
                <w:szCs w:val="24"/>
                <w:lang w:val="en-US" w:eastAsia="zh-CN"/>
              </w:rPr>
              <w:t>44</w:t>
            </w:r>
          </w:p>
        </w:tc>
        <w:tc>
          <w:tcPr>
            <w:tcW w:w="2355" w:type="dxa"/>
            <w:shd w:val="clear" w:color="auto" w:fill="auto"/>
            <w:vAlign w:val="center"/>
          </w:tcPr>
          <w:p w14:paraId="4D794A94">
            <w:pPr>
              <w:keepNext w:val="0"/>
              <w:keepLines w:val="0"/>
              <w:pageBreakBefore w:val="0"/>
              <w:widowControl w:val="0"/>
              <w:kinsoku/>
              <w:wordWrap/>
              <w:overflowPunct/>
              <w:topLinePunct w:val="0"/>
              <w:autoSpaceDE/>
              <w:autoSpaceDN/>
              <w:bidi w:val="0"/>
              <w:spacing w:before="68" w:line="320" w:lineRule="exact"/>
              <w:ind w:left="240" w:leftChars="100" w:right="127" w:rightChars="53" w:firstLine="0" w:firstLineChars="0"/>
              <w:jc w:val="center"/>
              <w:rPr>
                <w:rFonts w:hint="eastAsia" w:ascii="宋体" w:hAnsi="宋体" w:eastAsia="宋体" w:cs="宋体"/>
                <w:spacing w:val="-8"/>
                <w:kern w:val="2"/>
                <w:sz w:val="21"/>
                <w:szCs w:val="21"/>
                <w:lang w:val="en-US" w:eastAsia="zh-CN" w:bidi="ar-SA"/>
              </w:rPr>
            </w:pPr>
            <w:r>
              <w:rPr>
                <w:rFonts w:hint="eastAsia" w:ascii="宋体" w:hAnsi="宋体" w:eastAsia="宋体" w:cs="宋体"/>
                <w:spacing w:val="-8"/>
                <w:sz w:val="21"/>
                <w:szCs w:val="21"/>
                <w:lang w:val="en-US" w:eastAsia="zh-CN"/>
              </w:rPr>
              <w:t>对机动车、非道路移动机械生产企业对发动机、污染控制装置弄虚作假、以次充好等行为的行政处罚</w:t>
            </w:r>
          </w:p>
        </w:tc>
        <w:tc>
          <w:tcPr>
            <w:tcW w:w="1094" w:type="dxa"/>
            <w:shd w:val="clear" w:color="auto" w:fill="auto"/>
            <w:vAlign w:val="center"/>
          </w:tcPr>
          <w:p w14:paraId="4EDD5832">
            <w:pPr>
              <w:keepNext w:val="0"/>
              <w:keepLines w:val="0"/>
              <w:pageBreakBefore w:val="0"/>
              <w:widowControl w:val="0"/>
              <w:kinsoku/>
              <w:wordWrap/>
              <w:overflowPunct/>
              <w:topLinePunct w:val="0"/>
              <w:autoSpaceDE/>
              <w:autoSpaceDN/>
              <w:bidi w:val="0"/>
              <w:spacing w:before="68" w:line="320" w:lineRule="exact"/>
              <w:ind w:left="0" w:leftChars="0" w:firstLine="0" w:firstLineChars="0"/>
              <w:jc w:val="center"/>
              <w:rPr>
                <w:rFonts w:hint="eastAsia" w:ascii="仿宋_GB2312" w:hAnsi="仿宋_GB2312" w:eastAsia="仿宋_GB2312" w:cs="仿宋_GB2312"/>
                <w:spacing w:val="-8"/>
                <w:kern w:val="2"/>
                <w:sz w:val="24"/>
                <w:szCs w:val="24"/>
                <w:lang w:val="en-US" w:eastAsia="zh-CN" w:bidi="ar-SA"/>
              </w:rPr>
            </w:pPr>
            <w:r>
              <w:rPr>
                <w:rFonts w:hint="eastAsia" w:ascii="仿宋_GB2312" w:hAnsi="仿宋_GB2312" w:eastAsia="仿宋_GB2312" w:cs="仿宋_GB2312"/>
                <w:spacing w:val="-8"/>
                <w:sz w:val="24"/>
                <w:szCs w:val="24"/>
                <w:lang w:val="en-US" w:eastAsia="zh-CN"/>
              </w:rPr>
              <w:t>行政处罚</w:t>
            </w:r>
          </w:p>
        </w:tc>
        <w:tc>
          <w:tcPr>
            <w:tcW w:w="8317" w:type="dxa"/>
            <w:shd w:val="clear" w:color="auto" w:fill="auto"/>
            <w:vAlign w:val="top"/>
          </w:tcPr>
          <w:p w14:paraId="10709695">
            <w:pPr>
              <w:keepNext w:val="0"/>
              <w:keepLines w:val="0"/>
              <w:pageBreakBefore w:val="0"/>
              <w:widowControl w:val="0"/>
              <w:suppressLineNumbers w:val="0"/>
              <w:kinsoku/>
              <w:wordWrap/>
              <w:overflowPunct/>
              <w:topLinePunct w:val="0"/>
              <w:autoSpaceDE/>
              <w:autoSpaceDN/>
              <w:bidi w:val="0"/>
              <w:adjustRightInd/>
              <w:snapToGrid/>
              <w:spacing w:after="0" w:afterLines="-2147483648" w:line="320" w:lineRule="exact"/>
              <w:ind w:left="240" w:leftChars="100" w:firstLine="420" w:firstLineChars="200"/>
              <w:jc w:val="both"/>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中华人民共和国大气污染防治法》第一百零九条第二款违反本法规定，机动车、非道路移动机械生产企业对发动机、污染控制装置弄虚作假、以次充好，冒充排放检验合格产品出厂销售的，由省级以上人民政府生态环境主管部门责令停产整治，没收违法所得，并处货值金额一倍以上三倍以下的罚款，没收销毁无法达到污染物排放标准的机动车、非道路移动机械，并由国务院机动车生产主管部门责令停止生产该车型。</w:t>
            </w:r>
          </w:p>
        </w:tc>
        <w:tc>
          <w:tcPr>
            <w:tcW w:w="1129" w:type="dxa"/>
            <w:vAlign w:val="top"/>
          </w:tcPr>
          <w:p w14:paraId="68316429">
            <w:pPr>
              <w:keepNext w:val="0"/>
              <w:keepLines w:val="0"/>
              <w:pageBreakBefore w:val="0"/>
              <w:widowControl w:val="0"/>
              <w:kinsoku/>
              <w:wordWrap/>
              <w:overflowPunct/>
              <w:topLinePunct w:val="0"/>
              <w:autoSpaceDE/>
              <w:autoSpaceDN/>
              <w:bidi w:val="0"/>
              <w:spacing w:line="320" w:lineRule="exact"/>
              <w:rPr>
                <w:rFonts w:ascii="宋体"/>
                <w:sz w:val="21"/>
              </w:rPr>
            </w:pPr>
          </w:p>
        </w:tc>
        <w:tc>
          <w:tcPr>
            <w:tcW w:w="990" w:type="dxa"/>
            <w:gridSpan w:val="2"/>
            <w:tcBorders>
              <w:right w:val="single" w:color="000000" w:sz="10" w:space="0"/>
            </w:tcBorders>
            <w:vAlign w:val="top"/>
          </w:tcPr>
          <w:p w14:paraId="221BAF61">
            <w:pPr>
              <w:keepNext w:val="0"/>
              <w:keepLines w:val="0"/>
              <w:pageBreakBefore w:val="0"/>
              <w:widowControl w:val="0"/>
              <w:kinsoku/>
              <w:wordWrap/>
              <w:overflowPunct/>
              <w:topLinePunct w:val="0"/>
              <w:autoSpaceDE/>
              <w:autoSpaceDN/>
              <w:bidi w:val="0"/>
              <w:spacing w:line="320" w:lineRule="exact"/>
              <w:rPr>
                <w:rFonts w:ascii="宋体"/>
                <w:sz w:val="21"/>
              </w:rPr>
            </w:pPr>
          </w:p>
        </w:tc>
      </w:tr>
      <w:tr w14:paraId="305EF2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67" w:hRule="atLeast"/>
        </w:trPr>
        <w:tc>
          <w:tcPr>
            <w:tcW w:w="557" w:type="dxa"/>
            <w:tcBorders>
              <w:left w:val="single" w:color="000000" w:sz="10" w:space="0"/>
            </w:tcBorders>
            <w:shd w:val="clear" w:color="auto" w:fill="auto"/>
            <w:vAlign w:val="center"/>
          </w:tcPr>
          <w:p w14:paraId="525C77D5">
            <w:pPr>
              <w:keepNext w:val="0"/>
              <w:keepLines w:val="0"/>
              <w:pageBreakBefore w:val="0"/>
              <w:widowControl w:val="0"/>
              <w:kinsoku/>
              <w:wordWrap/>
              <w:overflowPunct/>
              <w:topLinePunct w:val="0"/>
              <w:autoSpaceDE/>
              <w:autoSpaceDN/>
              <w:bidi w:val="0"/>
              <w:spacing w:before="68" w:line="320" w:lineRule="exact"/>
              <w:ind w:left="0" w:leftChars="0" w:firstLine="0" w:firstLineChars="0"/>
              <w:jc w:val="center"/>
              <w:rPr>
                <w:rFonts w:hint="eastAsia" w:ascii="仿宋_GB2312" w:hAnsi="仿宋_GB2312" w:eastAsia="仿宋_GB2312" w:cs="仿宋_GB2312"/>
                <w:spacing w:val="-8"/>
                <w:sz w:val="24"/>
                <w:szCs w:val="24"/>
                <w:lang w:val="en-US" w:eastAsia="zh-CN"/>
              </w:rPr>
            </w:pPr>
            <w:r>
              <w:rPr>
                <w:rFonts w:hint="eastAsia" w:ascii="仿宋_GB2312" w:hAnsi="仿宋_GB2312" w:eastAsia="仿宋_GB2312" w:cs="仿宋_GB2312"/>
                <w:spacing w:val="-8"/>
                <w:sz w:val="24"/>
                <w:szCs w:val="24"/>
                <w:lang w:val="en-US" w:eastAsia="zh-CN"/>
              </w:rPr>
              <w:t>45</w:t>
            </w:r>
          </w:p>
        </w:tc>
        <w:tc>
          <w:tcPr>
            <w:tcW w:w="2355" w:type="dxa"/>
            <w:shd w:val="clear" w:color="auto" w:fill="auto"/>
            <w:vAlign w:val="center"/>
          </w:tcPr>
          <w:p w14:paraId="5E0FE589">
            <w:pPr>
              <w:keepNext w:val="0"/>
              <w:keepLines w:val="0"/>
              <w:pageBreakBefore w:val="0"/>
              <w:widowControl w:val="0"/>
              <w:kinsoku/>
              <w:wordWrap/>
              <w:overflowPunct/>
              <w:topLinePunct w:val="0"/>
              <w:autoSpaceDE/>
              <w:autoSpaceDN/>
              <w:bidi w:val="0"/>
              <w:spacing w:before="68" w:line="320" w:lineRule="exact"/>
              <w:ind w:left="240" w:leftChars="100" w:right="127" w:rightChars="53" w:firstLine="0" w:firstLineChars="0"/>
              <w:jc w:val="center"/>
              <w:rPr>
                <w:rFonts w:hint="eastAsia" w:ascii="宋体" w:hAnsi="宋体" w:eastAsia="宋体" w:cs="宋体"/>
                <w:spacing w:val="-8"/>
                <w:kern w:val="2"/>
                <w:sz w:val="21"/>
                <w:szCs w:val="21"/>
                <w:lang w:val="en-US" w:eastAsia="zh-CN" w:bidi="ar-SA"/>
              </w:rPr>
            </w:pPr>
            <w:r>
              <w:rPr>
                <w:rFonts w:hint="eastAsia" w:ascii="宋体" w:hAnsi="宋体" w:eastAsia="宋体" w:cs="宋体"/>
                <w:spacing w:val="-8"/>
                <w:sz w:val="21"/>
                <w:szCs w:val="21"/>
                <w:lang w:val="en-US" w:eastAsia="zh-CN"/>
              </w:rPr>
              <w:t>对机动车生产、进口企业未按照规定向社会公布其生产、进口机动车车型的排放检验信息或者污染控制技术信息等行为的行政处罚</w:t>
            </w:r>
          </w:p>
        </w:tc>
        <w:tc>
          <w:tcPr>
            <w:tcW w:w="1094" w:type="dxa"/>
            <w:shd w:val="clear" w:color="auto" w:fill="auto"/>
            <w:vAlign w:val="center"/>
          </w:tcPr>
          <w:p w14:paraId="77825DBA">
            <w:pPr>
              <w:keepNext w:val="0"/>
              <w:keepLines w:val="0"/>
              <w:pageBreakBefore w:val="0"/>
              <w:widowControl w:val="0"/>
              <w:kinsoku/>
              <w:wordWrap/>
              <w:overflowPunct/>
              <w:topLinePunct w:val="0"/>
              <w:autoSpaceDE/>
              <w:autoSpaceDN/>
              <w:bidi w:val="0"/>
              <w:spacing w:before="68" w:line="320" w:lineRule="exact"/>
              <w:ind w:left="0" w:leftChars="0" w:firstLine="0" w:firstLineChars="0"/>
              <w:jc w:val="center"/>
              <w:rPr>
                <w:rFonts w:hint="eastAsia" w:ascii="仿宋_GB2312" w:hAnsi="仿宋_GB2312" w:eastAsia="仿宋_GB2312" w:cs="仿宋_GB2312"/>
                <w:spacing w:val="-8"/>
                <w:kern w:val="2"/>
                <w:sz w:val="24"/>
                <w:szCs w:val="24"/>
                <w:lang w:val="en-US" w:eastAsia="zh-CN" w:bidi="ar-SA"/>
              </w:rPr>
            </w:pPr>
            <w:r>
              <w:rPr>
                <w:rFonts w:hint="eastAsia" w:ascii="仿宋_GB2312" w:hAnsi="仿宋_GB2312" w:eastAsia="仿宋_GB2312" w:cs="仿宋_GB2312"/>
                <w:spacing w:val="-8"/>
                <w:sz w:val="24"/>
                <w:szCs w:val="24"/>
                <w:lang w:val="en-US" w:eastAsia="zh-CN"/>
              </w:rPr>
              <w:t>行政处罚</w:t>
            </w:r>
          </w:p>
        </w:tc>
        <w:tc>
          <w:tcPr>
            <w:tcW w:w="8317" w:type="dxa"/>
            <w:shd w:val="clear" w:color="auto" w:fill="auto"/>
            <w:vAlign w:val="top"/>
          </w:tcPr>
          <w:p w14:paraId="7C71F2DA">
            <w:pPr>
              <w:keepNext w:val="0"/>
              <w:keepLines w:val="0"/>
              <w:pageBreakBefore w:val="0"/>
              <w:widowControl w:val="0"/>
              <w:suppressLineNumbers w:val="0"/>
              <w:kinsoku/>
              <w:wordWrap/>
              <w:overflowPunct/>
              <w:topLinePunct w:val="0"/>
              <w:autoSpaceDE/>
              <w:autoSpaceDN/>
              <w:bidi w:val="0"/>
              <w:adjustRightInd/>
              <w:snapToGrid/>
              <w:spacing w:after="0" w:afterLines="-2147483648" w:line="320" w:lineRule="exact"/>
              <w:ind w:left="240" w:leftChars="100" w:firstLine="420" w:firstLineChars="200"/>
              <w:jc w:val="both"/>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中华人民共和国大气污染防治法》第一百一十一条第一款违反本法规定，机动车生产、进口企业未按照规定向社会公布其生产、进口机动车车型的排放检验信息或者污染控制技术信息的，由省级以上人民政府生态环境主管部门责令改正，处五万元以上五十万元以下的罚款。</w:t>
            </w:r>
          </w:p>
        </w:tc>
        <w:tc>
          <w:tcPr>
            <w:tcW w:w="1129" w:type="dxa"/>
            <w:vAlign w:val="top"/>
          </w:tcPr>
          <w:p w14:paraId="0197CDC1">
            <w:pPr>
              <w:keepNext w:val="0"/>
              <w:keepLines w:val="0"/>
              <w:pageBreakBefore w:val="0"/>
              <w:widowControl w:val="0"/>
              <w:kinsoku/>
              <w:wordWrap/>
              <w:overflowPunct/>
              <w:topLinePunct w:val="0"/>
              <w:autoSpaceDE/>
              <w:autoSpaceDN/>
              <w:bidi w:val="0"/>
              <w:spacing w:line="320" w:lineRule="exact"/>
              <w:rPr>
                <w:rFonts w:ascii="宋体"/>
                <w:sz w:val="21"/>
              </w:rPr>
            </w:pPr>
          </w:p>
        </w:tc>
        <w:tc>
          <w:tcPr>
            <w:tcW w:w="990" w:type="dxa"/>
            <w:gridSpan w:val="2"/>
            <w:tcBorders>
              <w:right w:val="single" w:color="000000" w:sz="10" w:space="0"/>
            </w:tcBorders>
            <w:vAlign w:val="top"/>
          </w:tcPr>
          <w:p w14:paraId="1ED79C12">
            <w:pPr>
              <w:keepNext w:val="0"/>
              <w:keepLines w:val="0"/>
              <w:pageBreakBefore w:val="0"/>
              <w:widowControl w:val="0"/>
              <w:kinsoku/>
              <w:wordWrap/>
              <w:overflowPunct/>
              <w:topLinePunct w:val="0"/>
              <w:autoSpaceDE/>
              <w:autoSpaceDN/>
              <w:bidi w:val="0"/>
              <w:spacing w:line="320" w:lineRule="exact"/>
              <w:rPr>
                <w:rFonts w:ascii="宋体"/>
                <w:sz w:val="21"/>
              </w:rPr>
            </w:pPr>
          </w:p>
        </w:tc>
      </w:tr>
      <w:tr w14:paraId="05A566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6" w:hRule="atLeast"/>
        </w:trPr>
        <w:tc>
          <w:tcPr>
            <w:tcW w:w="557" w:type="dxa"/>
            <w:tcBorders>
              <w:left w:val="single" w:color="000000" w:sz="10" w:space="0"/>
            </w:tcBorders>
            <w:shd w:val="clear" w:color="auto" w:fill="auto"/>
            <w:vAlign w:val="center"/>
          </w:tcPr>
          <w:p w14:paraId="77637480">
            <w:pPr>
              <w:keepNext w:val="0"/>
              <w:keepLines w:val="0"/>
              <w:pageBreakBefore w:val="0"/>
              <w:widowControl w:val="0"/>
              <w:kinsoku/>
              <w:wordWrap/>
              <w:overflowPunct/>
              <w:topLinePunct w:val="0"/>
              <w:autoSpaceDE/>
              <w:autoSpaceDN/>
              <w:bidi w:val="0"/>
              <w:spacing w:before="68" w:line="320" w:lineRule="exact"/>
              <w:ind w:left="0" w:leftChars="0" w:firstLine="0" w:firstLineChars="0"/>
              <w:jc w:val="center"/>
              <w:rPr>
                <w:rFonts w:hint="eastAsia" w:ascii="仿宋_GB2312" w:hAnsi="仿宋_GB2312" w:eastAsia="仿宋_GB2312" w:cs="仿宋_GB2312"/>
                <w:spacing w:val="-8"/>
                <w:sz w:val="24"/>
                <w:szCs w:val="24"/>
                <w:lang w:val="en-US" w:eastAsia="zh-CN"/>
              </w:rPr>
            </w:pPr>
            <w:r>
              <w:rPr>
                <w:rFonts w:hint="eastAsia" w:ascii="仿宋_GB2312" w:hAnsi="仿宋_GB2312" w:eastAsia="仿宋_GB2312" w:cs="仿宋_GB2312"/>
                <w:spacing w:val="-8"/>
                <w:sz w:val="24"/>
                <w:szCs w:val="24"/>
                <w:lang w:val="en-US" w:eastAsia="zh-CN"/>
              </w:rPr>
              <w:t>46</w:t>
            </w:r>
          </w:p>
        </w:tc>
        <w:tc>
          <w:tcPr>
            <w:tcW w:w="2355" w:type="dxa"/>
            <w:shd w:val="clear" w:color="auto" w:fill="auto"/>
            <w:vAlign w:val="center"/>
          </w:tcPr>
          <w:p w14:paraId="0416FAF7">
            <w:pPr>
              <w:keepNext w:val="0"/>
              <w:keepLines w:val="0"/>
              <w:pageBreakBefore w:val="0"/>
              <w:widowControl w:val="0"/>
              <w:kinsoku/>
              <w:wordWrap/>
              <w:overflowPunct/>
              <w:topLinePunct w:val="0"/>
              <w:autoSpaceDE/>
              <w:autoSpaceDN/>
              <w:bidi w:val="0"/>
              <w:spacing w:before="68" w:line="320" w:lineRule="exact"/>
              <w:ind w:left="240" w:leftChars="100" w:right="127" w:rightChars="53" w:firstLine="0" w:firstLineChars="0"/>
              <w:jc w:val="center"/>
              <w:rPr>
                <w:rFonts w:hint="eastAsia" w:ascii="宋体" w:hAnsi="宋体" w:eastAsia="宋体" w:cs="宋体"/>
                <w:spacing w:val="-8"/>
                <w:kern w:val="2"/>
                <w:sz w:val="21"/>
                <w:szCs w:val="21"/>
                <w:lang w:val="en-US" w:eastAsia="zh-CN" w:bidi="ar-SA"/>
              </w:rPr>
            </w:pPr>
            <w:r>
              <w:rPr>
                <w:rFonts w:hint="eastAsia" w:ascii="宋体" w:hAnsi="宋体" w:eastAsia="宋体" w:cs="宋体"/>
                <w:spacing w:val="-8"/>
                <w:sz w:val="21"/>
                <w:szCs w:val="21"/>
                <w:lang w:val="en-US" w:eastAsia="zh-CN"/>
              </w:rPr>
              <w:t>对伪造机动车、非道路移动机械排放检验结果等行为的行政处罚</w:t>
            </w:r>
          </w:p>
        </w:tc>
        <w:tc>
          <w:tcPr>
            <w:tcW w:w="1094" w:type="dxa"/>
            <w:shd w:val="clear" w:color="auto" w:fill="auto"/>
            <w:vAlign w:val="center"/>
          </w:tcPr>
          <w:p w14:paraId="7305DFFA">
            <w:pPr>
              <w:keepNext w:val="0"/>
              <w:keepLines w:val="0"/>
              <w:pageBreakBefore w:val="0"/>
              <w:widowControl w:val="0"/>
              <w:kinsoku/>
              <w:wordWrap/>
              <w:overflowPunct/>
              <w:topLinePunct w:val="0"/>
              <w:autoSpaceDE/>
              <w:autoSpaceDN/>
              <w:bidi w:val="0"/>
              <w:spacing w:before="68" w:line="320" w:lineRule="exact"/>
              <w:ind w:left="0" w:leftChars="0" w:firstLine="0" w:firstLineChars="0"/>
              <w:jc w:val="center"/>
              <w:rPr>
                <w:rFonts w:hint="eastAsia" w:ascii="仿宋_GB2312" w:hAnsi="仿宋_GB2312" w:eastAsia="仿宋_GB2312" w:cs="仿宋_GB2312"/>
                <w:spacing w:val="-8"/>
                <w:kern w:val="2"/>
                <w:sz w:val="24"/>
                <w:szCs w:val="24"/>
                <w:lang w:val="en-US" w:eastAsia="zh-CN" w:bidi="ar-SA"/>
              </w:rPr>
            </w:pPr>
            <w:r>
              <w:rPr>
                <w:rFonts w:hint="eastAsia" w:ascii="仿宋_GB2312" w:hAnsi="仿宋_GB2312" w:eastAsia="仿宋_GB2312" w:cs="仿宋_GB2312"/>
                <w:spacing w:val="-8"/>
                <w:sz w:val="24"/>
                <w:szCs w:val="24"/>
                <w:lang w:val="en-US" w:eastAsia="zh-CN"/>
              </w:rPr>
              <w:t>行政处罚</w:t>
            </w:r>
          </w:p>
        </w:tc>
        <w:tc>
          <w:tcPr>
            <w:tcW w:w="8317" w:type="dxa"/>
            <w:shd w:val="clear" w:color="auto" w:fill="auto"/>
            <w:vAlign w:val="top"/>
          </w:tcPr>
          <w:p w14:paraId="73FA3793">
            <w:pPr>
              <w:keepNext w:val="0"/>
              <w:keepLines w:val="0"/>
              <w:pageBreakBefore w:val="0"/>
              <w:widowControl w:val="0"/>
              <w:suppressLineNumbers w:val="0"/>
              <w:kinsoku/>
              <w:wordWrap/>
              <w:overflowPunct/>
              <w:topLinePunct w:val="0"/>
              <w:autoSpaceDE/>
              <w:autoSpaceDN/>
              <w:bidi w:val="0"/>
              <w:adjustRightInd/>
              <w:snapToGrid/>
              <w:spacing w:after="0" w:afterLines="-2147483648" w:line="320" w:lineRule="exact"/>
              <w:ind w:left="240" w:leftChars="100" w:firstLine="420" w:firstLineChars="200"/>
              <w:jc w:val="both"/>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中华人民共和国大气污染防治法》第一百一十二条第一款违反本法规定，伪造机动车、非道路移动机械排放检验结果或者出具虚假排放检验报告的，由县级以上人民政府生态环境主管部门没收违法所得，并处十万元以上五十万元以下的罚款；情节严重的，由负责资质认定的部门取消其检验资格。</w:t>
            </w:r>
          </w:p>
        </w:tc>
        <w:tc>
          <w:tcPr>
            <w:tcW w:w="1129" w:type="dxa"/>
            <w:vAlign w:val="top"/>
          </w:tcPr>
          <w:p w14:paraId="580FBD36">
            <w:pPr>
              <w:keepNext w:val="0"/>
              <w:keepLines w:val="0"/>
              <w:pageBreakBefore w:val="0"/>
              <w:widowControl w:val="0"/>
              <w:kinsoku/>
              <w:wordWrap/>
              <w:overflowPunct/>
              <w:topLinePunct w:val="0"/>
              <w:autoSpaceDE/>
              <w:autoSpaceDN/>
              <w:bidi w:val="0"/>
              <w:spacing w:line="320" w:lineRule="exact"/>
              <w:rPr>
                <w:rFonts w:ascii="宋体"/>
                <w:sz w:val="21"/>
              </w:rPr>
            </w:pPr>
          </w:p>
        </w:tc>
        <w:tc>
          <w:tcPr>
            <w:tcW w:w="990" w:type="dxa"/>
            <w:gridSpan w:val="2"/>
            <w:tcBorders>
              <w:right w:val="single" w:color="000000" w:sz="10" w:space="0"/>
            </w:tcBorders>
            <w:vAlign w:val="top"/>
          </w:tcPr>
          <w:p w14:paraId="5E0F43C2">
            <w:pPr>
              <w:keepNext w:val="0"/>
              <w:keepLines w:val="0"/>
              <w:pageBreakBefore w:val="0"/>
              <w:widowControl w:val="0"/>
              <w:kinsoku/>
              <w:wordWrap/>
              <w:overflowPunct/>
              <w:topLinePunct w:val="0"/>
              <w:autoSpaceDE/>
              <w:autoSpaceDN/>
              <w:bidi w:val="0"/>
              <w:spacing w:line="320" w:lineRule="exact"/>
              <w:rPr>
                <w:rFonts w:ascii="宋体"/>
                <w:sz w:val="21"/>
              </w:rPr>
            </w:pPr>
          </w:p>
        </w:tc>
      </w:tr>
      <w:tr w14:paraId="1ABFB2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6" w:hRule="atLeast"/>
        </w:trPr>
        <w:tc>
          <w:tcPr>
            <w:tcW w:w="557" w:type="dxa"/>
            <w:tcBorders>
              <w:left w:val="single" w:color="000000" w:sz="10" w:space="0"/>
            </w:tcBorders>
            <w:shd w:val="clear" w:color="auto" w:fill="auto"/>
            <w:vAlign w:val="center"/>
          </w:tcPr>
          <w:p w14:paraId="3161B06B">
            <w:pPr>
              <w:keepNext w:val="0"/>
              <w:keepLines w:val="0"/>
              <w:pageBreakBefore w:val="0"/>
              <w:widowControl w:val="0"/>
              <w:kinsoku/>
              <w:wordWrap/>
              <w:overflowPunct/>
              <w:topLinePunct w:val="0"/>
              <w:autoSpaceDE/>
              <w:autoSpaceDN/>
              <w:bidi w:val="0"/>
              <w:spacing w:before="68" w:line="320" w:lineRule="exact"/>
              <w:ind w:left="0" w:leftChars="0" w:firstLine="0" w:firstLineChars="0"/>
              <w:jc w:val="center"/>
              <w:rPr>
                <w:rFonts w:hint="eastAsia" w:ascii="仿宋_GB2312" w:hAnsi="仿宋_GB2312" w:eastAsia="仿宋_GB2312" w:cs="仿宋_GB2312"/>
                <w:spacing w:val="-8"/>
                <w:sz w:val="24"/>
                <w:szCs w:val="24"/>
                <w:lang w:val="en-US" w:eastAsia="zh-CN"/>
              </w:rPr>
            </w:pPr>
            <w:r>
              <w:rPr>
                <w:rFonts w:hint="eastAsia" w:ascii="仿宋_GB2312" w:hAnsi="仿宋_GB2312" w:eastAsia="仿宋_GB2312" w:cs="仿宋_GB2312"/>
                <w:spacing w:val="-8"/>
                <w:sz w:val="24"/>
                <w:szCs w:val="24"/>
                <w:lang w:val="en-US" w:eastAsia="zh-CN"/>
              </w:rPr>
              <w:t>47</w:t>
            </w:r>
          </w:p>
        </w:tc>
        <w:tc>
          <w:tcPr>
            <w:tcW w:w="2355" w:type="dxa"/>
            <w:shd w:val="clear" w:color="auto" w:fill="auto"/>
            <w:vAlign w:val="center"/>
          </w:tcPr>
          <w:p w14:paraId="5BCB346C">
            <w:pPr>
              <w:keepNext w:val="0"/>
              <w:keepLines w:val="0"/>
              <w:pageBreakBefore w:val="0"/>
              <w:widowControl w:val="0"/>
              <w:kinsoku/>
              <w:wordWrap/>
              <w:overflowPunct/>
              <w:topLinePunct w:val="0"/>
              <w:autoSpaceDE/>
              <w:autoSpaceDN/>
              <w:bidi w:val="0"/>
              <w:spacing w:before="68" w:line="320" w:lineRule="exact"/>
              <w:ind w:left="240" w:leftChars="100" w:right="127" w:rightChars="53" w:firstLine="0" w:firstLineChars="0"/>
              <w:jc w:val="center"/>
              <w:rPr>
                <w:rFonts w:hint="eastAsia" w:ascii="宋体" w:hAnsi="宋体" w:eastAsia="宋体" w:cs="宋体"/>
                <w:spacing w:val="-8"/>
                <w:kern w:val="2"/>
                <w:sz w:val="21"/>
                <w:szCs w:val="21"/>
                <w:lang w:val="en-US" w:eastAsia="zh-CN" w:bidi="ar-SA"/>
              </w:rPr>
            </w:pPr>
            <w:r>
              <w:rPr>
                <w:rFonts w:hint="eastAsia" w:ascii="宋体" w:hAnsi="宋体" w:eastAsia="宋体" w:cs="宋体"/>
                <w:spacing w:val="-8"/>
                <w:sz w:val="21"/>
                <w:szCs w:val="21"/>
                <w:lang w:val="en-US" w:eastAsia="zh-CN"/>
              </w:rPr>
              <w:t>对弄虚作假的方式通过机动车排放检验或者破坏机动车车载排放诊断系统行为的行政处罚</w:t>
            </w:r>
          </w:p>
        </w:tc>
        <w:tc>
          <w:tcPr>
            <w:tcW w:w="1094" w:type="dxa"/>
            <w:shd w:val="clear" w:color="auto" w:fill="auto"/>
            <w:vAlign w:val="center"/>
          </w:tcPr>
          <w:p w14:paraId="163F841C">
            <w:pPr>
              <w:keepNext w:val="0"/>
              <w:keepLines w:val="0"/>
              <w:pageBreakBefore w:val="0"/>
              <w:widowControl w:val="0"/>
              <w:kinsoku/>
              <w:wordWrap/>
              <w:overflowPunct/>
              <w:topLinePunct w:val="0"/>
              <w:autoSpaceDE/>
              <w:autoSpaceDN/>
              <w:bidi w:val="0"/>
              <w:spacing w:before="68" w:line="320" w:lineRule="exact"/>
              <w:ind w:left="0" w:leftChars="0" w:firstLine="0" w:firstLineChars="0"/>
              <w:jc w:val="center"/>
              <w:rPr>
                <w:rFonts w:hint="eastAsia" w:ascii="仿宋_GB2312" w:hAnsi="仿宋_GB2312" w:eastAsia="仿宋_GB2312" w:cs="仿宋_GB2312"/>
                <w:spacing w:val="-8"/>
                <w:kern w:val="2"/>
                <w:sz w:val="24"/>
                <w:szCs w:val="24"/>
                <w:lang w:val="en-US" w:eastAsia="zh-CN" w:bidi="ar-SA"/>
              </w:rPr>
            </w:pPr>
            <w:r>
              <w:rPr>
                <w:rFonts w:hint="eastAsia" w:ascii="仿宋_GB2312" w:hAnsi="仿宋_GB2312" w:eastAsia="仿宋_GB2312" w:cs="仿宋_GB2312"/>
                <w:spacing w:val="-8"/>
                <w:sz w:val="24"/>
                <w:szCs w:val="24"/>
                <w:lang w:val="en-US" w:eastAsia="zh-CN"/>
              </w:rPr>
              <w:t>行政处罚</w:t>
            </w:r>
          </w:p>
        </w:tc>
        <w:tc>
          <w:tcPr>
            <w:tcW w:w="8317" w:type="dxa"/>
            <w:shd w:val="clear" w:color="auto" w:fill="auto"/>
            <w:vAlign w:val="top"/>
          </w:tcPr>
          <w:p w14:paraId="705B8037">
            <w:pPr>
              <w:keepNext w:val="0"/>
              <w:keepLines w:val="0"/>
              <w:pageBreakBefore w:val="0"/>
              <w:widowControl w:val="0"/>
              <w:suppressLineNumbers w:val="0"/>
              <w:kinsoku/>
              <w:wordWrap/>
              <w:overflowPunct/>
              <w:topLinePunct w:val="0"/>
              <w:autoSpaceDE/>
              <w:autoSpaceDN/>
              <w:bidi w:val="0"/>
              <w:adjustRightInd/>
              <w:snapToGrid/>
              <w:spacing w:after="0" w:afterLines="-2147483648" w:line="320" w:lineRule="exact"/>
              <w:ind w:left="240" w:leftChars="100" w:firstLine="420" w:firstLineChars="200"/>
              <w:jc w:val="both"/>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中华人民共和国大气污染防治法》第一百一十二条第三款违反本法规定，以临时更换机动车污染控制装置等弄虚作假的方式通过机动车排放检验或者破坏机动车车载排放诊断系统的，由县级以上人民政府生态环境主管部门责令改正，对机动车所有人处五千元的罚款；对机动车维修单位处每辆机动车五千元的罚款。</w:t>
            </w:r>
          </w:p>
        </w:tc>
        <w:tc>
          <w:tcPr>
            <w:tcW w:w="1129" w:type="dxa"/>
            <w:vAlign w:val="top"/>
          </w:tcPr>
          <w:p w14:paraId="578146EC">
            <w:pPr>
              <w:keepNext w:val="0"/>
              <w:keepLines w:val="0"/>
              <w:pageBreakBefore w:val="0"/>
              <w:widowControl w:val="0"/>
              <w:kinsoku/>
              <w:wordWrap/>
              <w:overflowPunct/>
              <w:topLinePunct w:val="0"/>
              <w:autoSpaceDE/>
              <w:autoSpaceDN/>
              <w:bidi w:val="0"/>
              <w:spacing w:line="320" w:lineRule="exact"/>
              <w:rPr>
                <w:rFonts w:ascii="宋体"/>
                <w:sz w:val="21"/>
              </w:rPr>
            </w:pPr>
          </w:p>
        </w:tc>
        <w:tc>
          <w:tcPr>
            <w:tcW w:w="990" w:type="dxa"/>
            <w:gridSpan w:val="2"/>
            <w:tcBorders>
              <w:right w:val="single" w:color="000000" w:sz="10" w:space="0"/>
            </w:tcBorders>
            <w:vAlign w:val="top"/>
          </w:tcPr>
          <w:p w14:paraId="749FB866">
            <w:pPr>
              <w:keepNext w:val="0"/>
              <w:keepLines w:val="0"/>
              <w:pageBreakBefore w:val="0"/>
              <w:widowControl w:val="0"/>
              <w:kinsoku/>
              <w:wordWrap/>
              <w:overflowPunct/>
              <w:topLinePunct w:val="0"/>
              <w:autoSpaceDE/>
              <w:autoSpaceDN/>
              <w:bidi w:val="0"/>
              <w:spacing w:line="320" w:lineRule="exact"/>
              <w:rPr>
                <w:rFonts w:ascii="宋体"/>
                <w:sz w:val="21"/>
              </w:rPr>
            </w:pPr>
          </w:p>
        </w:tc>
      </w:tr>
      <w:tr w14:paraId="65F14C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6" w:hRule="atLeast"/>
        </w:trPr>
        <w:tc>
          <w:tcPr>
            <w:tcW w:w="557" w:type="dxa"/>
            <w:tcBorders>
              <w:left w:val="single" w:color="000000" w:sz="10" w:space="0"/>
            </w:tcBorders>
            <w:shd w:val="clear" w:color="auto" w:fill="auto"/>
            <w:vAlign w:val="center"/>
          </w:tcPr>
          <w:p w14:paraId="6D3E1968">
            <w:pPr>
              <w:keepNext w:val="0"/>
              <w:keepLines w:val="0"/>
              <w:pageBreakBefore w:val="0"/>
              <w:widowControl w:val="0"/>
              <w:kinsoku/>
              <w:wordWrap/>
              <w:overflowPunct/>
              <w:topLinePunct w:val="0"/>
              <w:autoSpaceDE/>
              <w:autoSpaceDN/>
              <w:bidi w:val="0"/>
              <w:spacing w:before="68" w:line="320" w:lineRule="exact"/>
              <w:ind w:left="0" w:leftChars="0" w:firstLine="0" w:firstLineChars="0"/>
              <w:jc w:val="center"/>
              <w:rPr>
                <w:rFonts w:hint="eastAsia" w:ascii="仿宋_GB2312" w:hAnsi="仿宋_GB2312" w:eastAsia="仿宋_GB2312" w:cs="仿宋_GB2312"/>
                <w:spacing w:val="-8"/>
                <w:sz w:val="24"/>
                <w:szCs w:val="24"/>
                <w:lang w:val="en-US" w:eastAsia="zh-CN"/>
              </w:rPr>
            </w:pPr>
            <w:r>
              <w:rPr>
                <w:rFonts w:hint="eastAsia" w:ascii="仿宋_GB2312" w:hAnsi="仿宋_GB2312" w:eastAsia="仿宋_GB2312" w:cs="仿宋_GB2312"/>
                <w:spacing w:val="-8"/>
                <w:sz w:val="24"/>
                <w:szCs w:val="24"/>
                <w:lang w:val="en-US" w:eastAsia="zh-CN"/>
              </w:rPr>
              <w:t>48</w:t>
            </w:r>
          </w:p>
        </w:tc>
        <w:tc>
          <w:tcPr>
            <w:tcW w:w="2355" w:type="dxa"/>
            <w:shd w:val="clear" w:color="auto" w:fill="auto"/>
            <w:vAlign w:val="center"/>
          </w:tcPr>
          <w:p w14:paraId="4C602A9B">
            <w:pPr>
              <w:keepNext w:val="0"/>
              <w:keepLines w:val="0"/>
              <w:pageBreakBefore w:val="0"/>
              <w:widowControl w:val="0"/>
              <w:kinsoku/>
              <w:wordWrap/>
              <w:overflowPunct/>
              <w:topLinePunct w:val="0"/>
              <w:autoSpaceDE/>
              <w:autoSpaceDN/>
              <w:bidi w:val="0"/>
              <w:spacing w:before="68" w:line="320" w:lineRule="exact"/>
              <w:ind w:left="240" w:leftChars="100" w:right="127" w:rightChars="53" w:firstLine="0" w:firstLineChars="0"/>
              <w:jc w:val="center"/>
              <w:rPr>
                <w:rFonts w:hint="eastAsia" w:ascii="宋体" w:hAnsi="宋体" w:eastAsia="宋体" w:cs="宋体"/>
                <w:spacing w:val="-8"/>
                <w:kern w:val="2"/>
                <w:sz w:val="21"/>
                <w:szCs w:val="21"/>
                <w:lang w:val="en-US" w:eastAsia="zh-CN" w:bidi="ar-SA"/>
              </w:rPr>
            </w:pPr>
            <w:r>
              <w:rPr>
                <w:rFonts w:hint="eastAsia" w:ascii="宋体" w:hAnsi="宋体" w:eastAsia="宋体" w:cs="宋体"/>
                <w:spacing w:val="-8"/>
                <w:sz w:val="21"/>
                <w:szCs w:val="21"/>
                <w:lang w:val="en-US" w:eastAsia="zh-CN"/>
              </w:rPr>
              <w:t>对使用排放不合格的非道路移动机械等行为的行政处罚</w:t>
            </w:r>
          </w:p>
        </w:tc>
        <w:tc>
          <w:tcPr>
            <w:tcW w:w="1094" w:type="dxa"/>
            <w:shd w:val="clear" w:color="auto" w:fill="auto"/>
            <w:vAlign w:val="center"/>
          </w:tcPr>
          <w:p w14:paraId="5C6FA07F">
            <w:pPr>
              <w:keepNext w:val="0"/>
              <w:keepLines w:val="0"/>
              <w:pageBreakBefore w:val="0"/>
              <w:widowControl w:val="0"/>
              <w:kinsoku/>
              <w:wordWrap/>
              <w:overflowPunct/>
              <w:topLinePunct w:val="0"/>
              <w:autoSpaceDE/>
              <w:autoSpaceDN/>
              <w:bidi w:val="0"/>
              <w:spacing w:before="68" w:line="320" w:lineRule="exact"/>
              <w:ind w:left="0" w:leftChars="0" w:firstLine="0" w:firstLineChars="0"/>
              <w:jc w:val="center"/>
              <w:rPr>
                <w:rFonts w:hint="eastAsia" w:ascii="仿宋_GB2312" w:hAnsi="仿宋_GB2312" w:eastAsia="仿宋_GB2312" w:cs="仿宋_GB2312"/>
                <w:spacing w:val="-8"/>
                <w:kern w:val="2"/>
                <w:sz w:val="24"/>
                <w:szCs w:val="24"/>
                <w:lang w:val="en-US" w:eastAsia="zh-CN" w:bidi="ar-SA"/>
              </w:rPr>
            </w:pPr>
            <w:r>
              <w:rPr>
                <w:rFonts w:hint="eastAsia" w:ascii="仿宋_GB2312" w:hAnsi="仿宋_GB2312" w:eastAsia="仿宋_GB2312" w:cs="仿宋_GB2312"/>
                <w:spacing w:val="-8"/>
                <w:sz w:val="24"/>
                <w:szCs w:val="24"/>
                <w:lang w:val="en-US" w:eastAsia="zh-CN"/>
              </w:rPr>
              <w:t>行政处罚</w:t>
            </w:r>
          </w:p>
        </w:tc>
        <w:tc>
          <w:tcPr>
            <w:tcW w:w="8317" w:type="dxa"/>
            <w:shd w:val="clear" w:color="auto" w:fill="auto"/>
            <w:vAlign w:val="top"/>
          </w:tcPr>
          <w:p w14:paraId="5BA8E326">
            <w:pPr>
              <w:keepNext w:val="0"/>
              <w:keepLines w:val="0"/>
              <w:pageBreakBefore w:val="0"/>
              <w:widowControl w:val="0"/>
              <w:suppressLineNumbers w:val="0"/>
              <w:kinsoku/>
              <w:wordWrap/>
              <w:overflowPunct/>
              <w:topLinePunct w:val="0"/>
              <w:autoSpaceDE/>
              <w:autoSpaceDN/>
              <w:bidi w:val="0"/>
              <w:adjustRightInd/>
              <w:snapToGrid/>
              <w:spacing w:after="0" w:afterLines="-2147483648" w:line="320" w:lineRule="exact"/>
              <w:ind w:left="240" w:leftChars="100" w:firstLine="420" w:firstLineChars="200"/>
              <w:jc w:val="both"/>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中华人民共和国大气污染防治法》第一百一十四条第一款违反本法规定，使用排放不合格的非道路移动机械，或者在用重型柴油车、非道路移动机械未按照规定加装、更换污染控制装置的，由县级以上人民政府生态环境等主管部门按照职责责令改正，处五千元的罚款。</w:t>
            </w:r>
          </w:p>
        </w:tc>
        <w:tc>
          <w:tcPr>
            <w:tcW w:w="1129" w:type="dxa"/>
            <w:vAlign w:val="top"/>
          </w:tcPr>
          <w:p w14:paraId="4D80E884">
            <w:pPr>
              <w:keepNext w:val="0"/>
              <w:keepLines w:val="0"/>
              <w:pageBreakBefore w:val="0"/>
              <w:widowControl w:val="0"/>
              <w:kinsoku/>
              <w:wordWrap/>
              <w:overflowPunct/>
              <w:topLinePunct w:val="0"/>
              <w:autoSpaceDE/>
              <w:autoSpaceDN/>
              <w:bidi w:val="0"/>
              <w:spacing w:line="320" w:lineRule="exact"/>
              <w:rPr>
                <w:rFonts w:ascii="宋体"/>
                <w:sz w:val="21"/>
              </w:rPr>
            </w:pPr>
          </w:p>
        </w:tc>
        <w:tc>
          <w:tcPr>
            <w:tcW w:w="990" w:type="dxa"/>
            <w:gridSpan w:val="2"/>
            <w:tcBorders>
              <w:right w:val="single" w:color="000000" w:sz="10" w:space="0"/>
            </w:tcBorders>
            <w:vAlign w:val="top"/>
          </w:tcPr>
          <w:p w14:paraId="4A7E8670">
            <w:pPr>
              <w:keepNext w:val="0"/>
              <w:keepLines w:val="0"/>
              <w:pageBreakBefore w:val="0"/>
              <w:widowControl w:val="0"/>
              <w:kinsoku/>
              <w:wordWrap/>
              <w:overflowPunct/>
              <w:topLinePunct w:val="0"/>
              <w:autoSpaceDE/>
              <w:autoSpaceDN/>
              <w:bidi w:val="0"/>
              <w:spacing w:line="320" w:lineRule="exact"/>
              <w:rPr>
                <w:rFonts w:ascii="宋体"/>
                <w:sz w:val="21"/>
              </w:rPr>
            </w:pPr>
          </w:p>
        </w:tc>
      </w:tr>
      <w:tr w14:paraId="26BC9F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6" w:hRule="atLeast"/>
        </w:trPr>
        <w:tc>
          <w:tcPr>
            <w:tcW w:w="557" w:type="dxa"/>
            <w:tcBorders>
              <w:left w:val="single" w:color="000000" w:sz="10" w:space="0"/>
            </w:tcBorders>
            <w:shd w:val="clear" w:color="auto" w:fill="auto"/>
            <w:vAlign w:val="center"/>
          </w:tcPr>
          <w:p w14:paraId="65E4C583">
            <w:pPr>
              <w:keepNext w:val="0"/>
              <w:keepLines w:val="0"/>
              <w:pageBreakBefore w:val="0"/>
              <w:widowControl w:val="0"/>
              <w:kinsoku/>
              <w:wordWrap/>
              <w:overflowPunct/>
              <w:topLinePunct w:val="0"/>
              <w:autoSpaceDE/>
              <w:autoSpaceDN/>
              <w:bidi w:val="0"/>
              <w:spacing w:before="68" w:line="320" w:lineRule="exact"/>
              <w:ind w:left="0" w:leftChars="0" w:firstLine="0" w:firstLineChars="0"/>
              <w:jc w:val="center"/>
              <w:rPr>
                <w:rFonts w:hint="eastAsia" w:ascii="仿宋_GB2312" w:hAnsi="仿宋_GB2312" w:eastAsia="仿宋_GB2312" w:cs="仿宋_GB2312"/>
                <w:spacing w:val="-8"/>
                <w:sz w:val="24"/>
                <w:szCs w:val="24"/>
                <w:lang w:val="en-US" w:eastAsia="zh-CN"/>
              </w:rPr>
            </w:pPr>
            <w:r>
              <w:rPr>
                <w:rFonts w:hint="eastAsia" w:ascii="仿宋_GB2312" w:hAnsi="仿宋_GB2312" w:eastAsia="仿宋_GB2312" w:cs="仿宋_GB2312"/>
                <w:spacing w:val="-8"/>
                <w:sz w:val="24"/>
                <w:szCs w:val="24"/>
                <w:lang w:val="en-US" w:eastAsia="zh-CN"/>
              </w:rPr>
              <w:t>49</w:t>
            </w:r>
          </w:p>
        </w:tc>
        <w:tc>
          <w:tcPr>
            <w:tcW w:w="2355" w:type="dxa"/>
            <w:shd w:val="clear" w:color="auto" w:fill="auto"/>
            <w:vAlign w:val="center"/>
          </w:tcPr>
          <w:p w14:paraId="13ABCA2A">
            <w:pPr>
              <w:keepNext w:val="0"/>
              <w:keepLines w:val="0"/>
              <w:pageBreakBefore w:val="0"/>
              <w:widowControl w:val="0"/>
              <w:kinsoku/>
              <w:wordWrap/>
              <w:overflowPunct/>
              <w:topLinePunct w:val="0"/>
              <w:autoSpaceDE/>
              <w:autoSpaceDN/>
              <w:bidi w:val="0"/>
              <w:spacing w:before="68" w:line="320" w:lineRule="exact"/>
              <w:ind w:left="240" w:leftChars="100" w:right="127" w:rightChars="53" w:firstLine="0" w:firstLineChars="0"/>
              <w:jc w:val="center"/>
              <w:rPr>
                <w:rFonts w:hint="eastAsia" w:ascii="宋体" w:hAnsi="宋体" w:eastAsia="宋体" w:cs="宋体"/>
                <w:spacing w:val="-8"/>
                <w:kern w:val="2"/>
                <w:sz w:val="21"/>
                <w:szCs w:val="21"/>
                <w:lang w:val="en-US" w:eastAsia="zh-CN" w:bidi="ar-SA"/>
              </w:rPr>
            </w:pPr>
            <w:r>
              <w:rPr>
                <w:rFonts w:hint="eastAsia" w:ascii="宋体" w:hAnsi="宋体" w:eastAsia="宋体" w:cs="宋体"/>
                <w:spacing w:val="-8"/>
                <w:sz w:val="21"/>
                <w:szCs w:val="21"/>
                <w:lang w:val="en-US" w:eastAsia="zh-CN"/>
              </w:rPr>
              <w:t>对在禁止使用高排放非道路移动机械的区域使用高排放非道路移动机械行为的行政处罚</w:t>
            </w:r>
          </w:p>
        </w:tc>
        <w:tc>
          <w:tcPr>
            <w:tcW w:w="1094" w:type="dxa"/>
            <w:shd w:val="clear" w:color="auto" w:fill="auto"/>
            <w:vAlign w:val="center"/>
          </w:tcPr>
          <w:p w14:paraId="4D487476">
            <w:pPr>
              <w:keepNext w:val="0"/>
              <w:keepLines w:val="0"/>
              <w:pageBreakBefore w:val="0"/>
              <w:widowControl w:val="0"/>
              <w:kinsoku/>
              <w:wordWrap/>
              <w:overflowPunct/>
              <w:topLinePunct w:val="0"/>
              <w:autoSpaceDE/>
              <w:autoSpaceDN/>
              <w:bidi w:val="0"/>
              <w:spacing w:before="68" w:line="320" w:lineRule="exact"/>
              <w:ind w:left="0" w:leftChars="0" w:firstLine="0" w:firstLineChars="0"/>
              <w:jc w:val="center"/>
              <w:rPr>
                <w:rFonts w:hint="eastAsia" w:ascii="仿宋_GB2312" w:hAnsi="仿宋_GB2312" w:eastAsia="仿宋_GB2312" w:cs="仿宋_GB2312"/>
                <w:spacing w:val="-8"/>
                <w:kern w:val="2"/>
                <w:sz w:val="24"/>
                <w:szCs w:val="24"/>
                <w:lang w:val="en-US" w:eastAsia="zh-CN" w:bidi="ar-SA"/>
              </w:rPr>
            </w:pPr>
            <w:r>
              <w:rPr>
                <w:rFonts w:hint="eastAsia" w:ascii="仿宋_GB2312" w:hAnsi="仿宋_GB2312" w:eastAsia="仿宋_GB2312" w:cs="仿宋_GB2312"/>
                <w:spacing w:val="-8"/>
                <w:sz w:val="24"/>
                <w:szCs w:val="24"/>
                <w:lang w:val="en-US" w:eastAsia="zh-CN"/>
              </w:rPr>
              <w:t>行政处罚</w:t>
            </w:r>
          </w:p>
        </w:tc>
        <w:tc>
          <w:tcPr>
            <w:tcW w:w="8317" w:type="dxa"/>
            <w:shd w:val="clear" w:color="auto" w:fill="auto"/>
            <w:vAlign w:val="top"/>
          </w:tcPr>
          <w:p w14:paraId="1E717075">
            <w:pPr>
              <w:keepNext w:val="0"/>
              <w:keepLines w:val="0"/>
              <w:pageBreakBefore w:val="0"/>
              <w:widowControl w:val="0"/>
              <w:suppressLineNumbers w:val="0"/>
              <w:kinsoku/>
              <w:wordWrap/>
              <w:overflowPunct/>
              <w:topLinePunct w:val="0"/>
              <w:autoSpaceDE/>
              <w:autoSpaceDN/>
              <w:bidi w:val="0"/>
              <w:adjustRightInd/>
              <w:snapToGrid/>
              <w:spacing w:after="0" w:afterLines="-2147483648" w:line="320" w:lineRule="exact"/>
              <w:ind w:left="240" w:leftChars="100" w:firstLine="420" w:firstLineChars="200"/>
              <w:jc w:val="both"/>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1.《中华人民共和国大气污染防治法》第一百一十四条第二款违反本法规定，在禁止使用高排放非道路移动机械的区域使用高排放非道路移动机械的，由城市人民政府生态环境等主管部门依法予以处罚。</w:t>
            </w:r>
          </w:p>
        </w:tc>
        <w:tc>
          <w:tcPr>
            <w:tcW w:w="1129" w:type="dxa"/>
            <w:vAlign w:val="top"/>
          </w:tcPr>
          <w:p w14:paraId="7320A35A">
            <w:pPr>
              <w:keepNext w:val="0"/>
              <w:keepLines w:val="0"/>
              <w:pageBreakBefore w:val="0"/>
              <w:widowControl w:val="0"/>
              <w:kinsoku/>
              <w:wordWrap/>
              <w:overflowPunct/>
              <w:topLinePunct w:val="0"/>
              <w:autoSpaceDE/>
              <w:autoSpaceDN/>
              <w:bidi w:val="0"/>
              <w:spacing w:line="320" w:lineRule="exact"/>
              <w:rPr>
                <w:rFonts w:ascii="宋体"/>
                <w:sz w:val="21"/>
              </w:rPr>
            </w:pPr>
          </w:p>
        </w:tc>
        <w:tc>
          <w:tcPr>
            <w:tcW w:w="990" w:type="dxa"/>
            <w:gridSpan w:val="2"/>
            <w:tcBorders>
              <w:right w:val="single" w:color="000000" w:sz="10" w:space="0"/>
            </w:tcBorders>
            <w:vAlign w:val="top"/>
          </w:tcPr>
          <w:p w14:paraId="59B312F9">
            <w:pPr>
              <w:keepNext w:val="0"/>
              <w:keepLines w:val="0"/>
              <w:pageBreakBefore w:val="0"/>
              <w:widowControl w:val="0"/>
              <w:kinsoku/>
              <w:wordWrap/>
              <w:overflowPunct/>
              <w:topLinePunct w:val="0"/>
              <w:autoSpaceDE/>
              <w:autoSpaceDN/>
              <w:bidi w:val="0"/>
              <w:spacing w:line="320" w:lineRule="exact"/>
              <w:rPr>
                <w:rFonts w:ascii="宋体"/>
                <w:sz w:val="21"/>
              </w:rPr>
            </w:pPr>
          </w:p>
        </w:tc>
      </w:tr>
      <w:tr w14:paraId="076B83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43" w:hRule="atLeast"/>
        </w:trPr>
        <w:tc>
          <w:tcPr>
            <w:tcW w:w="557" w:type="dxa"/>
            <w:tcBorders>
              <w:left w:val="single" w:color="000000" w:sz="10" w:space="0"/>
            </w:tcBorders>
            <w:shd w:val="clear" w:color="auto" w:fill="auto"/>
            <w:vAlign w:val="center"/>
          </w:tcPr>
          <w:p w14:paraId="593F0098">
            <w:pPr>
              <w:keepNext w:val="0"/>
              <w:keepLines w:val="0"/>
              <w:pageBreakBefore w:val="0"/>
              <w:widowControl w:val="0"/>
              <w:kinsoku/>
              <w:wordWrap/>
              <w:overflowPunct/>
              <w:topLinePunct w:val="0"/>
              <w:autoSpaceDE/>
              <w:autoSpaceDN/>
              <w:bidi w:val="0"/>
              <w:spacing w:before="68" w:line="320" w:lineRule="exact"/>
              <w:ind w:left="0" w:leftChars="0" w:firstLine="0" w:firstLineChars="0"/>
              <w:jc w:val="center"/>
              <w:rPr>
                <w:rFonts w:hint="eastAsia" w:ascii="仿宋_GB2312" w:hAnsi="仿宋_GB2312" w:eastAsia="仿宋_GB2312" w:cs="仿宋_GB2312"/>
                <w:spacing w:val="-8"/>
                <w:sz w:val="24"/>
                <w:szCs w:val="24"/>
                <w:lang w:val="en-US" w:eastAsia="zh-CN"/>
              </w:rPr>
            </w:pPr>
            <w:r>
              <w:rPr>
                <w:rFonts w:hint="eastAsia" w:ascii="仿宋_GB2312" w:hAnsi="仿宋_GB2312" w:eastAsia="仿宋_GB2312" w:cs="仿宋_GB2312"/>
                <w:spacing w:val="-8"/>
                <w:sz w:val="24"/>
                <w:szCs w:val="24"/>
                <w:lang w:val="en-US" w:eastAsia="zh-CN"/>
              </w:rPr>
              <w:t>50</w:t>
            </w:r>
          </w:p>
        </w:tc>
        <w:tc>
          <w:tcPr>
            <w:tcW w:w="2355" w:type="dxa"/>
            <w:shd w:val="clear" w:color="auto" w:fill="auto"/>
            <w:vAlign w:val="center"/>
          </w:tcPr>
          <w:p w14:paraId="731374CA">
            <w:pPr>
              <w:keepNext w:val="0"/>
              <w:keepLines w:val="0"/>
              <w:pageBreakBefore w:val="0"/>
              <w:widowControl w:val="0"/>
              <w:kinsoku/>
              <w:wordWrap/>
              <w:overflowPunct/>
              <w:topLinePunct w:val="0"/>
              <w:autoSpaceDE/>
              <w:autoSpaceDN/>
              <w:bidi w:val="0"/>
              <w:spacing w:before="68" w:line="320" w:lineRule="exact"/>
              <w:ind w:left="240" w:leftChars="100" w:right="127" w:rightChars="53" w:firstLine="0" w:firstLineChars="0"/>
              <w:jc w:val="center"/>
              <w:rPr>
                <w:rFonts w:hint="eastAsia" w:ascii="宋体" w:hAnsi="宋体" w:eastAsia="宋体" w:cs="宋体"/>
                <w:spacing w:val="-8"/>
                <w:kern w:val="2"/>
                <w:sz w:val="21"/>
                <w:szCs w:val="21"/>
                <w:lang w:val="en-US" w:eastAsia="zh-CN" w:bidi="ar-SA"/>
              </w:rPr>
            </w:pPr>
            <w:r>
              <w:rPr>
                <w:rFonts w:hint="eastAsia" w:ascii="宋体" w:hAnsi="宋体" w:eastAsia="宋体" w:cs="宋体"/>
                <w:spacing w:val="-8"/>
                <w:sz w:val="21"/>
                <w:szCs w:val="21"/>
                <w:lang w:val="en-US" w:eastAsia="zh-CN"/>
              </w:rPr>
              <w:t>对未密闭煤炭、煤矸石、煤渣等易产生扬尘的物料等行为的行政处罚</w:t>
            </w:r>
          </w:p>
        </w:tc>
        <w:tc>
          <w:tcPr>
            <w:tcW w:w="1094" w:type="dxa"/>
            <w:shd w:val="clear" w:color="auto" w:fill="auto"/>
            <w:vAlign w:val="center"/>
          </w:tcPr>
          <w:p w14:paraId="2F0988D2">
            <w:pPr>
              <w:keepNext w:val="0"/>
              <w:keepLines w:val="0"/>
              <w:pageBreakBefore w:val="0"/>
              <w:widowControl w:val="0"/>
              <w:kinsoku/>
              <w:wordWrap/>
              <w:overflowPunct/>
              <w:topLinePunct w:val="0"/>
              <w:autoSpaceDE/>
              <w:autoSpaceDN/>
              <w:bidi w:val="0"/>
              <w:spacing w:before="68" w:line="320" w:lineRule="exact"/>
              <w:ind w:left="0" w:leftChars="0" w:firstLine="0" w:firstLineChars="0"/>
              <w:jc w:val="center"/>
              <w:rPr>
                <w:rFonts w:hint="eastAsia" w:ascii="仿宋_GB2312" w:hAnsi="仿宋_GB2312" w:eastAsia="仿宋_GB2312" w:cs="仿宋_GB2312"/>
                <w:spacing w:val="-8"/>
                <w:kern w:val="2"/>
                <w:sz w:val="24"/>
                <w:szCs w:val="24"/>
                <w:lang w:val="en-US" w:eastAsia="zh-CN" w:bidi="ar-SA"/>
              </w:rPr>
            </w:pPr>
            <w:r>
              <w:rPr>
                <w:rFonts w:hint="eastAsia" w:ascii="仿宋_GB2312" w:hAnsi="仿宋_GB2312" w:eastAsia="仿宋_GB2312" w:cs="仿宋_GB2312"/>
                <w:spacing w:val="-8"/>
                <w:sz w:val="24"/>
                <w:szCs w:val="24"/>
                <w:lang w:val="en-US" w:eastAsia="zh-CN"/>
              </w:rPr>
              <w:t>行政处罚</w:t>
            </w:r>
          </w:p>
        </w:tc>
        <w:tc>
          <w:tcPr>
            <w:tcW w:w="8317" w:type="dxa"/>
            <w:shd w:val="clear" w:color="auto" w:fill="auto"/>
            <w:vAlign w:val="top"/>
          </w:tcPr>
          <w:p w14:paraId="225DABE1">
            <w:pPr>
              <w:keepNext w:val="0"/>
              <w:keepLines w:val="0"/>
              <w:pageBreakBefore w:val="0"/>
              <w:widowControl w:val="0"/>
              <w:suppressLineNumbers w:val="0"/>
              <w:kinsoku/>
              <w:wordWrap/>
              <w:overflowPunct/>
              <w:topLinePunct w:val="0"/>
              <w:autoSpaceDE/>
              <w:autoSpaceDN/>
              <w:bidi w:val="0"/>
              <w:adjustRightInd/>
              <w:snapToGrid/>
              <w:spacing w:after="0" w:afterLines="-2147483648" w:line="320" w:lineRule="exact"/>
              <w:ind w:left="240" w:leftChars="100" w:firstLine="420" w:firstLineChars="200"/>
              <w:jc w:val="both"/>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中华人民共和国大气污染防治法》第一百一十七条违反本法规定，有下列行为之一的，由县级以上人民政府生态环境等主管部门按照职责责令改正，处一万元以上十万元以下的罚款；拒不改正的，责令停工整治或者停业整治：（一）未密闭煤炭、煤矸石、煤渣、煤灰、水泥、石灰、石膏、砂土等易产生扬尘的物料的；（二）对不能密闭的易产生扬尘的物料，未设置不低于堆放物高度的严密围挡，或者未采取有效覆盖措施防治扬尘污染的；（三）装卸物料未采取密闭或者喷淋等方式控制扬尘排放的；（四）存放煤炭、煤矸石、煤渣、煤灰等物料，未采取防燃措施的；（五）码头、矿山、填埋场和消纳场未采取有效措施防治扬尘污染的；（六）排放有毒有害大气污染物名录中所列有毒有害大气污染物的企业事业单位，未按照规定建设环境风险预警体系或者对排放口和周边环境进行定期监测、排查环境安全隐患并采取有效措施防范环境风险的；（七）向大气排放持久性有机污染物的企业事业单位和其他生产经营者以及废弃物焚烧设施的运营单位，未按照国家有关规定采取有利于减少持久性有机污染物排放的技术方法和工艺，配备净化装置的；（八）未采取措施防止排放恶臭气体的。</w:t>
            </w:r>
          </w:p>
          <w:p w14:paraId="31C96A13">
            <w:pPr>
              <w:keepNext w:val="0"/>
              <w:keepLines w:val="0"/>
              <w:pageBreakBefore w:val="0"/>
              <w:widowControl w:val="0"/>
              <w:suppressLineNumbers w:val="0"/>
              <w:kinsoku/>
              <w:wordWrap/>
              <w:overflowPunct/>
              <w:topLinePunct w:val="0"/>
              <w:autoSpaceDE/>
              <w:autoSpaceDN/>
              <w:bidi w:val="0"/>
              <w:adjustRightInd/>
              <w:snapToGrid/>
              <w:spacing w:after="0" w:afterLines="-2147483648" w:line="320" w:lineRule="exact"/>
              <w:ind w:left="240" w:leftChars="100" w:firstLine="420" w:firstLineChars="200"/>
              <w:jc w:val="both"/>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陕西省大气污染防治条例（2019年修正）》第七十三条第三款违反本条例第五十九条堆存、装卸水泥、石灰、石膏、砂土、垃圾等易产生扬尘的作业，未采取防扬尘措施，以及违反第六十条、第六十二条规定，由县级以上人民政府生态环境等行政主管部门按照职责责令改正，处一万元以上十万元以下的罚款；拒不改正的，责令停工整治。第四款违反本条例第六十三条规定，由县级生态环境行政主管部门责令改正，处二万元以上五万元以下罚款。第五十九条堆存、装卸、运输煤炭、水泥、石灰、石膏、砂土、垃圾等易产生扬尘的作业，应当采取遮盖、封闭、喷淋、围挡等措施，防止抛洒、扬尘。第六十条建筑垃圾、渣土消纳场、垃圾填埋场和污水处理厂，应当按照相关标准和要求采取防止扬尘的措施。第六十二条露天开采、加工矿产资源，应当采取喷淋、集中开采、运输道路硬化绿化等措施防止扬尘污染。第六十三条城市市区施工工地禁止现场搅拌混凝土和砂浆，强制使用预拌混凝土和预拌砂浆。其他区域的建设工程在现场搅拌砂浆机的，应当配备降尘防尘装置。</w:t>
            </w:r>
          </w:p>
        </w:tc>
        <w:tc>
          <w:tcPr>
            <w:tcW w:w="1129" w:type="dxa"/>
            <w:vAlign w:val="top"/>
          </w:tcPr>
          <w:p w14:paraId="3E014498">
            <w:pPr>
              <w:keepNext w:val="0"/>
              <w:keepLines w:val="0"/>
              <w:pageBreakBefore w:val="0"/>
              <w:widowControl w:val="0"/>
              <w:kinsoku/>
              <w:wordWrap/>
              <w:overflowPunct/>
              <w:topLinePunct w:val="0"/>
              <w:autoSpaceDE/>
              <w:autoSpaceDN/>
              <w:bidi w:val="0"/>
              <w:spacing w:line="320" w:lineRule="exact"/>
              <w:rPr>
                <w:rFonts w:ascii="宋体"/>
                <w:sz w:val="21"/>
              </w:rPr>
            </w:pPr>
          </w:p>
        </w:tc>
        <w:tc>
          <w:tcPr>
            <w:tcW w:w="990" w:type="dxa"/>
            <w:gridSpan w:val="2"/>
            <w:tcBorders>
              <w:right w:val="single" w:color="000000" w:sz="10" w:space="0"/>
            </w:tcBorders>
            <w:vAlign w:val="top"/>
          </w:tcPr>
          <w:p w14:paraId="679B5F1B">
            <w:pPr>
              <w:keepNext w:val="0"/>
              <w:keepLines w:val="0"/>
              <w:pageBreakBefore w:val="0"/>
              <w:widowControl w:val="0"/>
              <w:kinsoku/>
              <w:wordWrap/>
              <w:overflowPunct/>
              <w:topLinePunct w:val="0"/>
              <w:autoSpaceDE/>
              <w:autoSpaceDN/>
              <w:bidi w:val="0"/>
              <w:spacing w:line="320" w:lineRule="exact"/>
              <w:rPr>
                <w:rFonts w:ascii="宋体"/>
                <w:sz w:val="21"/>
              </w:rPr>
            </w:pPr>
          </w:p>
        </w:tc>
      </w:tr>
      <w:tr w14:paraId="46F188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6" w:hRule="atLeast"/>
        </w:trPr>
        <w:tc>
          <w:tcPr>
            <w:tcW w:w="557" w:type="dxa"/>
            <w:tcBorders>
              <w:left w:val="single" w:color="000000" w:sz="10" w:space="0"/>
            </w:tcBorders>
            <w:shd w:val="clear" w:color="auto" w:fill="auto"/>
            <w:vAlign w:val="center"/>
          </w:tcPr>
          <w:p w14:paraId="1D60C7D4">
            <w:pPr>
              <w:keepNext w:val="0"/>
              <w:keepLines w:val="0"/>
              <w:pageBreakBefore w:val="0"/>
              <w:widowControl w:val="0"/>
              <w:kinsoku/>
              <w:wordWrap/>
              <w:overflowPunct/>
              <w:topLinePunct w:val="0"/>
              <w:autoSpaceDE/>
              <w:autoSpaceDN/>
              <w:bidi w:val="0"/>
              <w:spacing w:before="68" w:line="320" w:lineRule="exact"/>
              <w:ind w:left="0" w:leftChars="0" w:firstLine="0" w:firstLineChars="0"/>
              <w:jc w:val="center"/>
              <w:rPr>
                <w:rFonts w:hint="eastAsia" w:ascii="仿宋_GB2312" w:hAnsi="仿宋_GB2312" w:eastAsia="仿宋_GB2312" w:cs="仿宋_GB2312"/>
                <w:spacing w:val="-8"/>
                <w:sz w:val="24"/>
                <w:szCs w:val="24"/>
                <w:lang w:val="en-US" w:eastAsia="zh-CN"/>
              </w:rPr>
            </w:pPr>
            <w:r>
              <w:rPr>
                <w:rFonts w:hint="eastAsia" w:ascii="仿宋_GB2312" w:hAnsi="仿宋_GB2312" w:eastAsia="仿宋_GB2312" w:cs="仿宋_GB2312"/>
                <w:spacing w:val="-8"/>
                <w:sz w:val="24"/>
                <w:szCs w:val="24"/>
                <w:lang w:val="en-US" w:eastAsia="zh-CN"/>
              </w:rPr>
              <w:t>51</w:t>
            </w:r>
          </w:p>
        </w:tc>
        <w:tc>
          <w:tcPr>
            <w:tcW w:w="2355" w:type="dxa"/>
            <w:shd w:val="clear" w:color="auto" w:fill="auto"/>
            <w:vAlign w:val="center"/>
          </w:tcPr>
          <w:p w14:paraId="67B8473E">
            <w:pPr>
              <w:keepNext w:val="0"/>
              <w:keepLines w:val="0"/>
              <w:pageBreakBefore w:val="0"/>
              <w:widowControl w:val="0"/>
              <w:kinsoku/>
              <w:wordWrap/>
              <w:overflowPunct/>
              <w:topLinePunct w:val="0"/>
              <w:autoSpaceDE/>
              <w:autoSpaceDN/>
              <w:bidi w:val="0"/>
              <w:spacing w:before="68" w:line="320" w:lineRule="exact"/>
              <w:ind w:left="240" w:leftChars="100" w:right="127" w:rightChars="53" w:firstLine="0" w:firstLineChars="0"/>
              <w:jc w:val="center"/>
              <w:rPr>
                <w:rFonts w:hint="eastAsia" w:ascii="宋体" w:hAnsi="宋体" w:eastAsia="宋体" w:cs="宋体"/>
                <w:spacing w:val="-8"/>
                <w:kern w:val="2"/>
                <w:sz w:val="21"/>
                <w:szCs w:val="21"/>
                <w:lang w:val="en-US" w:eastAsia="zh-CN" w:bidi="ar-SA"/>
              </w:rPr>
            </w:pPr>
            <w:r>
              <w:rPr>
                <w:rFonts w:hint="eastAsia" w:ascii="宋体" w:hAnsi="宋体" w:eastAsia="宋体" w:cs="宋体"/>
                <w:spacing w:val="-8"/>
                <w:sz w:val="21"/>
                <w:szCs w:val="21"/>
                <w:lang w:val="en-US" w:eastAsia="zh-CN"/>
              </w:rPr>
              <w:t>对干洗、机动车维修未设置废气污染防治设施并保持正常使用，影响周边环境行为的行政处罚</w:t>
            </w:r>
          </w:p>
        </w:tc>
        <w:tc>
          <w:tcPr>
            <w:tcW w:w="1094" w:type="dxa"/>
            <w:shd w:val="clear" w:color="auto" w:fill="auto"/>
            <w:vAlign w:val="center"/>
          </w:tcPr>
          <w:p w14:paraId="18DD4197">
            <w:pPr>
              <w:keepNext w:val="0"/>
              <w:keepLines w:val="0"/>
              <w:pageBreakBefore w:val="0"/>
              <w:widowControl w:val="0"/>
              <w:kinsoku/>
              <w:wordWrap/>
              <w:overflowPunct/>
              <w:topLinePunct w:val="0"/>
              <w:autoSpaceDE/>
              <w:autoSpaceDN/>
              <w:bidi w:val="0"/>
              <w:spacing w:before="68" w:line="320" w:lineRule="exact"/>
              <w:ind w:left="0" w:leftChars="0" w:firstLine="0" w:firstLineChars="0"/>
              <w:jc w:val="center"/>
              <w:rPr>
                <w:rFonts w:hint="eastAsia" w:ascii="仿宋_GB2312" w:hAnsi="仿宋_GB2312" w:eastAsia="仿宋_GB2312" w:cs="仿宋_GB2312"/>
                <w:spacing w:val="-8"/>
                <w:kern w:val="2"/>
                <w:sz w:val="24"/>
                <w:szCs w:val="24"/>
                <w:lang w:val="en-US" w:eastAsia="zh-CN" w:bidi="ar-SA"/>
              </w:rPr>
            </w:pPr>
            <w:r>
              <w:rPr>
                <w:rFonts w:hint="eastAsia" w:ascii="仿宋_GB2312" w:hAnsi="仿宋_GB2312" w:eastAsia="仿宋_GB2312" w:cs="仿宋_GB2312"/>
                <w:spacing w:val="-8"/>
                <w:sz w:val="24"/>
                <w:szCs w:val="24"/>
                <w:lang w:val="en-US" w:eastAsia="zh-CN"/>
              </w:rPr>
              <w:t>行政处罚</w:t>
            </w:r>
          </w:p>
        </w:tc>
        <w:tc>
          <w:tcPr>
            <w:tcW w:w="8317" w:type="dxa"/>
            <w:shd w:val="clear" w:color="auto" w:fill="auto"/>
            <w:vAlign w:val="top"/>
          </w:tcPr>
          <w:p w14:paraId="64F5CDDB">
            <w:pPr>
              <w:keepNext w:val="0"/>
              <w:keepLines w:val="0"/>
              <w:pageBreakBefore w:val="0"/>
              <w:widowControl w:val="0"/>
              <w:suppressLineNumbers w:val="0"/>
              <w:kinsoku/>
              <w:wordWrap/>
              <w:overflowPunct/>
              <w:topLinePunct w:val="0"/>
              <w:autoSpaceDE/>
              <w:autoSpaceDN/>
              <w:bidi w:val="0"/>
              <w:adjustRightInd/>
              <w:snapToGrid/>
              <w:spacing w:after="0" w:afterLines="-2147483648" w:line="320" w:lineRule="exact"/>
              <w:ind w:left="240" w:leftChars="100" w:firstLine="420" w:firstLineChars="200"/>
              <w:jc w:val="both"/>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中华人民共和国大气污染防治法》第一百二十条违反本法规定，从事服装干洗和机动车维修等服务活动，未设置异味和废气处理装置等污染防治设施并保持正常使用，影响周边环境的，由县级以上地方人民政府生态环境主管部门责令改正，处二千元以上二万元以下的罚款；拒不改正的，责令停业整治。</w:t>
            </w:r>
          </w:p>
          <w:p w14:paraId="2683DA0A">
            <w:pPr>
              <w:keepNext w:val="0"/>
              <w:keepLines w:val="0"/>
              <w:pageBreakBefore w:val="0"/>
              <w:widowControl w:val="0"/>
              <w:suppressLineNumbers w:val="0"/>
              <w:kinsoku/>
              <w:wordWrap/>
              <w:overflowPunct/>
              <w:topLinePunct w:val="0"/>
              <w:autoSpaceDE/>
              <w:autoSpaceDN/>
              <w:bidi w:val="0"/>
              <w:adjustRightInd/>
              <w:snapToGrid/>
              <w:spacing w:after="0" w:afterLines="-2147483648" w:line="320" w:lineRule="exact"/>
              <w:ind w:left="240" w:leftChars="100" w:firstLine="420" w:firstLineChars="200"/>
              <w:jc w:val="both"/>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陕西省大气污染防治条例（2019年修正）》第七十一条违反本条例第五十三条第二、三、四款规定，生产经营单位未按规定要求作业的，由县级生态环境行政主管部门责令限期改正，处五万元以上三十万元以下罚款</w:t>
            </w:r>
          </w:p>
        </w:tc>
        <w:tc>
          <w:tcPr>
            <w:tcW w:w="1129" w:type="dxa"/>
            <w:vAlign w:val="top"/>
          </w:tcPr>
          <w:p w14:paraId="4AA45CDE">
            <w:pPr>
              <w:keepNext w:val="0"/>
              <w:keepLines w:val="0"/>
              <w:pageBreakBefore w:val="0"/>
              <w:widowControl w:val="0"/>
              <w:kinsoku/>
              <w:wordWrap/>
              <w:overflowPunct/>
              <w:topLinePunct w:val="0"/>
              <w:autoSpaceDE/>
              <w:autoSpaceDN/>
              <w:bidi w:val="0"/>
              <w:spacing w:line="320" w:lineRule="exact"/>
              <w:rPr>
                <w:rFonts w:ascii="宋体"/>
                <w:sz w:val="21"/>
              </w:rPr>
            </w:pPr>
          </w:p>
        </w:tc>
        <w:tc>
          <w:tcPr>
            <w:tcW w:w="990" w:type="dxa"/>
            <w:gridSpan w:val="2"/>
            <w:tcBorders>
              <w:right w:val="single" w:color="000000" w:sz="10" w:space="0"/>
            </w:tcBorders>
            <w:vAlign w:val="top"/>
          </w:tcPr>
          <w:p w14:paraId="023E076B">
            <w:pPr>
              <w:keepNext w:val="0"/>
              <w:keepLines w:val="0"/>
              <w:pageBreakBefore w:val="0"/>
              <w:widowControl w:val="0"/>
              <w:kinsoku/>
              <w:wordWrap/>
              <w:overflowPunct/>
              <w:topLinePunct w:val="0"/>
              <w:autoSpaceDE/>
              <w:autoSpaceDN/>
              <w:bidi w:val="0"/>
              <w:spacing w:line="320" w:lineRule="exact"/>
              <w:rPr>
                <w:rFonts w:ascii="宋体"/>
                <w:sz w:val="21"/>
              </w:rPr>
            </w:pPr>
          </w:p>
        </w:tc>
      </w:tr>
      <w:tr w14:paraId="690C1C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6" w:hRule="atLeast"/>
        </w:trPr>
        <w:tc>
          <w:tcPr>
            <w:tcW w:w="557" w:type="dxa"/>
            <w:tcBorders>
              <w:left w:val="single" w:color="000000" w:sz="10" w:space="0"/>
            </w:tcBorders>
            <w:shd w:val="clear" w:color="auto" w:fill="auto"/>
            <w:vAlign w:val="center"/>
          </w:tcPr>
          <w:p w14:paraId="09FFED9E">
            <w:pPr>
              <w:keepNext w:val="0"/>
              <w:keepLines w:val="0"/>
              <w:pageBreakBefore w:val="0"/>
              <w:widowControl w:val="0"/>
              <w:kinsoku/>
              <w:wordWrap/>
              <w:overflowPunct/>
              <w:topLinePunct w:val="0"/>
              <w:autoSpaceDE/>
              <w:autoSpaceDN/>
              <w:bidi w:val="0"/>
              <w:spacing w:before="68" w:line="320" w:lineRule="exact"/>
              <w:ind w:left="0" w:leftChars="0" w:firstLine="0" w:firstLineChars="0"/>
              <w:jc w:val="center"/>
              <w:rPr>
                <w:rFonts w:hint="eastAsia" w:ascii="仿宋_GB2312" w:hAnsi="仿宋_GB2312" w:eastAsia="仿宋_GB2312" w:cs="仿宋_GB2312"/>
                <w:spacing w:val="-8"/>
                <w:sz w:val="24"/>
                <w:szCs w:val="24"/>
                <w:lang w:val="en-US" w:eastAsia="zh-CN"/>
              </w:rPr>
            </w:pPr>
            <w:r>
              <w:rPr>
                <w:rFonts w:hint="eastAsia" w:ascii="仿宋_GB2312" w:hAnsi="仿宋_GB2312" w:eastAsia="仿宋_GB2312" w:cs="仿宋_GB2312"/>
                <w:spacing w:val="-8"/>
                <w:sz w:val="24"/>
                <w:szCs w:val="24"/>
                <w:lang w:val="en-US" w:eastAsia="zh-CN"/>
              </w:rPr>
              <w:t>52</w:t>
            </w:r>
          </w:p>
        </w:tc>
        <w:tc>
          <w:tcPr>
            <w:tcW w:w="2355" w:type="dxa"/>
            <w:shd w:val="clear" w:color="auto" w:fill="auto"/>
            <w:vAlign w:val="center"/>
          </w:tcPr>
          <w:p w14:paraId="70468DC3">
            <w:pPr>
              <w:keepNext w:val="0"/>
              <w:keepLines w:val="0"/>
              <w:pageBreakBefore w:val="0"/>
              <w:widowControl w:val="0"/>
              <w:kinsoku/>
              <w:wordWrap/>
              <w:overflowPunct/>
              <w:topLinePunct w:val="0"/>
              <w:autoSpaceDE/>
              <w:autoSpaceDN/>
              <w:bidi w:val="0"/>
              <w:spacing w:before="68" w:line="320" w:lineRule="exact"/>
              <w:ind w:left="240" w:leftChars="100" w:right="127" w:rightChars="53" w:firstLine="0" w:firstLineChars="0"/>
              <w:jc w:val="center"/>
              <w:rPr>
                <w:rFonts w:hint="eastAsia" w:ascii="宋体" w:hAnsi="宋体" w:eastAsia="宋体" w:cs="宋体"/>
                <w:spacing w:val="-8"/>
                <w:kern w:val="2"/>
                <w:sz w:val="21"/>
                <w:szCs w:val="21"/>
                <w:lang w:val="en-US" w:eastAsia="zh-CN" w:bidi="ar-SA"/>
              </w:rPr>
            </w:pPr>
            <w:r>
              <w:rPr>
                <w:rFonts w:hint="eastAsia" w:ascii="宋体" w:hAnsi="宋体" w:eastAsia="宋体" w:cs="宋体"/>
                <w:spacing w:val="-8"/>
                <w:sz w:val="21"/>
                <w:szCs w:val="21"/>
                <w:lang w:val="en-US" w:eastAsia="zh-CN"/>
              </w:rPr>
              <w:t>对造成大气污染事故行为的行政处罚</w:t>
            </w:r>
          </w:p>
        </w:tc>
        <w:tc>
          <w:tcPr>
            <w:tcW w:w="1094" w:type="dxa"/>
            <w:shd w:val="clear" w:color="auto" w:fill="auto"/>
            <w:vAlign w:val="center"/>
          </w:tcPr>
          <w:p w14:paraId="4B37E7A9">
            <w:pPr>
              <w:keepNext w:val="0"/>
              <w:keepLines w:val="0"/>
              <w:pageBreakBefore w:val="0"/>
              <w:widowControl w:val="0"/>
              <w:kinsoku/>
              <w:wordWrap/>
              <w:overflowPunct/>
              <w:topLinePunct w:val="0"/>
              <w:autoSpaceDE/>
              <w:autoSpaceDN/>
              <w:bidi w:val="0"/>
              <w:spacing w:before="68" w:line="320" w:lineRule="exact"/>
              <w:ind w:left="0" w:leftChars="0" w:firstLine="0" w:firstLineChars="0"/>
              <w:jc w:val="center"/>
              <w:rPr>
                <w:rFonts w:hint="eastAsia" w:ascii="仿宋_GB2312" w:hAnsi="仿宋_GB2312" w:eastAsia="仿宋_GB2312" w:cs="仿宋_GB2312"/>
                <w:spacing w:val="-8"/>
                <w:kern w:val="2"/>
                <w:sz w:val="24"/>
                <w:szCs w:val="24"/>
                <w:lang w:val="en-US" w:eastAsia="zh-CN" w:bidi="ar-SA"/>
              </w:rPr>
            </w:pPr>
            <w:r>
              <w:rPr>
                <w:rFonts w:hint="eastAsia" w:ascii="仿宋_GB2312" w:hAnsi="仿宋_GB2312" w:eastAsia="仿宋_GB2312" w:cs="仿宋_GB2312"/>
                <w:spacing w:val="-8"/>
                <w:sz w:val="24"/>
                <w:szCs w:val="24"/>
                <w:lang w:val="en-US" w:eastAsia="zh-CN"/>
              </w:rPr>
              <w:t>行政处罚</w:t>
            </w:r>
          </w:p>
        </w:tc>
        <w:tc>
          <w:tcPr>
            <w:tcW w:w="8317" w:type="dxa"/>
            <w:shd w:val="clear" w:color="auto" w:fill="auto"/>
            <w:vAlign w:val="top"/>
          </w:tcPr>
          <w:p w14:paraId="18575254">
            <w:pPr>
              <w:keepNext w:val="0"/>
              <w:keepLines w:val="0"/>
              <w:pageBreakBefore w:val="0"/>
              <w:widowControl w:val="0"/>
              <w:suppressLineNumbers w:val="0"/>
              <w:kinsoku/>
              <w:wordWrap/>
              <w:overflowPunct/>
              <w:topLinePunct w:val="0"/>
              <w:autoSpaceDE/>
              <w:autoSpaceDN/>
              <w:bidi w:val="0"/>
              <w:adjustRightInd/>
              <w:snapToGrid/>
              <w:spacing w:after="0" w:afterLines="-2147483648" w:line="320" w:lineRule="exact"/>
              <w:ind w:left="240" w:leftChars="100" w:firstLine="420" w:firstLineChars="200"/>
              <w:jc w:val="both"/>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中华人民共和国大气污染防治法》第一百二十二条违反本法规定，造成大气污染事故的，由县级以上人民政府生态环境主管部门依照本条第二款的规定处以罚款；对直接负责的主管人员和其他直接责任人员可以处上一年度从本企业事业单位取得收入百分之五十以下的罚款。对造成一般或者较大大气污染事故的，按照污染事故造成直接损失的一倍以上三倍以下计算罚款；对造成重大或者特大大气污染事故的，按照污染事故造成的直接损失的三倍以上五倍以下计算罚款。</w:t>
            </w:r>
          </w:p>
        </w:tc>
        <w:tc>
          <w:tcPr>
            <w:tcW w:w="1129" w:type="dxa"/>
            <w:vAlign w:val="top"/>
          </w:tcPr>
          <w:p w14:paraId="5EC38CD0">
            <w:pPr>
              <w:keepNext w:val="0"/>
              <w:keepLines w:val="0"/>
              <w:pageBreakBefore w:val="0"/>
              <w:widowControl w:val="0"/>
              <w:kinsoku/>
              <w:wordWrap/>
              <w:overflowPunct/>
              <w:topLinePunct w:val="0"/>
              <w:autoSpaceDE/>
              <w:autoSpaceDN/>
              <w:bidi w:val="0"/>
              <w:spacing w:line="320" w:lineRule="exact"/>
              <w:rPr>
                <w:rFonts w:ascii="宋体"/>
                <w:sz w:val="21"/>
              </w:rPr>
            </w:pPr>
          </w:p>
        </w:tc>
        <w:tc>
          <w:tcPr>
            <w:tcW w:w="990" w:type="dxa"/>
            <w:gridSpan w:val="2"/>
            <w:tcBorders>
              <w:right w:val="single" w:color="000000" w:sz="10" w:space="0"/>
            </w:tcBorders>
            <w:vAlign w:val="top"/>
          </w:tcPr>
          <w:p w14:paraId="243BAB46">
            <w:pPr>
              <w:keepNext w:val="0"/>
              <w:keepLines w:val="0"/>
              <w:pageBreakBefore w:val="0"/>
              <w:widowControl w:val="0"/>
              <w:kinsoku/>
              <w:wordWrap/>
              <w:overflowPunct/>
              <w:topLinePunct w:val="0"/>
              <w:autoSpaceDE/>
              <w:autoSpaceDN/>
              <w:bidi w:val="0"/>
              <w:spacing w:line="320" w:lineRule="exact"/>
              <w:rPr>
                <w:rFonts w:ascii="宋体"/>
                <w:sz w:val="21"/>
              </w:rPr>
            </w:pPr>
          </w:p>
        </w:tc>
      </w:tr>
      <w:tr w14:paraId="0FA07E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6" w:hRule="atLeast"/>
        </w:trPr>
        <w:tc>
          <w:tcPr>
            <w:tcW w:w="557" w:type="dxa"/>
            <w:tcBorders>
              <w:left w:val="single" w:color="000000" w:sz="10" w:space="0"/>
            </w:tcBorders>
            <w:shd w:val="clear" w:color="auto" w:fill="auto"/>
            <w:vAlign w:val="center"/>
          </w:tcPr>
          <w:p w14:paraId="7CEDFDBB">
            <w:pPr>
              <w:keepNext w:val="0"/>
              <w:keepLines w:val="0"/>
              <w:pageBreakBefore w:val="0"/>
              <w:widowControl w:val="0"/>
              <w:kinsoku/>
              <w:wordWrap/>
              <w:overflowPunct/>
              <w:topLinePunct w:val="0"/>
              <w:autoSpaceDE/>
              <w:autoSpaceDN/>
              <w:bidi w:val="0"/>
              <w:spacing w:before="68" w:line="320" w:lineRule="exact"/>
              <w:ind w:left="0" w:leftChars="0" w:firstLine="0" w:firstLineChars="0"/>
              <w:jc w:val="center"/>
              <w:rPr>
                <w:rFonts w:hint="eastAsia" w:ascii="仿宋_GB2312" w:hAnsi="仿宋_GB2312" w:eastAsia="仿宋_GB2312" w:cs="仿宋_GB2312"/>
                <w:spacing w:val="-8"/>
                <w:sz w:val="24"/>
                <w:szCs w:val="24"/>
                <w:lang w:val="en-US" w:eastAsia="zh-CN"/>
              </w:rPr>
            </w:pPr>
            <w:r>
              <w:rPr>
                <w:rFonts w:hint="eastAsia" w:ascii="仿宋_GB2312" w:hAnsi="仿宋_GB2312" w:eastAsia="仿宋_GB2312" w:cs="仿宋_GB2312"/>
                <w:spacing w:val="-8"/>
                <w:sz w:val="24"/>
                <w:szCs w:val="24"/>
                <w:lang w:val="en-US" w:eastAsia="zh-CN"/>
              </w:rPr>
              <w:t>53</w:t>
            </w:r>
          </w:p>
        </w:tc>
        <w:tc>
          <w:tcPr>
            <w:tcW w:w="2355" w:type="dxa"/>
            <w:shd w:val="clear" w:color="auto" w:fill="auto"/>
            <w:vAlign w:val="center"/>
          </w:tcPr>
          <w:p w14:paraId="27D9A38A">
            <w:pPr>
              <w:keepNext w:val="0"/>
              <w:keepLines w:val="0"/>
              <w:pageBreakBefore w:val="0"/>
              <w:widowControl w:val="0"/>
              <w:kinsoku/>
              <w:wordWrap/>
              <w:overflowPunct/>
              <w:topLinePunct w:val="0"/>
              <w:autoSpaceDE/>
              <w:autoSpaceDN/>
              <w:bidi w:val="0"/>
              <w:spacing w:before="68" w:line="320" w:lineRule="exact"/>
              <w:ind w:left="240" w:leftChars="100" w:right="127" w:rightChars="53" w:firstLine="0" w:firstLineChars="0"/>
              <w:jc w:val="center"/>
              <w:rPr>
                <w:rFonts w:hint="eastAsia" w:ascii="宋体" w:hAnsi="宋体" w:eastAsia="宋体" w:cs="宋体"/>
                <w:spacing w:val="-8"/>
                <w:kern w:val="2"/>
                <w:sz w:val="21"/>
                <w:szCs w:val="21"/>
                <w:lang w:val="en-US" w:eastAsia="zh-CN" w:bidi="ar-SA"/>
              </w:rPr>
            </w:pPr>
            <w:r>
              <w:rPr>
                <w:rFonts w:hint="eastAsia" w:ascii="宋体" w:hAnsi="宋体" w:eastAsia="宋体" w:cs="宋体"/>
                <w:spacing w:val="-8"/>
                <w:sz w:val="21"/>
                <w:szCs w:val="21"/>
                <w:lang w:val="en-US" w:eastAsia="zh-CN"/>
              </w:rPr>
              <w:t>对违法排放大气污染物，造成或者可能造成严重大气污染，或者有关证据可能灭失或者被隐匿行为的行政强制</w:t>
            </w:r>
          </w:p>
        </w:tc>
        <w:tc>
          <w:tcPr>
            <w:tcW w:w="1094" w:type="dxa"/>
            <w:shd w:val="clear" w:color="auto" w:fill="auto"/>
            <w:vAlign w:val="center"/>
          </w:tcPr>
          <w:p w14:paraId="556DE145">
            <w:pPr>
              <w:keepNext w:val="0"/>
              <w:keepLines w:val="0"/>
              <w:pageBreakBefore w:val="0"/>
              <w:widowControl w:val="0"/>
              <w:kinsoku/>
              <w:wordWrap/>
              <w:overflowPunct/>
              <w:topLinePunct w:val="0"/>
              <w:autoSpaceDE/>
              <w:autoSpaceDN/>
              <w:bidi w:val="0"/>
              <w:spacing w:before="68" w:line="320" w:lineRule="exact"/>
              <w:ind w:left="0" w:leftChars="0" w:firstLine="0" w:firstLineChars="0"/>
              <w:jc w:val="center"/>
              <w:rPr>
                <w:rFonts w:hint="eastAsia" w:ascii="仿宋_GB2312" w:hAnsi="仿宋_GB2312" w:eastAsia="仿宋_GB2312" w:cs="仿宋_GB2312"/>
                <w:spacing w:val="-8"/>
                <w:kern w:val="2"/>
                <w:sz w:val="24"/>
                <w:szCs w:val="24"/>
                <w:lang w:val="en-US" w:eastAsia="zh-CN" w:bidi="ar-SA"/>
              </w:rPr>
            </w:pPr>
            <w:r>
              <w:rPr>
                <w:rFonts w:hint="eastAsia" w:ascii="仿宋_GB2312" w:hAnsi="仿宋_GB2312" w:eastAsia="仿宋_GB2312" w:cs="仿宋_GB2312"/>
                <w:spacing w:val="-8"/>
                <w:sz w:val="24"/>
                <w:szCs w:val="24"/>
                <w:lang w:val="en-US" w:eastAsia="zh-CN"/>
              </w:rPr>
              <w:t>行政强制</w:t>
            </w:r>
          </w:p>
        </w:tc>
        <w:tc>
          <w:tcPr>
            <w:tcW w:w="8317" w:type="dxa"/>
            <w:shd w:val="clear" w:color="auto" w:fill="auto"/>
            <w:vAlign w:val="top"/>
          </w:tcPr>
          <w:p w14:paraId="568B814C">
            <w:pPr>
              <w:keepNext w:val="0"/>
              <w:keepLines w:val="0"/>
              <w:pageBreakBefore w:val="0"/>
              <w:widowControl w:val="0"/>
              <w:suppressLineNumbers w:val="0"/>
              <w:kinsoku/>
              <w:wordWrap/>
              <w:overflowPunct/>
              <w:topLinePunct w:val="0"/>
              <w:autoSpaceDE/>
              <w:autoSpaceDN/>
              <w:bidi w:val="0"/>
              <w:adjustRightInd/>
              <w:snapToGrid/>
              <w:spacing w:after="0" w:afterLines="-2147483648" w:line="320" w:lineRule="exact"/>
              <w:ind w:left="240" w:leftChars="100" w:firstLine="420" w:firstLineChars="200"/>
              <w:jc w:val="both"/>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中华人民共和国大气污染防治法》第三十条企业事业单位和其他生产经营者违反法律法规规定排放大气污染物，造成或者可能造成严重大气污染，或者有关证据可能灭失或者被隐匿的，县级以上人民政府生态环境主管部门和其他负有大气环境保护监督管理职责的部门，可以对有关设施、设备、物品采取查封、扣押等行政强制措施。</w:t>
            </w:r>
          </w:p>
        </w:tc>
        <w:tc>
          <w:tcPr>
            <w:tcW w:w="1129" w:type="dxa"/>
            <w:vAlign w:val="top"/>
          </w:tcPr>
          <w:p w14:paraId="29A003E6">
            <w:pPr>
              <w:keepNext w:val="0"/>
              <w:keepLines w:val="0"/>
              <w:pageBreakBefore w:val="0"/>
              <w:widowControl w:val="0"/>
              <w:kinsoku/>
              <w:wordWrap/>
              <w:overflowPunct/>
              <w:topLinePunct w:val="0"/>
              <w:autoSpaceDE/>
              <w:autoSpaceDN/>
              <w:bidi w:val="0"/>
              <w:spacing w:line="320" w:lineRule="exact"/>
              <w:rPr>
                <w:rFonts w:ascii="宋体"/>
                <w:sz w:val="21"/>
              </w:rPr>
            </w:pPr>
          </w:p>
        </w:tc>
        <w:tc>
          <w:tcPr>
            <w:tcW w:w="990" w:type="dxa"/>
            <w:gridSpan w:val="2"/>
            <w:tcBorders>
              <w:right w:val="single" w:color="000000" w:sz="10" w:space="0"/>
            </w:tcBorders>
            <w:vAlign w:val="top"/>
          </w:tcPr>
          <w:p w14:paraId="7837348D">
            <w:pPr>
              <w:keepNext w:val="0"/>
              <w:keepLines w:val="0"/>
              <w:pageBreakBefore w:val="0"/>
              <w:widowControl w:val="0"/>
              <w:kinsoku/>
              <w:wordWrap/>
              <w:overflowPunct/>
              <w:topLinePunct w:val="0"/>
              <w:autoSpaceDE/>
              <w:autoSpaceDN/>
              <w:bidi w:val="0"/>
              <w:spacing w:line="320" w:lineRule="exact"/>
              <w:rPr>
                <w:rFonts w:ascii="宋体"/>
                <w:sz w:val="21"/>
              </w:rPr>
            </w:pPr>
          </w:p>
        </w:tc>
      </w:tr>
      <w:tr w14:paraId="0889CD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6" w:hRule="atLeast"/>
        </w:trPr>
        <w:tc>
          <w:tcPr>
            <w:tcW w:w="557" w:type="dxa"/>
            <w:tcBorders>
              <w:left w:val="single" w:color="000000" w:sz="10" w:space="0"/>
            </w:tcBorders>
            <w:shd w:val="clear" w:color="auto" w:fill="auto"/>
            <w:vAlign w:val="center"/>
          </w:tcPr>
          <w:p w14:paraId="623D22B6">
            <w:pPr>
              <w:keepNext w:val="0"/>
              <w:keepLines w:val="0"/>
              <w:pageBreakBefore w:val="0"/>
              <w:widowControl w:val="0"/>
              <w:kinsoku/>
              <w:wordWrap/>
              <w:overflowPunct/>
              <w:topLinePunct w:val="0"/>
              <w:autoSpaceDE/>
              <w:autoSpaceDN/>
              <w:bidi w:val="0"/>
              <w:spacing w:before="68" w:line="320" w:lineRule="exact"/>
              <w:ind w:left="0" w:leftChars="0" w:firstLine="0" w:firstLineChars="0"/>
              <w:jc w:val="center"/>
              <w:rPr>
                <w:rFonts w:hint="eastAsia" w:ascii="仿宋_GB2312" w:hAnsi="仿宋_GB2312" w:eastAsia="仿宋_GB2312" w:cs="仿宋_GB2312"/>
                <w:spacing w:val="-8"/>
                <w:sz w:val="24"/>
                <w:szCs w:val="24"/>
                <w:lang w:val="en-US" w:eastAsia="zh-CN"/>
              </w:rPr>
            </w:pPr>
            <w:r>
              <w:rPr>
                <w:rFonts w:hint="eastAsia" w:ascii="仿宋_GB2312" w:hAnsi="仿宋_GB2312" w:eastAsia="仿宋_GB2312" w:cs="仿宋_GB2312"/>
                <w:spacing w:val="-8"/>
                <w:sz w:val="24"/>
                <w:szCs w:val="24"/>
                <w:lang w:val="en-US" w:eastAsia="zh-CN"/>
              </w:rPr>
              <w:t>54</w:t>
            </w:r>
          </w:p>
        </w:tc>
        <w:tc>
          <w:tcPr>
            <w:tcW w:w="2355" w:type="dxa"/>
            <w:shd w:val="clear" w:color="auto" w:fill="auto"/>
            <w:vAlign w:val="center"/>
          </w:tcPr>
          <w:p w14:paraId="152040A8">
            <w:pPr>
              <w:keepNext w:val="0"/>
              <w:keepLines w:val="0"/>
              <w:pageBreakBefore w:val="0"/>
              <w:widowControl w:val="0"/>
              <w:kinsoku/>
              <w:wordWrap/>
              <w:overflowPunct/>
              <w:topLinePunct w:val="0"/>
              <w:autoSpaceDE/>
              <w:autoSpaceDN/>
              <w:bidi w:val="0"/>
              <w:spacing w:before="68" w:line="320" w:lineRule="exact"/>
              <w:ind w:left="240" w:leftChars="100" w:right="127" w:rightChars="53" w:firstLine="0" w:firstLineChars="0"/>
              <w:jc w:val="center"/>
              <w:rPr>
                <w:rFonts w:hint="eastAsia" w:ascii="宋体" w:hAnsi="宋体" w:eastAsia="宋体" w:cs="宋体"/>
                <w:spacing w:val="-8"/>
                <w:kern w:val="2"/>
                <w:sz w:val="21"/>
                <w:szCs w:val="21"/>
                <w:lang w:val="en-US" w:eastAsia="zh-CN" w:bidi="ar-SA"/>
              </w:rPr>
            </w:pPr>
            <w:r>
              <w:rPr>
                <w:rFonts w:hint="eastAsia" w:ascii="宋体" w:hAnsi="宋体" w:eastAsia="宋体" w:cs="宋体"/>
                <w:spacing w:val="-8"/>
                <w:sz w:val="21"/>
                <w:szCs w:val="21"/>
                <w:lang w:val="en-US" w:eastAsia="zh-CN"/>
              </w:rPr>
              <w:t>对公共场所建筑物室内装修竣工后未经监测或者监测不合格投入使用行为的行政处罚</w:t>
            </w:r>
          </w:p>
        </w:tc>
        <w:tc>
          <w:tcPr>
            <w:tcW w:w="1094" w:type="dxa"/>
            <w:shd w:val="clear" w:color="auto" w:fill="auto"/>
            <w:vAlign w:val="center"/>
          </w:tcPr>
          <w:p w14:paraId="04F971CF">
            <w:pPr>
              <w:keepNext w:val="0"/>
              <w:keepLines w:val="0"/>
              <w:pageBreakBefore w:val="0"/>
              <w:widowControl w:val="0"/>
              <w:kinsoku/>
              <w:wordWrap/>
              <w:overflowPunct/>
              <w:topLinePunct w:val="0"/>
              <w:autoSpaceDE/>
              <w:autoSpaceDN/>
              <w:bidi w:val="0"/>
              <w:spacing w:before="68" w:line="320" w:lineRule="exact"/>
              <w:ind w:left="0" w:leftChars="0" w:firstLine="0" w:firstLineChars="0"/>
              <w:jc w:val="center"/>
              <w:rPr>
                <w:rFonts w:hint="eastAsia" w:ascii="仿宋_GB2312" w:hAnsi="仿宋_GB2312" w:eastAsia="仿宋_GB2312" w:cs="仿宋_GB2312"/>
                <w:spacing w:val="-8"/>
                <w:kern w:val="2"/>
                <w:sz w:val="24"/>
                <w:szCs w:val="24"/>
                <w:lang w:val="en-US" w:eastAsia="zh-CN" w:bidi="ar-SA"/>
              </w:rPr>
            </w:pPr>
            <w:r>
              <w:rPr>
                <w:rFonts w:hint="eastAsia" w:ascii="仿宋_GB2312" w:hAnsi="仿宋_GB2312" w:eastAsia="仿宋_GB2312" w:cs="仿宋_GB2312"/>
                <w:spacing w:val="-8"/>
                <w:sz w:val="24"/>
                <w:szCs w:val="24"/>
                <w:lang w:val="en-US" w:eastAsia="zh-CN"/>
              </w:rPr>
              <w:t>行政处罚</w:t>
            </w:r>
          </w:p>
        </w:tc>
        <w:tc>
          <w:tcPr>
            <w:tcW w:w="8317" w:type="dxa"/>
            <w:shd w:val="clear" w:color="auto" w:fill="auto"/>
            <w:vAlign w:val="top"/>
          </w:tcPr>
          <w:p w14:paraId="76422D82">
            <w:pPr>
              <w:keepNext w:val="0"/>
              <w:keepLines w:val="0"/>
              <w:pageBreakBefore w:val="0"/>
              <w:widowControl w:val="0"/>
              <w:kinsoku/>
              <w:wordWrap/>
              <w:overflowPunct/>
              <w:topLinePunct w:val="0"/>
              <w:autoSpaceDE/>
              <w:autoSpaceDN/>
              <w:bidi w:val="0"/>
              <w:spacing w:before="80" w:line="320" w:lineRule="exact"/>
              <w:ind w:firstLine="396" w:firstLineChars="200"/>
              <w:rPr>
                <w:rFonts w:hint="eastAsia" w:ascii="宋体" w:hAnsi="宋体" w:eastAsia="宋体" w:cs="宋体"/>
                <w:kern w:val="2"/>
                <w:sz w:val="21"/>
                <w:szCs w:val="21"/>
                <w:lang w:val="en-US" w:eastAsia="zh-CN" w:bidi="ar-SA"/>
              </w:rPr>
            </w:pPr>
            <w:r>
              <w:rPr>
                <w:rFonts w:ascii="宋体" w:hAnsi="宋体" w:eastAsia="宋体" w:cs="宋体"/>
                <w:spacing w:val="-6"/>
                <w:sz w:val="21"/>
                <w:szCs w:val="21"/>
              </w:rPr>
              <w:t>1.《陕西省大气污染防治条例（2019年修正）》第七十二条违反本条例第五十四条规定，公共场</w:t>
            </w:r>
            <w:r>
              <w:rPr>
                <w:rFonts w:ascii="宋体" w:hAnsi="宋体" w:eastAsia="宋体" w:cs="宋体"/>
                <w:spacing w:val="-1"/>
                <w:sz w:val="21"/>
                <w:szCs w:val="21"/>
              </w:rPr>
              <w:t>所建筑物室内装修竣工后未经监测或者监测不合格投入使用的，由县级生态环境行政主管部门责令停止使用、限期改正，处一万元以上五万元以下罚款。</w:t>
            </w:r>
            <w:r>
              <w:rPr>
                <w:rFonts w:ascii="宋体" w:hAnsi="宋体" w:eastAsia="宋体" w:cs="宋体"/>
                <w:spacing w:val="-2"/>
                <w:sz w:val="21"/>
                <w:szCs w:val="21"/>
              </w:rPr>
              <w:t>第五十四条科学教育、医疗保健、餐饮住宿、娱乐购物、文化体育、交通运输等公共场所建筑物</w:t>
            </w:r>
            <w:r>
              <w:rPr>
                <w:rFonts w:ascii="宋体" w:hAnsi="宋体" w:eastAsia="宋体" w:cs="宋体"/>
                <w:spacing w:val="-1"/>
                <w:sz w:val="21"/>
                <w:szCs w:val="21"/>
              </w:rPr>
              <w:t>的室内装修竣工后，应当由具有法定资质的监测机构进行室内空气质量监测，并在显著位置公示监测结果。经监测不合格的，不得投入使用。</w:t>
            </w:r>
          </w:p>
        </w:tc>
        <w:tc>
          <w:tcPr>
            <w:tcW w:w="1129" w:type="dxa"/>
            <w:vAlign w:val="top"/>
          </w:tcPr>
          <w:p w14:paraId="28B40DE2">
            <w:pPr>
              <w:keepNext w:val="0"/>
              <w:keepLines w:val="0"/>
              <w:pageBreakBefore w:val="0"/>
              <w:widowControl w:val="0"/>
              <w:kinsoku/>
              <w:wordWrap/>
              <w:overflowPunct/>
              <w:topLinePunct w:val="0"/>
              <w:autoSpaceDE/>
              <w:autoSpaceDN/>
              <w:bidi w:val="0"/>
              <w:spacing w:line="320" w:lineRule="exact"/>
              <w:rPr>
                <w:rFonts w:ascii="宋体"/>
                <w:sz w:val="21"/>
              </w:rPr>
            </w:pPr>
          </w:p>
        </w:tc>
        <w:tc>
          <w:tcPr>
            <w:tcW w:w="990" w:type="dxa"/>
            <w:gridSpan w:val="2"/>
            <w:tcBorders>
              <w:right w:val="single" w:color="000000" w:sz="10" w:space="0"/>
            </w:tcBorders>
            <w:vAlign w:val="top"/>
          </w:tcPr>
          <w:p w14:paraId="504BE7C6">
            <w:pPr>
              <w:keepNext w:val="0"/>
              <w:keepLines w:val="0"/>
              <w:pageBreakBefore w:val="0"/>
              <w:widowControl w:val="0"/>
              <w:kinsoku/>
              <w:wordWrap/>
              <w:overflowPunct/>
              <w:topLinePunct w:val="0"/>
              <w:autoSpaceDE/>
              <w:autoSpaceDN/>
              <w:bidi w:val="0"/>
              <w:spacing w:line="320" w:lineRule="exact"/>
              <w:rPr>
                <w:rFonts w:ascii="宋体"/>
                <w:sz w:val="21"/>
              </w:rPr>
            </w:pPr>
          </w:p>
        </w:tc>
      </w:tr>
      <w:tr w14:paraId="0F34A1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6" w:hRule="atLeast"/>
        </w:trPr>
        <w:tc>
          <w:tcPr>
            <w:tcW w:w="557" w:type="dxa"/>
            <w:tcBorders>
              <w:left w:val="single" w:color="000000" w:sz="10" w:space="0"/>
            </w:tcBorders>
            <w:shd w:val="clear" w:color="auto" w:fill="auto"/>
            <w:vAlign w:val="center"/>
          </w:tcPr>
          <w:p w14:paraId="4AF9C78E">
            <w:pPr>
              <w:keepNext w:val="0"/>
              <w:keepLines w:val="0"/>
              <w:pageBreakBefore w:val="0"/>
              <w:widowControl w:val="0"/>
              <w:kinsoku/>
              <w:wordWrap/>
              <w:overflowPunct/>
              <w:topLinePunct w:val="0"/>
              <w:autoSpaceDE/>
              <w:autoSpaceDN/>
              <w:bidi w:val="0"/>
              <w:spacing w:before="68" w:line="320" w:lineRule="exact"/>
              <w:ind w:left="0" w:leftChars="0" w:firstLine="0" w:firstLineChars="0"/>
              <w:jc w:val="center"/>
              <w:rPr>
                <w:rFonts w:hint="eastAsia" w:ascii="仿宋_GB2312" w:hAnsi="仿宋_GB2312" w:eastAsia="仿宋_GB2312" w:cs="仿宋_GB2312"/>
                <w:spacing w:val="-8"/>
                <w:sz w:val="24"/>
                <w:szCs w:val="24"/>
                <w:lang w:val="en-US" w:eastAsia="zh-CN"/>
              </w:rPr>
            </w:pPr>
            <w:r>
              <w:rPr>
                <w:rFonts w:hint="eastAsia" w:ascii="仿宋_GB2312" w:hAnsi="仿宋_GB2312" w:eastAsia="仿宋_GB2312" w:cs="仿宋_GB2312"/>
                <w:spacing w:val="-8"/>
                <w:sz w:val="24"/>
                <w:szCs w:val="24"/>
                <w:lang w:val="en-US" w:eastAsia="zh-CN"/>
              </w:rPr>
              <w:t>55</w:t>
            </w:r>
          </w:p>
        </w:tc>
        <w:tc>
          <w:tcPr>
            <w:tcW w:w="2355" w:type="dxa"/>
            <w:shd w:val="clear" w:color="auto" w:fill="auto"/>
            <w:vAlign w:val="center"/>
          </w:tcPr>
          <w:p w14:paraId="193631B6">
            <w:pPr>
              <w:keepNext w:val="0"/>
              <w:keepLines w:val="0"/>
              <w:pageBreakBefore w:val="0"/>
              <w:widowControl w:val="0"/>
              <w:kinsoku/>
              <w:wordWrap/>
              <w:overflowPunct/>
              <w:topLinePunct w:val="0"/>
              <w:autoSpaceDE/>
              <w:autoSpaceDN/>
              <w:bidi w:val="0"/>
              <w:spacing w:before="68" w:line="320" w:lineRule="exact"/>
              <w:ind w:left="240" w:leftChars="100" w:right="127" w:rightChars="53" w:firstLine="0" w:firstLineChars="0"/>
              <w:jc w:val="center"/>
              <w:rPr>
                <w:rFonts w:hint="eastAsia" w:ascii="宋体" w:hAnsi="宋体" w:eastAsia="宋体" w:cs="宋体"/>
                <w:spacing w:val="-8"/>
                <w:kern w:val="2"/>
                <w:sz w:val="21"/>
                <w:szCs w:val="21"/>
                <w:lang w:val="en-US" w:eastAsia="zh-CN" w:bidi="ar-SA"/>
              </w:rPr>
            </w:pPr>
            <w:r>
              <w:rPr>
                <w:rFonts w:hint="eastAsia" w:ascii="宋体" w:hAnsi="宋体" w:eastAsia="宋体" w:cs="宋体"/>
                <w:spacing w:val="-8"/>
                <w:sz w:val="21"/>
                <w:szCs w:val="21"/>
                <w:lang w:val="en-US" w:eastAsia="zh-CN"/>
              </w:rPr>
              <w:t>对从事环境监测、环境影响评价文件和竣工验收报告编制、环境监理、技术评估等有关技术服务单位，弄虚作假或者伪造、虚报、瞒报有关数据行为的行政处罚</w:t>
            </w:r>
          </w:p>
        </w:tc>
        <w:tc>
          <w:tcPr>
            <w:tcW w:w="1094" w:type="dxa"/>
            <w:shd w:val="clear" w:color="auto" w:fill="auto"/>
            <w:vAlign w:val="center"/>
          </w:tcPr>
          <w:p w14:paraId="4D9BB79A">
            <w:pPr>
              <w:keepNext w:val="0"/>
              <w:keepLines w:val="0"/>
              <w:pageBreakBefore w:val="0"/>
              <w:widowControl w:val="0"/>
              <w:kinsoku/>
              <w:wordWrap/>
              <w:overflowPunct/>
              <w:topLinePunct w:val="0"/>
              <w:autoSpaceDE/>
              <w:autoSpaceDN/>
              <w:bidi w:val="0"/>
              <w:spacing w:before="68" w:line="320" w:lineRule="exact"/>
              <w:ind w:left="0" w:leftChars="0" w:firstLine="0" w:firstLineChars="0"/>
              <w:jc w:val="center"/>
              <w:rPr>
                <w:rFonts w:hint="eastAsia" w:ascii="仿宋_GB2312" w:hAnsi="仿宋_GB2312" w:eastAsia="仿宋_GB2312" w:cs="仿宋_GB2312"/>
                <w:spacing w:val="-8"/>
                <w:kern w:val="2"/>
                <w:sz w:val="24"/>
                <w:szCs w:val="24"/>
                <w:lang w:val="en-US" w:eastAsia="zh-CN" w:bidi="ar-SA"/>
              </w:rPr>
            </w:pPr>
            <w:r>
              <w:rPr>
                <w:rFonts w:hint="eastAsia" w:ascii="仿宋_GB2312" w:hAnsi="仿宋_GB2312" w:eastAsia="仿宋_GB2312" w:cs="仿宋_GB2312"/>
                <w:spacing w:val="-8"/>
                <w:sz w:val="24"/>
                <w:szCs w:val="24"/>
                <w:lang w:val="en-US" w:eastAsia="zh-CN"/>
              </w:rPr>
              <w:t>行政处罚</w:t>
            </w:r>
          </w:p>
        </w:tc>
        <w:tc>
          <w:tcPr>
            <w:tcW w:w="8317" w:type="dxa"/>
            <w:shd w:val="clear" w:color="auto" w:fill="auto"/>
            <w:vAlign w:val="top"/>
          </w:tcPr>
          <w:p w14:paraId="1958F6B6">
            <w:pPr>
              <w:keepNext w:val="0"/>
              <w:keepLines w:val="0"/>
              <w:pageBreakBefore w:val="0"/>
              <w:widowControl w:val="0"/>
              <w:kinsoku/>
              <w:wordWrap/>
              <w:overflowPunct/>
              <w:topLinePunct w:val="0"/>
              <w:autoSpaceDE/>
              <w:autoSpaceDN/>
              <w:bidi w:val="0"/>
              <w:spacing w:before="69" w:line="320" w:lineRule="exact"/>
              <w:ind w:left="27" w:leftChars="0" w:right="20" w:rightChars="0" w:firstLine="396" w:firstLineChars="200"/>
              <w:rPr>
                <w:rFonts w:hint="eastAsia" w:ascii="宋体" w:hAnsi="宋体" w:eastAsia="宋体" w:cs="宋体"/>
                <w:kern w:val="2"/>
                <w:sz w:val="21"/>
                <w:szCs w:val="21"/>
                <w:lang w:val="en-US" w:eastAsia="zh-CN" w:bidi="ar-SA"/>
              </w:rPr>
            </w:pPr>
            <w:r>
              <w:rPr>
                <w:rFonts w:ascii="宋体" w:hAnsi="宋体" w:eastAsia="宋体" w:cs="宋体"/>
                <w:spacing w:val="-6"/>
                <w:sz w:val="21"/>
                <w:szCs w:val="21"/>
              </w:rPr>
              <w:t>1.《陕西省大气污染防治条例（2019年修正）》第七十四条从事环境监测、环境影响评价文件和</w:t>
            </w:r>
            <w:r>
              <w:rPr>
                <w:rFonts w:ascii="宋体" w:hAnsi="宋体" w:eastAsia="宋体" w:cs="宋体"/>
                <w:spacing w:val="-1"/>
                <w:sz w:val="21"/>
                <w:szCs w:val="21"/>
              </w:rPr>
              <w:t>竣工验收报告编制、环境监理、技术评估等有关技术服务单位，弄虚作假或者伪造、虚报、瞒报有关数据的，由县级以上生态环境行政主管部门责令改正，没收违法所得，并处违法所得一倍以上三倍以</w:t>
            </w:r>
            <w:r>
              <w:rPr>
                <w:rFonts w:ascii="宋体" w:hAnsi="宋体" w:eastAsia="宋体" w:cs="宋体"/>
                <w:spacing w:val="-9"/>
                <w:sz w:val="21"/>
                <w:szCs w:val="21"/>
              </w:rPr>
              <w:t>下罚款；情节严重的，依法降级或者吊销资格证书；构成犯罪的，依法追究刑事责任。</w:t>
            </w:r>
          </w:p>
        </w:tc>
        <w:tc>
          <w:tcPr>
            <w:tcW w:w="1129" w:type="dxa"/>
            <w:vAlign w:val="top"/>
          </w:tcPr>
          <w:p w14:paraId="3A113E3D">
            <w:pPr>
              <w:keepNext w:val="0"/>
              <w:keepLines w:val="0"/>
              <w:pageBreakBefore w:val="0"/>
              <w:widowControl w:val="0"/>
              <w:kinsoku/>
              <w:wordWrap/>
              <w:overflowPunct/>
              <w:topLinePunct w:val="0"/>
              <w:autoSpaceDE/>
              <w:autoSpaceDN/>
              <w:bidi w:val="0"/>
              <w:spacing w:line="320" w:lineRule="exact"/>
              <w:rPr>
                <w:rFonts w:ascii="宋体"/>
                <w:sz w:val="21"/>
              </w:rPr>
            </w:pPr>
          </w:p>
        </w:tc>
        <w:tc>
          <w:tcPr>
            <w:tcW w:w="990" w:type="dxa"/>
            <w:gridSpan w:val="2"/>
            <w:tcBorders>
              <w:right w:val="single" w:color="000000" w:sz="10" w:space="0"/>
            </w:tcBorders>
            <w:vAlign w:val="top"/>
          </w:tcPr>
          <w:p w14:paraId="636B86A2">
            <w:pPr>
              <w:keepNext w:val="0"/>
              <w:keepLines w:val="0"/>
              <w:pageBreakBefore w:val="0"/>
              <w:widowControl w:val="0"/>
              <w:kinsoku/>
              <w:wordWrap/>
              <w:overflowPunct/>
              <w:topLinePunct w:val="0"/>
              <w:autoSpaceDE/>
              <w:autoSpaceDN/>
              <w:bidi w:val="0"/>
              <w:spacing w:line="320" w:lineRule="exact"/>
              <w:rPr>
                <w:rFonts w:ascii="宋体"/>
                <w:sz w:val="21"/>
              </w:rPr>
            </w:pPr>
          </w:p>
        </w:tc>
      </w:tr>
      <w:tr w14:paraId="4C70F2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6" w:hRule="atLeast"/>
        </w:trPr>
        <w:tc>
          <w:tcPr>
            <w:tcW w:w="557" w:type="dxa"/>
            <w:tcBorders>
              <w:left w:val="single" w:color="000000" w:sz="10" w:space="0"/>
            </w:tcBorders>
            <w:shd w:val="clear" w:color="auto" w:fill="auto"/>
            <w:vAlign w:val="center"/>
          </w:tcPr>
          <w:p w14:paraId="51F6A4FB">
            <w:pPr>
              <w:keepNext w:val="0"/>
              <w:keepLines w:val="0"/>
              <w:pageBreakBefore w:val="0"/>
              <w:widowControl w:val="0"/>
              <w:kinsoku/>
              <w:wordWrap/>
              <w:overflowPunct/>
              <w:topLinePunct w:val="0"/>
              <w:autoSpaceDE/>
              <w:autoSpaceDN/>
              <w:bidi w:val="0"/>
              <w:spacing w:before="68" w:line="320" w:lineRule="exact"/>
              <w:ind w:left="0" w:leftChars="0" w:firstLine="0" w:firstLineChars="0"/>
              <w:jc w:val="center"/>
              <w:rPr>
                <w:rFonts w:hint="eastAsia" w:ascii="仿宋_GB2312" w:hAnsi="仿宋_GB2312" w:eastAsia="仿宋_GB2312" w:cs="仿宋_GB2312"/>
                <w:spacing w:val="-8"/>
                <w:sz w:val="24"/>
                <w:szCs w:val="24"/>
                <w:lang w:val="en-US" w:eastAsia="zh-CN"/>
              </w:rPr>
            </w:pPr>
            <w:r>
              <w:rPr>
                <w:rFonts w:hint="eastAsia" w:ascii="仿宋_GB2312" w:hAnsi="仿宋_GB2312" w:eastAsia="仿宋_GB2312" w:cs="仿宋_GB2312"/>
                <w:spacing w:val="-8"/>
                <w:sz w:val="24"/>
                <w:szCs w:val="24"/>
                <w:lang w:val="en-US" w:eastAsia="zh-CN"/>
              </w:rPr>
              <w:t>56</w:t>
            </w:r>
          </w:p>
        </w:tc>
        <w:tc>
          <w:tcPr>
            <w:tcW w:w="2355" w:type="dxa"/>
            <w:shd w:val="clear" w:color="auto" w:fill="auto"/>
            <w:vAlign w:val="center"/>
          </w:tcPr>
          <w:p w14:paraId="1C08C815">
            <w:pPr>
              <w:keepNext w:val="0"/>
              <w:keepLines w:val="0"/>
              <w:pageBreakBefore w:val="0"/>
              <w:widowControl w:val="0"/>
              <w:kinsoku/>
              <w:wordWrap/>
              <w:overflowPunct/>
              <w:topLinePunct w:val="0"/>
              <w:autoSpaceDE/>
              <w:autoSpaceDN/>
              <w:bidi w:val="0"/>
              <w:spacing w:before="68" w:line="320" w:lineRule="exact"/>
              <w:ind w:left="240" w:leftChars="100" w:right="127" w:rightChars="53" w:firstLine="0" w:firstLineChars="0"/>
              <w:jc w:val="center"/>
              <w:rPr>
                <w:rFonts w:hint="eastAsia" w:ascii="宋体" w:hAnsi="宋体" w:eastAsia="宋体" w:cs="宋体"/>
                <w:spacing w:val="-8"/>
                <w:kern w:val="2"/>
                <w:sz w:val="21"/>
                <w:szCs w:val="21"/>
                <w:lang w:val="en-US" w:eastAsia="zh-CN" w:bidi="ar-SA"/>
              </w:rPr>
            </w:pPr>
            <w:r>
              <w:rPr>
                <w:rFonts w:hint="eastAsia" w:ascii="宋体" w:hAnsi="宋体" w:eastAsia="宋体" w:cs="宋体"/>
                <w:spacing w:val="-8"/>
                <w:sz w:val="21"/>
                <w:szCs w:val="21"/>
                <w:lang w:val="en-US" w:eastAsia="zh-CN"/>
              </w:rPr>
              <w:t>对无生产配额许可证生产消耗臭氧层物质行为的行政处罚</w:t>
            </w:r>
          </w:p>
        </w:tc>
        <w:tc>
          <w:tcPr>
            <w:tcW w:w="1094" w:type="dxa"/>
            <w:shd w:val="clear" w:color="auto" w:fill="auto"/>
            <w:vAlign w:val="center"/>
          </w:tcPr>
          <w:p w14:paraId="13048245">
            <w:pPr>
              <w:keepNext w:val="0"/>
              <w:keepLines w:val="0"/>
              <w:pageBreakBefore w:val="0"/>
              <w:widowControl w:val="0"/>
              <w:kinsoku/>
              <w:wordWrap/>
              <w:overflowPunct/>
              <w:topLinePunct w:val="0"/>
              <w:autoSpaceDE/>
              <w:autoSpaceDN/>
              <w:bidi w:val="0"/>
              <w:spacing w:before="68" w:line="320" w:lineRule="exact"/>
              <w:ind w:left="0" w:leftChars="0" w:firstLine="0" w:firstLineChars="0"/>
              <w:jc w:val="center"/>
              <w:rPr>
                <w:rFonts w:hint="eastAsia" w:ascii="仿宋_GB2312" w:hAnsi="仿宋_GB2312" w:eastAsia="仿宋_GB2312" w:cs="仿宋_GB2312"/>
                <w:spacing w:val="-8"/>
                <w:kern w:val="2"/>
                <w:sz w:val="24"/>
                <w:szCs w:val="24"/>
                <w:lang w:val="en-US" w:eastAsia="zh-CN" w:bidi="ar-SA"/>
              </w:rPr>
            </w:pPr>
            <w:r>
              <w:rPr>
                <w:rFonts w:hint="eastAsia" w:ascii="仿宋_GB2312" w:hAnsi="仿宋_GB2312" w:eastAsia="仿宋_GB2312" w:cs="仿宋_GB2312"/>
                <w:spacing w:val="-8"/>
                <w:sz w:val="24"/>
                <w:szCs w:val="24"/>
                <w:lang w:val="en-US" w:eastAsia="zh-CN"/>
              </w:rPr>
              <w:t>行政处罚</w:t>
            </w:r>
          </w:p>
        </w:tc>
        <w:tc>
          <w:tcPr>
            <w:tcW w:w="8317" w:type="dxa"/>
            <w:shd w:val="clear" w:color="auto" w:fill="auto"/>
            <w:vAlign w:val="top"/>
          </w:tcPr>
          <w:p w14:paraId="62561B3D">
            <w:pPr>
              <w:keepNext w:val="0"/>
              <w:keepLines w:val="0"/>
              <w:pageBreakBefore w:val="0"/>
              <w:widowControl w:val="0"/>
              <w:kinsoku/>
              <w:wordWrap/>
              <w:overflowPunct/>
              <w:topLinePunct w:val="0"/>
              <w:autoSpaceDE/>
              <w:autoSpaceDN/>
              <w:bidi w:val="0"/>
              <w:spacing w:before="180" w:line="320" w:lineRule="exact"/>
              <w:ind w:firstLine="404" w:firstLineChars="200"/>
              <w:rPr>
                <w:rFonts w:hint="eastAsia" w:ascii="宋体" w:hAnsi="宋体" w:eastAsia="宋体" w:cs="宋体"/>
                <w:kern w:val="2"/>
                <w:sz w:val="21"/>
                <w:szCs w:val="21"/>
                <w:lang w:val="en-US" w:eastAsia="zh-CN" w:bidi="ar-SA"/>
              </w:rPr>
            </w:pPr>
            <w:r>
              <w:rPr>
                <w:rFonts w:ascii="宋体" w:hAnsi="宋体" w:eastAsia="宋体" w:cs="宋体"/>
                <w:spacing w:val="-4"/>
                <w:sz w:val="21"/>
                <w:szCs w:val="21"/>
              </w:rPr>
              <w:t>1.《消耗臭氧层物质管理条例》第三十一条无生产配额许可证生产消耗臭氧层物质的，由所在地</w:t>
            </w:r>
            <w:r>
              <w:rPr>
                <w:rFonts w:ascii="宋体" w:hAnsi="宋体" w:eastAsia="宋体" w:cs="宋体"/>
                <w:spacing w:val="-2"/>
                <w:sz w:val="21"/>
                <w:szCs w:val="21"/>
              </w:rPr>
              <w:t>县级以上地方人民政府环境保护主管部门责令停止违法行为，没收用于违法生产消耗臭氧层物质的原</w:t>
            </w:r>
            <w:r>
              <w:rPr>
                <w:rFonts w:ascii="宋体" w:hAnsi="宋体" w:eastAsia="宋体" w:cs="宋体"/>
                <w:spacing w:val="-3"/>
                <w:sz w:val="21"/>
                <w:szCs w:val="21"/>
              </w:rPr>
              <w:t>料、违法生产的消耗臭氧层物质和违法所得，拆除、销毁用于违法生产消耗臭氧层物质的设备、设施，</w:t>
            </w:r>
            <w:r>
              <w:rPr>
                <w:rFonts w:ascii="宋体" w:hAnsi="宋体" w:eastAsia="宋体" w:cs="宋体"/>
                <w:spacing w:val="-5"/>
                <w:sz w:val="21"/>
                <w:szCs w:val="21"/>
              </w:rPr>
              <w:t>并处100万元的罚款。</w:t>
            </w:r>
          </w:p>
        </w:tc>
        <w:tc>
          <w:tcPr>
            <w:tcW w:w="1129" w:type="dxa"/>
            <w:vAlign w:val="top"/>
          </w:tcPr>
          <w:p w14:paraId="7FDB0098">
            <w:pPr>
              <w:keepNext w:val="0"/>
              <w:keepLines w:val="0"/>
              <w:pageBreakBefore w:val="0"/>
              <w:widowControl w:val="0"/>
              <w:kinsoku/>
              <w:wordWrap/>
              <w:overflowPunct/>
              <w:topLinePunct w:val="0"/>
              <w:autoSpaceDE/>
              <w:autoSpaceDN/>
              <w:bidi w:val="0"/>
              <w:spacing w:line="320" w:lineRule="exact"/>
              <w:rPr>
                <w:rFonts w:ascii="宋体"/>
                <w:sz w:val="21"/>
              </w:rPr>
            </w:pPr>
          </w:p>
        </w:tc>
        <w:tc>
          <w:tcPr>
            <w:tcW w:w="990" w:type="dxa"/>
            <w:gridSpan w:val="2"/>
            <w:tcBorders>
              <w:right w:val="single" w:color="000000" w:sz="10" w:space="0"/>
            </w:tcBorders>
            <w:vAlign w:val="top"/>
          </w:tcPr>
          <w:p w14:paraId="4CE66E8C">
            <w:pPr>
              <w:keepNext w:val="0"/>
              <w:keepLines w:val="0"/>
              <w:pageBreakBefore w:val="0"/>
              <w:widowControl w:val="0"/>
              <w:kinsoku/>
              <w:wordWrap/>
              <w:overflowPunct/>
              <w:topLinePunct w:val="0"/>
              <w:autoSpaceDE/>
              <w:autoSpaceDN/>
              <w:bidi w:val="0"/>
              <w:spacing w:line="320" w:lineRule="exact"/>
              <w:rPr>
                <w:rFonts w:ascii="宋体"/>
                <w:sz w:val="21"/>
              </w:rPr>
            </w:pPr>
          </w:p>
        </w:tc>
      </w:tr>
      <w:tr w14:paraId="06B017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6" w:hRule="atLeast"/>
        </w:trPr>
        <w:tc>
          <w:tcPr>
            <w:tcW w:w="557" w:type="dxa"/>
            <w:tcBorders>
              <w:left w:val="single" w:color="000000" w:sz="10" w:space="0"/>
            </w:tcBorders>
            <w:shd w:val="clear" w:color="auto" w:fill="auto"/>
            <w:vAlign w:val="center"/>
          </w:tcPr>
          <w:p w14:paraId="6972123E">
            <w:pPr>
              <w:keepNext w:val="0"/>
              <w:keepLines w:val="0"/>
              <w:pageBreakBefore w:val="0"/>
              <w:widowControl w:val="0"/>
              <w:kinsoku/>
              <w:wordWrap/>
              <w:overflowPunct/>
              <w:topLinePunct w:val="0"/>
              <w:autoSpaceDE/>
              <w:autoSpaceDN/>
              <w:bidi w:val="0"/>
              <w:spacing w:before="68" w:line="320" w:lineRule="exact"/>
              <w:ind w:left="0" w:leftChars="0" w:firstLine="0" w:firstLineChars="0"/>
              <w:jc w:val="center"/>
              <w:rPr>
                <w:rFonts w:hint="eastAsia" w:ascii="仿宋_GB2312" w:hAnsi="仿宋_GB2312" w:eastAsia="仿宋_GB2312" w:cs="仿宋_GB2312"/>
                <w:spacing w:val="-8"/>
                <w:sz w:val="24"/>
                <w:szCs w:val="24"/>
                <w:lang w:val="en-US" w:eastAsia="zh-CN"/>
              </w:rPr>
            </w:pPr>
            <w:r>
              <w:rPr>
                <w:rFonts w:hint="eastAsia" w:ascii="仿宋_GB2312" w:hAnsi="仿宋_GB2312" w:eastAsia="仿宋_GB2312" w:cs="仿宋_GB2312"/>
                <w:spacing w:val="-8"/>
                <w:sz w:val="24"/>
                <w:szCs w:val="24"/>
                <w:lang w:val="en-US" w:eastAsia="zh-CN"/>
              </w:rPr>
              <w:t>57</w:t>
            </w:r>
          </w:p>
        </w:tc>
        <w:tc>
          <w:tcPr>
            <w:tcW w:w="2355" w:type="dxa"/>
            <w:shd w:val="clear" w:color="auto" w:fill="auto"/>
            <w:vAlign w:val="center"/>
          </w:tcPr>
          <w:p w14:paraId="5856B9D0">
            <w:pPr>
              <w:keepNext w:val="0"/>
              <w:keepLines w:val="0"/>
              <w:pageBreakBefore w:val="0"/>
              <w:widowControl w:val="0"/>
              <w:kinsoku/>
              <w:wordWrap/>
              <w:overflowPunct/>
              <w:topLinePunct w:val="0"/>
              <w:autoSpaceDE/>
              <w:autoSpaceDN/>
              <w:bidi w:val="0"/>
              <w:spacing w:before="68" w:line="320" w:lineRule="exact"/>
              <w:ind w:left="240" w:leftChars="100" w:right="127" w:rightChars="53" w:firstLine="0" w:firstLineChars="0"/>
              <w:jc w:val="center"/>
              <w:rPr>
                <w:rFonts w:hint="eastAsia" w:ascii="宋体" w:hAnsi="宋体" w:eastAsia="宋体" w:cs="宋体"/>
                <w:spacing w:val="-8"/>
                <w:kern w:val="2"/>
                <w:sz w:val="21"/>
                <w:szCs w:val="21"/>
                <w:lang w:val="en-US" w:eastAsia="zh-CN" w:bidi="ar-SA"/>
              </w:rPr>
            </w:pPr>
            <w:r>
              <w:rPr>
                <w:rFonts w:hint="eastAsia" w:ascii="宋体" w:hAnsi="宋体" w:eastAsia="宋体" w:cs="宋体"/>
                <w:spacing w:val="-8"/>
                <w:sz w:val="21"/>
                <w:szCs w:val="21"/>
                <w:lang w:val="en-US" w:eastAsia="zh-CN"/>
              </w:rPr>
              <w:t>对应当申请领取使用配额许可证的单位无使用配额许可证使用消耗臭氧层物质行为的行政处罚</w:t>
            </w:r>
          </w:p>
        </w:tc>
        <w:tc>
          <w:tcPr>
            <w:tcW w:w="1094" w:type="dxa"/>
            <w:shd w:val="clear" w:color="auto" w:fill="auto"/>
            <w:vAlign w:val="center"/>
          </w:tcPr>
          <w:p w14:paraId="41CCEA07">
            <w:pPr>
              <w:keepNext w:val="0"/>
              <w:keepLines w:val="0"/>
              <w:pageBreakBefore w:val="0"/>
              <w:widowControl w:val="0"/>
              <w:kinsoku/>
              <w:wordWrap/>
              <w:overflowPunct/>
              <w:topLinePunct w:val="0"/>
              <w:autoSpaceDE/>
              <w:autoSpaceDN/>
              <w:bidi w:val="0"/>
              <w:spacing w:before="68" w:line="320" w:lineRule="exact"/>
              <w:ind w:left="0" w:leftChars="0" w:firstLine="0" w:firstLineChars="0"/>
              <w:jc w:val="center"/>
              <w:rPr>
                <w:rFonts w:hint="eastAsia" w:ascii="仿宋_GB2312" w:hAnsi="仿宋_GB2312" w:eastAsia="仿宋_GB2312" w:cs="仿宋_GB2312"/>
                <w:spacing w:val="-8"/>
                <w:kern w:val="2"/>
                <w:sz w:val="24"/>
                <w:szCs w:val="24"/>
                <w:lang w:val="en-US" w:eastAsia="zh-CN" w:bidi="ar-SA"/>
              </w:rPr>
            </w:pPr>
            <w:r>
              <w:rPr>
                <w:rFonts w:hint="eastAsia" w:ascii="仿宋_GB2312" w:hAnsi="仿宋_GB2312" w:eastAsia="仿宋_GB2312" w:cs="仿宋_GB2312"/>
                <w:spacing w:val="-8"/>
                <w:sz w:val="24"/>
                <w:szCs w:val="24"/>
                <w:lang w:val="en-US" w:eastAsia="zh-CN"/>
              </w:rPr>
              <w:t>行政处罚</w:t>
            </w:r>
          </w:p>
        </w:tc>
        <w:tc>
          <w:tcPr>
            <w:tcW w:w="8317" w:type="dxa"/>
            <w:shd w:val="clear" w:color="auto" w:fill="auto"/>
            <w:vAlign w:val="top"/>
          </w:tcPr>
          <w:p w14:paraId="3373F315">
            <w:pPr>
              <w:keepNext w:val="0"/>
              <w:keepLines w:val="0"/>
              <w:pageBreakBefore w:val="0"/>
              <w:widowControl w:val="0"/>
              <w:kinsoku/>
              <w:wordWrap/>
              <w:overflowPunct/>
              <w:topLinePunct w:val="0"/>
              <w:autoSpaceDE/>
              <w:autoSpaceDN/>
              <w:bidi w:val="0"/>
              <w:spacing w:before="186" w:line="320" w:lineRule="exact"/>
              <w:ind w:firstLine="404" w:firstLineChars="200"/>
              <w:rPr>
                <w:rFonts w:hint="eastAsia" w:ascii="宋体" w:hAnsi="宋体" w:eastAsia="宋体" w:cs="宋体"/>
                <w:kern w:val="2"/>
                <w:sz w:val="21"/>
                <w:szCs w:val="21"/>
                <w:lang w:val="en-US" w:eastAsia="zh-CN" w:bidi="ar-SA"/>
              </w:rPr>
            </w:pPr>
            <w:r>
              <w:rPr>
                <w:rFonts w:ascii="宋体" w:hAnsi="宋体" w:eastAsia="宋体" w:cs="宋体"/>
                <w:spacing w:val="-4"/>
                <w:sz w:val="21"/>
                <w:szCs w:val="21"/>
              </w:rPr>
              <w:t>1.《消耗臭氧层物质管理条例》第三十二条依照本条例规定应当申请领取使用配额许可证的单位</w:t>
            </w:r>
            <w:r>
              <w:rPr>
                <w:rFonts w:ascii="宋体" w:hAnsi="宋体" w:eastAsia="宋体" w:cs="宋体"/>
                <w:spacing w:val="-1"/>
                <w:sz w:val="21"/>
                <w:szCs w:val="21"/>
              </w:rPr>
              <w:t>无使用配额许可证使用消耗臭氧层物质的，由所在地县级以上地方人民政府环境保护主管部门责令停止违法行为，没收违法使用的消耗臭氧层物质、违法使用消耗臭氧层物质生产的产品和违法所得，并</w:t>
            </w:r>
            <w:r>
              <w:rPr>
                <w:rFonts w:ascii="宋体" w:hAnsi="宋体" w:eastAsia="宋体" w:cs="宋体"/>
                <w:spacing w:val="-5"/>
                <w:sz w:val="21"/>
                <w:szCs w:val="21"/>
              </w:rPr>
              <w:t>处20万元的罚款；情节严重的，并处50万元的罚款，拆除、销毁用于违法使用消耗臭氧层物质的设</w:t>
            </w:r>
            <w:r>
              <w:rPr>
                <w:rFonts w:ascii="宋体" w:hAnsi="宋体" w:eastAsia="宋体" w:cs="宋体"/>
                <w:spacing w:val="-2"/>
                <w:sz w:val="21"/>
                <w:szCs w:val="21"/>
              </w:rPr>
              <w:t>备、设施。</w:t>
            </w:r>
          </w:p>
        </w:tc>
        <w:tc>
          <w:tcPr>
            <w:tcW w:w="1129" w:type="dxa"/>
            <w:vAlign w:val="top"/>
          </w:tcPr>
          <w:p w14:paraId="461B44D8">
            <w:pPr>
              <w:keepNext w:val="0"/>
              <w:keepLines w:val="0"/>
              <w:pageBreakBefore w:val="0"/>
              <w:widowControl w:val="0"/>
              <w:kinsoku/>
              <w:wordWrap/>
              <w:overflowPunct/>
              <w:topLinePunct w:val="0"/>
              <w:autoSpaceDE/>
              <w:autoSpaceDN/>
              <w:bidi w:val="0"/>
              <w:spacing w:line="320" w:lineRule="exact"/>
              <w:rPr>
                <w:rFonts w:ascii="宋体"/>
                <w:sz w:val="21"/>
              </w:rPr>
            </w:pPr>
          </w:p>
        </w:tc>
        <w:tc>
          <w:tcPr>
            <w:tcW w:w="990" w:type="dxa"/>
            <w:gridSpan w:val="2"/>
            <w:tcBorders>
              <w:right w:val="single" w:color="000000" w:sz="10" w:space="0"/>
            </w:tcBorders>
            <w:vAlign w:val="top"/>
          </w:tcPr>
          <w:p w14:paraId="6FAF7BFF">
            <w:pPr>
              <w:keepNext w:val="0"/>
              <w:keepLines w:val="0"/>
              <w:pageBreakBefore w:val="0"/>
              <w:widowControl w:val="0"/>
              <w:kinsoku/>
              <w:wordWrap/>
              <w:overflowPunct/>
              <w:topLinePunct w:val="0"/>
              <w:autoSpaceDE/>
              <w:autoSpaceDN/>
              <w:bidi w:val="0"/>
              <w:spacing w:line="320" w:lineRule="exact"/>
              <w:rPr>
                <w:rFonts w:ascii="宋体"/>
                <w:sz w:val="21"/>
              </w:rPr>
            </w:pPr>
          </w:p>
        </w:tc>
      </w:tr>
      <w:tr w14:paraId="62B9A3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6" w:hRule="atLeast"/>
        </w:trPr>
        <w:tc>
          <w:tcPr>
            <w:tcW w:w="557" w:type="dxa"/>
            <w:tcBorders>
              <w:left w:val="single" w:color="000000" w:sz="10" w:space="0"/>
            </w:tcBorders>
            <w:shd w:val="clear" w:color="auto" w:fill="auto"/>
            <w:vAlign w:val="center"/>
          </w:tcPr>
          <w:p w14:paraId="0C470EBE">
            <w:pPr>
              <w:keepNext w:val="0"/>
              <w:keepLines w:val="0"/>
              <w:pageBreakBefore w:val="0"/>
              <w:widowControl w:val="0"/>
              <w:kinsoku/>
              <w:wordWrap/>
              <w:overflowPunct/>
              <w:topLinePunct w:val="0"/>
              <w:autoSpaceDE/>
              <w:autoSpaceDN/>
              <w:bidi w:val="0"/>
              <w:spacing w:before="68" w:line="320" w:lineRule="exact"/>
              <w:ind w:left="0" w:leftChars="0" w:firstLine="0" w:firstLineChars="0"/>
              <w:jc w:val="center"/>
              <w:rPr>
                <w:rFonts w:hint="eastAsia" w:ascii="仿宋_GB2312" w:hAnsi="仿宋_GB2312" w:eastAsia="仿宋_GB2312" w:cs="仿宋_GB2312"/>
                <w:spacing w:val="-8"/>
                <w:sz w:val="24"/>
                <w:szCs w:val="24"/>
                <w:lang w:val="en-US" w:eastAsia="zh-CN"/>
              </w:rPr>
            </w:pPr>
            <w:r>
              <w:rPr>
                <w:rFonts w:hint="eastAsia" w:ascii="仿宋_GB2312" w:hAnsi="仿宋_GB2312" w:eastAsia="仿宋_GB2312" w:cs="仿宋_GB2312"/>
                <w:spacing w:val="-8"/>
                <w:sz w:val="24"/>
                <w:szCs w:val="24"/>
                <w:lang w:val="en-US" w:eastAsia="zh-CN"/>
              </w:rPr>
              <w:t>58</w:t>
            </w:r>
          </w:p>
        </w:tc>
        <w:tc>
          <w:tcPr>
            <w:tcW w:w="2355" w:type="dxa"/>
            <w:shd w:val="clear" w:color="auto" w:fill="auto"/>
            <w:vAlign w:val="center"/>
          </w:tcPr>
          <w:p w14:paraId="3155464F">
            <w:pPr>
              <w:keepNext w:val="0"/>
              <w:keepLines w:val="0"/>
              <w:pageBreakBefore w:val="0"/>
              <w:widowControl w:val="0"/>
              <w:kinsoku/>
              <w:wordWrap/>
              <w:overflowPunct/>
              <w:topLinePunct w:val="0"/>
              <w:autoSpaceDE/>
              <w:autoSpaceDN/>
              <w:bidi w:val="0"/>
              <w:spacing w:before="68" w:line="320" w:lineRule="exact"/>
              <w:ind w:left="240" w:leftChars="100" w:right="127" w:rightChars="53" w:firstLine="0" w:firstLineChars="0"/>
              <w:jc w:val="center"/>
              <w:rPr>
                <w:rFonts w:hint="eastAsia" w:ascii="宋体" w:hAnsi="宋体" w:eastAsia="宋体" w:cs="宋体"/>
                <w:spacing w:val="-8"/>
                <w:kern w:val="2"/>
                <w:sz w:val="21"/>
                <w:szCs w:val="21"/>
                <w:lang w:val="en-US" w:eastAsia="zh-CN" w:bidi="ar-SA"/>
              </w:rPr>
            </w:pPr>
            <w:r>
              <w:rPr>
                <w:rFonts w:hint="eastAsia" w:ascii="宋体" w:hAnsi="宋体" w:eastAsia="宋体" w:cs="宋体"/>
                <w:spacing w:val="-8"/>
                <w:sz w:val="21"/>
                <w:szCs w:val="21"/>
                <w:lang w:val="en-US" w:eastAsia="zh-CN"/>
              </w:rPr>
              <w:t>对向不符合规定的单位销售或者购买消耗臭氧层物质行为的行政处罚</w:t>
            </w:r>
          </w:p>
        </w:tc>
        <w:tc>
          <w:tcPr>
            <w:tcW w:w="1094" w:type="dxa"/>
            <w:shd w:val="clear" w:color="auto" w:fill="auto"/>
            <w:vAlign w:val="center"/>
          </w:tcPr>
          <w:p w14:paraId="3BC3B016">
            <w:pPr>
              <w:keepNext w:val="0"/>
              <w:keepLines w:val="0"/>
              <w:pageBreakBefore w:val="0"/>
              <w:widowControl w:val="0"/>
              <w:kinsoku/>
              <w:wordWrap/>
              <w:overflowPunct/>
              <w:topLinePunct w:val="0"/>
              <w:autoSpaceDE/>
              <w:autoSpaceDN/>
              <w:bidi w:val="0"/>
              <w:spacing w:before="68" w:line="320" w:lineRule="exact"/>
              <w:ind w:left="0" w:leftChars="0" w:firstLine="0" w:firstLineChars="0"/>
              <w:jc w:val="center"/>
              <w:rPr>
                <w:rFonts w:hint="eastAsia" w:ascii="仿宋_GB2312" w:hAnsi="仿宋_GB2312" w:eastAsia="仿宋_GB2312" w:cs="仿宋_GB2312"/>
                <w:spacing w:val="-8"/>
                <w:kern w:val="2"/>
                <w:sz w:val="24"/>
                <w:szCs w:val="24"/>
                <w:lang w:val="en-US" w:eastAsia="zh-CN" w:bidi="ar-SA"/>
              </w:rPr>
            </w:pPr>
            <w:r>
              <w:rPr>
                <w:rFonts w:hint="eastAsia" w:ascii="仿宋_GB2312" w:hAnsi="仿宋_GB2312" w:eastAsia="仿宋_GB2312" w:cs="仿宋_GB2312"/>
                <w:spacing w:val="-8"/>
                <w:sz w:val="24"/>
                <w:szCs w:val="24"/>
                <w:lang w:val="en-US" w:eastAsia="zh-CN"/>
              </w:rPr>
              <w:t>行政处罚</w:t>
            </w:r>
          </w:p>
        </w:tc>
        <w:tc>
          <w:tcPr>
            <w:tcW w:w="8317" w:type="dxa"/>
            <w:shd w:val="clear" w:color="auto" w:fill="auto"/>
            <w:vAlign w:val="top"/>
          </w:tcPr>
          <w:p w14:paraId="2B2CFF0C">
            <w:pPr>
              <w:keepNext w:val="0"/>
              <w:keepLines w:val="0"/>
              <w:pageBreakBefore w:val="0"/>
              <w:widowControl w:val="0"/>
              <w:kinsoku/>
              <w:wordWrap/>
              <w:overflowPunct/>
              <w:topLinePunct w:val="0"/>
              <w:autoSpaceDE/>
              <w:autoSpaceDN/>
              <w:bidi w:val="0"/>
              <w:spacing w:before="89" w:line="320" w:lineRule="exact"/>
              <w:ind w:left="26" w:leftChars="0" w:right="19" w:rightChars="0" w:firstLine="404" w:firstLineChars="200"/>
              <w:rPr>
                <w:rFonts w:hint="eastAsia" w:ascii="宋体" w:hAnsi="宋体" w:eastAsia="宋体" w:cs="宋体"/>
                <w:kern w:val="2"/>
                <w:sz w:val="21"/>
                <w:szCs w:val="21"/>
                <w:lang w:val="en-US" w:eastAsia="zh-CN" w:bidi="ar-SA"/>
              </w:rPr>
            </w:pPr>
            <w:r>
              <w:rPr>
                <w:rFonts w:ascii="宋体" w:hAnsi="宋体" w:eastAsia="宋体" w:cs="宋体"/>
                <w:spacing w:val="-4"/>
                <w:sz w:val="21"/>
                <w:szCs w:val="21"/>
              </w:rPr>
              <w:t>1.《消耗臭氧层物质管理条例》第三十四条消耗臭氧层物质的生产、销售、使用单位向不符合本</w:t>
            </w:r>
            <w:r>
              <w:rPr>
                <w:rFonts w:ascii="宋体" w:hAnsi="宋体" w:eastAsia="宋体" w:cs="宋体"/>
                <w:spacing w:val="-1"/>
                <w:sz w:val="21"/>
                <w:szCs w:val="21"/>
              </w:rPr>
              <w:t>条例规定的单位销售或者购买消耗臭氧层物质的，由所在地县级以上地方人民政府环境保护主管部门责令改正，没收违法销售或者购买的消耗臭氧层物质和违法所得，处以所销售或者购买的消耗臭氧层</w:t>
            </w:r>
            <w:r>
              <w:rPr>
                <w:rFonts w:ascii="宋体" w:hAnsi="宋体" w:eastAsia="宋体" w:cs="宋体"/>
                <w:spacing w:val="-5"/>
                <w:sz w:val="21"/>
                <w:szCs w:val="21"/>
              </w:rPr>
              <w:t>物质市场总价3倍的罚款；对取得生产、使用配额许可证的单位，报国务院环境保护主管部门核减其</w:t>
            </w:r>
            <w:r>
              <w:rPr>
                <w:rFonts w:ascii="宋体" w:hAnsi="宋体" w:eastAsia="宋体" w:cs="宋体"/>
                <w:spacing w:val="-1"/>
                <w:sz w:val="21"/>
                <w:szCs w:val="21"/>
              </w:rPr>
              <w:t>生产、使用配额数量。</w:t>
            </w:r>
          </w:p>
        </w:tc>
        <w:tc>
          <w:tcPr>
            <w:tcW w:w="1129" w:type="dxa"/>
            <w:vAlign w:val="top"/>
          </w:tcPr>
          <w:p w14:paraId="37F38E92">
            <w:pPr>
              <w:keepNext w:val="0"/>
              <w:keepLines w:val="0"/>
              <w:pageBreakBefore w:val="0"/>
              <w:widowControl w:val="0"/>
              <w:kinsoku/>
              <w:wordWrap/>
              <w:overflowPunct/>
              <w:topLinePunct w:val="0"/>
              <w:autoSpaceDE/>
              <w:autoSpaceDN/>
              <w:bidi w:val="0"/>
              <w:spacing w:line="320" w:lineRule="exact"/>
              <w:rPr>
                <w:rFonts w:ascii="宋体"/>
                <w:sz w:val="21"/>
              </w:rPr>
            </w:pPr>
          </w:p>
        </w:tc>
        <w:tc>
          <w:tcPr>
            <w:tcW w:w="990" w:type="dxa"/>
            <w:gridSpan w:val="2"/>
            <w:tcBorders>
              <w:right w:val="single" w:color="000000" w:sz="10" w:space="0"/>
            </w:tcBorders>
            <w:vAlign w:val="top"/>
          </w:tcPr>
          <w:p w14:paraId="07434010">
            <w:pPr>
              <w:keepNext w:val="0"/>
              <w:keepLines w:val="0"/>
              <w:pageBreakBefore w:val="0"/>
              <w:widowControl w:val="0"/>
              <w:kinsoku/>
              <w:wordWrap/>
              <w:overflowPunct/>
              <w:topLinePunct w:val="0"/>
              <w:autoSpaceDE/>
              <w:autoSpaceDN/>
              <w:bidi w:val="0"/>
              <w:spacing w:line="320" w:lineRule="exact"/>
              <w:rPr>
                <w:rFonts w:ascii="宋体"/>
                <w:sz w:val="21"/>
              </w:rPr>
            </w:pPr>
          </w:p>
        </w:tc>
      </w:tr>
      <w:tr w14:paraId="3B06B7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6" w:hRule="atLeast"/>
        </w:trPr>
        <w:tc>
          <w:tcPr>
            <w:tcW w:w="557" w:type="dxa"/>
            <w:tcBorders>
              <w:left w:val="single" w:color="000000" w:sz="10" w:space="0"/>
            </w:tcBorders>
            <w:shd w:val="clear" w:color="auto" w:fill="auto"/>
            <w:vAlign w:val="center"/>
          </w:tcPr>
          <w:p w14:paraId="21DAC5A3">
            <w:pPr>
              <w:keepNext w:val="0"/>
              <w:keepLines w:val="0"/>
              <w:pageBreakBefore w:val="0"/>
              <w:widowControl w:val="0"/>
              <w:kinsoku/>
              <w:wordWrap/>
              <w:overflowPunct/>
              <w:topLinePunct w:val="0"/>
              <w:autoSpaceDE/>
              <w:autoSpaceDN/>
              <w:bidi w:val="0"/>
              <w:spacing w:before="68" w:line="320" w:lineRule="exact"/>
              <w:ind w:left="0" w:leftChars="0" w:firstLine="0" w:firstLineChars="0"/>
              <w:jc w:val="center"/>
              <w:rPr>
                <w:rFonts w:hint="eastAsia" w:ascii="仿宋_GB2312" w:hAnsi="仿宋_GB2312" w:eastAsia="仿宋_GB2312" w:cs="仿宋_GB2312"/>
                <w:spacing w:val="-8"/>
                <w:sz w:val="24"/>
                <w:szCs w:val="24"/>
                <w:lang w:val="en-US" w:eastAsia="zh-CN"/>
              </w:rPr>
            </w:pPr>
            <w:r>
              <w:rPr>
                <w:rFonts w:hint="eastAsia" w:ascii="仿宋_GB2312" w:hAnsi="仿宋_GB2312" w:eastAsia="仿宋_GB2312" w:cs="仿宋_GB2312"/>
                <w:spacing w:val="-8"/>
                <w:sz w:val="24"/>
                <w:szCs w:val="24"/>
                <w:lang w:val="en-US" w:eastAsia="zh-CN"/>
              </w:rPr>
              <w:t>59</w:t>
            </w:r>
          </w:p>
        </w:tc>
        <w:tc>
          <w:tcPr>
            <w:tcW w:w="2355" w:type="dxa"/>
            <w:shd w:val="clear" w:color="auto" w:fill="auto"/>
            <w:vAlign w:val="center"/>
          </w:tcPr>
          <w:p w14:paraId="76CA265D">
            <w:pPr>
              <w:keepNext w:val="0"/>
              <w:keepLines w:val="0"/>
              <w:pageBreakBefore w:val="0"/>
              <w:widowControl w:val="0"/>
              <w:kinsoku/>
              <w:wordWrap/>
              <w:overflowPunct/>
              <w:topLinePunct w:val="0"/>
              <w:autoSpaceDE/>
              <w:autoSpaceDN/>
              <w:bidi w:val="0"/>
              <w:spacing w:before="68" w:line="320" w:lineRule="exact"/>
              <w:ind w:left="240" w:leftChars="100" w:right="127" w:rightChars="53" w:firstLine="0" w:firstLineChars="0"/>
              <w:jc w:val="center"/>
              <w:rPr>
                <w:rFonts w:hint="eastAsia" w:ascii="宋体" w:hAnsi="宋体" w:eastAsia="宋体" w:cs="宋体"/>
                <w:spacing w:val="-8"/>
                <w:kern w:val="2"/>
                <w:sz w:val="21"/>
                <w:szCs w:val="21"/>
                <w:lang w:val="en-US" w:eastAsia="zh-CN" w:bidi="ar-SA"/>
              </w:rPr>
            </w:pPr>
            <w:r>
              <w:rPr>
                <w:rFonts w:hint="eastAsia" w:ascii="宋体" w:hAnsi="宋体" w:eastAsia="宋体" w:cs="宋体"/>
                <w:spacing w:val="-8"/>
                <w:sz w:val="21"/>
                <w:szCs w:val="21"/>
                <w:lang w:val="en-US" w:eastAsia="zh-CN"/>
              </w:rPr>
              <w:t>对未按照规定防止或者减少消耗臭氧层物质的泄漏和排放行为的行政处罚</w:t>
            </w:r>
          </w:p>
        </w:tc>
        <w:tc>
          <w:tcPr>
            <w:tcW w:w="1094" w:type="dxa"/>
            <w:shd w:val="clear" w:color="auto" w:fill="auto"/>
            <w:vAlign w:val="center"/>
          </w:tcPr>
          <w:p w14:paraId="1D520800">
            <w:pPr>
              <w:keepNext w:val="0"/>
              <w:keepLines w:val="0"/>
              <w:pageBreakBefore w:val="0"/>
              <w:widowControl w:val="0"/>
              <w:kinsoku/>
              <w:wordWrap/>
              <w:overflowPunct/>
              <w:topLinePunct w:val="0"/>
              <w:autoSpaceDE/>
              <w:autoSpaceDN/>
              <w:bidi w:val="0"/>
              <w:spacing w:before="68" w:line="320" w:lineRule="exact"/>
              <w:ind w:left="0" w:leftChars="0" w:firstLine="0" w:firstLineChars="0"/>
              <w:jc w:val="center"/>
              <w:rPr>
                <w:rFonts w:hint="eastAsia" w:ascii="仿宋_GB2312" w:hAnsi="仿宋_GB2312" w:eastAsia="仿宋_GB2312" w:cs="仿宋_GB2312"/>
                <w:spacing w:val="-8"/>
                <w:kern w:val="2"/>
                <w:sz w:val="24"/>
                <w:szCs w:val="24"/>
                <w:lang w:val="en-US" w:eastAsia="zh-CN" w:bidi="ar-SA"/>
              </w:rPr>
            </w:pPr>
            <w:r>
              <w:rPr>
                <w:rFonts w:hint="eastAsia" w:ascii="仿宋_GB2312" w:hAnsi="仿宋_GB2312" w:eastAsia="仿宋_GB2312" w:cs="仿宋_GB2312"/>
                <w:spacing w:val="-8"/>
                <w:sz w:val="24"/>
                <w:szCs w:val="24"/>
                <w:lang w:val="en-US" w:eastAsia="zh-CN"/>
              </w:rPr>
              <w:t>行政处罚</w:t>
            </w:r>
          </w:p>
        </w:tc>
        <w:tc>
          <w:tcPr>
            <w:tcW w:w="8317" w:type="dxa"/>
            <w:shd w:val="clear" w:color="auto" w:fill="auto"/>
            <w:vAlign w:val="top"/>
          </w:tcPr>
          <w:p w14:paraId="5057134F">
            <w:pPr>
              <w:keepNext w:val="0"/>
              <w:keepLines w:val="0"/>
              <w:pageBreakBefore w:val="0"/>
              <w:widowControl w:val="0"/>
              <w:kinsoku/>
              <w:wordWrap/>
              <w:overflowPunct/>
              <w:topLinePunct w:val="0"/>
              <w:autoSpaceDE/>
              <w:autoSpaceDN/>
              <w:bidi w:val="0"/>
              <w:spacing w:before="92" w:line="320" w:lineRule="exact"/>
              <w:ind w:left="28" w:leftChars="0" w:right="19" w:rightChars="0" w:firstLine="404" w:firstLineChars="200"/>
              <w:rPr>
                <w:rFonts w:ascii="宋体" w:hAnsi="宋体" w:eastAsia="宋体" w:cs="宋体"/>
                <w:kern w:val="2"/>
                <w:sz w:val="21"/>
                <w:szCs w:val="21"/>
                <w:lang w:val="en-US" w:eastAsia="zh-CN" w:bidi="ar-SA"/>
              </w:rPr>
            </w:pPr>
            <w:r>
              <w:rPr>
                <w:rFonts w:ascii="宋体" w:hAnsi="宋体" w:eastAsia="宋体" w:cs="宋体"/>
                <w:spacing w:val="-4"/>
                <w:sz w:val="21"/>
                <w:szCs w:val="21"/>
              </w:rPr>
              <w:t>1.《消耗臭氧层物质管理条例》第三十五条消耗臭氧层物质的生产、使用单位，未按照规定采取</w:t>
            </w:r>
            <w:r>
              <w:rPr>
                <w:rFonts w:ascii="宋体" w:hAnsi="宋体" w:eastAsia="宋体" w:cs="宋体"/>
                <w:spacing w:val="-1"/>
                <w:sz w:val="21"/>
                <w:szCs w:val="21"/>
              </w:rPr>
              <w:t>必要的措施防止或者减少消耗臭氧层物质的泄漏和排放的，由所在地县级以上地方人民政府环境保护</w:t>
            </w:r>
            <w:r>
              <w:rPr>
                <w:rFonts w:ascii="宋体" w:hAnsi="宋体" w:eastAsia="宋体" w:cs="宋体"/>
                <w:spacing w:val="-6"/>
                <w:sz w:val="21"/>
                <w:szCs w:val="21"/>
              </w:rPr>
              <w:t>主管部门责令限期改正，处5万元的罚款；逾期不改正的，处10万元的罚款，报国务院环境保护主管</w:t>
            </w:r>
            <w:r>
              <w:rPr>
                <w:rFonts w:ascii="宋体" w:hAnsi="宋体" w:eastAsia="宋体" w:cs="宋体"/>
                <w:spacing w:val="-1"/>
                <w:sz w:val="21"/>
                <w:szCs w:val="21"/>
              </w:rPr>
              <w:t>部门核减其生产、使用配额数量。</w:t>
            </w:r>
          </w:p>
        </w:tc>
        <w:tc>
          <w:tcPr>
            <w:tcW w:w="1129" w:type="dxa"/>
            <w:vAlign w:val="top"/>
          </w:tcPr>
          <w:p w14:paraId="0B43C48C">
            <w:pPr>
              <w:keepNext w:val="0"/>
              <w:keepLines w:val="0"/>
              <w:pageBreakBefore w:val="0"/>
              <w:widowControl w:val="0"/>
              <w:kinsoku/>
              <w:wordWrap/>
              <w:overflowPunct/>
              <w:topLinePunct w:val="0"/>
              <w:autoSpaceDE/>
              <w:autoSpaceDN/>
              <w:bidi w:val="0"/>
              <w:spacing w:line="320" w:lineRule="exact"/>
              <w:rPr>
                <w:rFonts w:ascii="宋体"/>
                <w:sz w:val="21"/>
              </w:rPr>
            </w:pPr>
          </w:p>
        </w:tc>
        <w:tc>
          <w:tcPr>
            <w:tcW w:w="990" w:type="dxa"/>
            <w:gridSpan w:val="2"/>
            <w:tcBorders>
              <w:right w:val="single" w:color="000000" w:sz="10" w:space="0"/>
            </w:tcBorders>
            <w:vAlign w:val="top"/>
          </w:tcPr>
          <w:p w14:paraId="242867D8">
            <w:pPr>
              <w:keepNext w:val="0"/>
              <w:keepLines w:val="0"/>
              <w:pageBreakBefore w:val="0"/>
              <w:widowControl w:val="0"/>
              <w:kinsoku/>
              <w:wordWrap/>
              <w:overflowPunct/>
              <w:topLinePunct w:val="0"/>
              <w:autoSpaceDE/>
              <w:autoSpaceDN/>
              <w:bidi w:val="0"/>
              <w:spacing w:line="320" w:lineRule="exact"/>
              <w:rPr>
                <w:rFonts w:ascii="宋体"/>
                <w:sz w:val="21"/>
              </w:rPr>
            </w:pPr>
          </w:p>
        </w:tc>
      </w:tr>
      <w:tr w14:paraId="09D5AC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75" w:hRule="atLeast"/>
        </w:trPr>
        <w:tc>
          <w:tcPr>
            <w:tcW w:w="557" w:type="dxa"/>
            <w:tcBorders>
              <w:left w:val="single" w:color="000000" w:sz="10" w:space="0"/>
            </w:tcBorders>
            <w:shd w:val="clear" w:color="auto" w:fill="auto"/>
            <w:vAlign w:val="center"/>
          </w:tcPr>
          <w:p w14:paraId="63E0C5DE">
            <w:pPr>
              <w:keepNext w:val="0"/>
              <w:keepLines w:val="0"/>
              <w:pageBreakBefore w:val="0"/>
              <w:widowControl w:val="0"/>
              <w:kinsoku/>
              <w:wordWrap/>
              <w:overflowPunct/>
              <w:topLinePunct w:val="0"/>
              <w:autoSpaceDE/>
              <w:autoSpaceDN/>
              <w:bidi w:val="0"/>
              <w:spacing w:before="68" w:line="320" w:lineRule="exact"/>
              <w:ind w:left="0" w:leftChars="0" w:firstLine="0" w:firstLineChars="0"/>
              <w:jc w:val="center"/>
              <w:rPr>
                <w:rFonts w:hint="eastAsia" w:ascii="仿宋_GB2312" w:hAnsi="仿宋_GB2312" w:eastAsia="仿宋_GB2312" w:cs="仿宋_GB2312"/>
                <w:spacing w:val="-8"/>
                <w:sz w:val="24"/>
                <w:szCs w:val="24"/>
                <w:lang w:val="en-US" w:eastAsia="zh-CN"/>
              </w:rPr>
            </w:pPr>
            <w:r>
              <w:rPr>
                <w:rFonts w:hint="eastAsia" w:ascii="仿宋_GB2312" w:hAnsi="仿宋_GB2312" w:eastAsia="仿宋_GB2312" w:cs="仿宋_GB2312"/>
                <w:spacing w:val="-8"/>
                <w:sz w:val="24"/>
                <w:szCs w:val="24"/>
                <w:lang w:val="en-US" w:eastAsia="zh-CN"/>
              </w:rPr>
              <w:t>60</w:t>
            </w:r>
          </w:p>
        </w:tc>
        <w:tc>
          <w:tcPr>
            <w:tcW w:w="2355" w:type="dxa"/>
            <w:shd w:val="clear" w:color="auto" w:fill="auto"/>
            <w:vAlign w:val="center"/>
          </w:tcPr>
          <w:p w14:paraId="2D2AD10E">
            <w:pPr>
              <w:keepNext w:val="0"/>
              <w:keepLines w:val="0"/>
              <w:pageBreakBefore w:val="0"/>
              <w:widowControl w:val="0"/>
              <w:kinsoku/>
              <w:wordWrap/>
              <w:overflowPunct/>
              <w:topLinePunct w:val="0"/>
              <w:autoSpaceDE/>
              <w:autoSpaceDN/>
              <w:bidi w:val="0"/>
              <w:spacing w:before="68" w:line="320" w:lineRule="exact"/>
              <w:ind w:left="240" w:leftChars="100" w:right="127" w:rightChars="53" w:firstLine="0" w:firstLineChars="0"/>
              <w:jc w:val="center"/>
              <w:rPr>
                <w:rFonts w:hint="eastAsia" w:ascii="宋体" w:hAnsi="宋体" w:eastAsia="宋体" w:cs="宋体"/>
                <w:spacing w:val="-8"/>
                <w:kern w:val="2"/>
                <w:sz w:val="21"/>
                <w:szCs w:val="21"/>
                <w:lang w:val="en-US" w:eastAsia="zh-CN" w:bidi="ar-SA"/>
              </w:rPr>
            </w:pPr>
            <w:r>
              <w:rPr>
                <w:rFonts w:hint="eastAsia" w:ascii="宋体" w:hAnsi="宋体" w:eastAsia="宋体" w:cs="宋体"/>
                <w:spacing w:val="-8"/>
                <w:sz w:val="21"/>
                <w:szCs w:val="21"/>
                <w:lang w:val="en-US" w:eastAsia="zh-CN"/>
              </w:rPr>
              <w:t>对未按照规定对消耗臭氧层物质进行回收等行为的行政处罚</w:t>
            </w:r>
          </w:p>
        </w:tc>
        <w:tc>
          <w:tcPr>
            <w:tcW w:w="1094" w:type="dxa"/>
            <w:shd w:val="clear" w:color="auto" w:fill="auto"/>
            <w:vAlign w:val="center"/>
          </w:tcPr>
          <w:p w14:paraId="60130B7D">
            <w:pPr>
              <w:keepNext w:val="0"/>
              <w:keepLines w:val="0"/>
              <w:pageBreakBefore w:val="0"/>
              <w:widowControl w:val="0"/>
              <w:kinsoku/>
              <w:wordWrap/>
              <w:overflowPunct/>
              <w:topLinePunct w:val="0"/>
              <w:autoSpaceDE/>
              <w:autoSpaceDN/>
              <w:bidi w:val="0"/>
              <w:spacing w:before="68" w:line="320" w:lineRule="exact"/>
              <w:ind w:left="0" w:leftChars="0" w:firstLine="0" w:firstLineChars="0"/>
              <w:jc w:val="center"/>
              <w:rPr>
                <w:rFonts w:hint="eastAsia" w:ascii="仿宋_GB2312" w:hAnsi="仿宋_GB2312" w:eastAsia="仿宋_GB2312" w:cs="仿宋_GB2312"/>
                <w:spacing w:val="-8"/>
                <w:kern w:val="2"/>
                <w:sz w:val="24"/>
                <w:szCs w:val="24"/>
                <w:lang w:val="en-US" w:eastAsia="zh-CN" w:bidi="ar-SA"/>
              </w:rPr>
            </w:pPr>
            <w:r>
              <w:rPr>
                <w:rFonts w:hint="eastAsia" w:ascii="仿宋_GB2312" w:hAnsi="仿宋_GB2312" w:eastAsia="仿宋_GB2312" w:cs="仿宋_GB2312"/>
                <w:spacing w:val="-8"/>
                <w:sz w:val="24"/>
                <w:szCs w:val="24"/>
                <w:lang w:val="en-US" w:eastAsia="zh-CN"/>
              </w:rPr>
              <w:t>行政处罚</w:t>
            </w:r>
          </w:p>
        </w:tc>
        <w:tc>
          <w:tcPr>
            <w:tcW w:w="8317" w:type="dxa"/>
            <w:shd w:val="clear" w:color="auto" w:fill="auto"/>
            <w:vAlign w:val="top"/>
          </w:tcPr>
          <w:p w14:paraId="083B3792">
            <w:pPr>
              <w:keepNext w:val="0"/>
              <w:keepLines w:val="0"/>
              <w:pageBreakBefore w:val="0"/>
              <w:widowControl w:val="0"/>
              <w:kinsoku/>
              <w:wordWrap/>
              <w:overflowPunct/>
              <w:topLinePunct w:val="0"/>
              <w:autoSpaceDE/>
              <w:autoSpaceDN/>
              <w:bidi w:val="0"/>
              <w:spacing w:before="96" w:line="320" w:lineRule="exact"/>
              <w:ind w:left="28" w:leftChars="0" w:right="19" w:rightChars="0" w:firstLine="404" w:firstLineChars="200"/>
              <w:rPr>
                <w:rFonts w:ascii="宋体" w:hAnsi="宋体" w:eastAsia="宋体" w:cs="宋体"/>
                <w:kern w:val="2"/>
                <w:sz w:val="21"/>
                <w:szCs w:val="21"/>
                <w:lang w:val="en-US" w:eastAsia="zh-CN" w:bidi="ar-SA"/>
              </w:rPr>
            </w:pPr>
            <w:r>
              <w:rPr>
                <w:rFonts w:ascii="宋体" w:hAnsi="宋体" w:eastAsia="宋体" w:cs="宋体"/>
                <w:spacing w:val="-4"/>
                <w:sz w:val="21"/>
                <w:szCs w:val="21"/>
              </w:rPr>
              <w:t>1.《消耗臭氧层物质管理条例》第三十六条从事含消耗臭氧层物质的制冷设备、制冷系统或者灭</w:t>
            </w:r>
            <w:r>
              <w:rPr>
                <w:rFonts w:ascii="宋体" w:hAnsi="宋体" w:eastAsia="宋体" w:cs="宋体"/>
                <w:spacing w:val="-1"/>
                <w:sz w:val="21"/>
                <w:szCs w:val="21"/>
              </w:rPr>
              <w:t>火系统的维修、报废处理等经营活动的单位，未按照规定对消耗臭氧层物质进行回收、循环利用或者交由从事消耗臭氧层物质回收、再生利用、销毁等经营活动的单位进行无害化处置的，由所在地县级以上地方人民政府环境保护主管部门责令改正，处进行无害化处置所需费用3倍的罚款。</w:t>
            </w:r>
          </w:p>
        </w:tc>
        <w:tc>
          <w:tcPr>
            <w:tcW w:w="1129" w:type="dxa"/>
            <w:vAlign w:val="top"/>
          </w:tcPr>
          <w:p w14:paraId="012671CD">
            <w:pPr>
              <w:keepNext w:val="0"/>
              <w:keepLines w:val="0"/>
              <w:pageBreakBefore w:val="0"/>
              <w:widowControl w:val="0"/>
              <w:kinsoku/>
              <w:wordWrap/>
              <w:overflowPunct/>
              <w:topLinePunct w:val="0"/>
              <w:autoSpaceDE/>
              <w:autoSpaceDN/>
              <w:bidi w:val="0"/>
              <w:spacing w:line="320" w:lineRule="exact"/>
              <w:rPr>
                <w:rFonts w:ascii="宋体"/>
                <w:sz w:val="21"/>
              </w:rPr>
            </w:pPr>
          </w:p>
        </w:tc>
        <w:tc>
          <w:tcPr>
            <w:tcW w:w="990" w:type="dxa"/>
            <w:gridSpan w:val="2"/>
            <w:tcBorders>
              <w:right w:val="single" w:color="000000" w:sz="10" w:space="0"/>
            </w:tcBorders>
            <w:vAlign w:val="top"/>
          </w:tcPr>
          <w:p w14:paraId="5CE7DB4A">
            <w:pPr>
              <w:keepNext w:val="0"/>
              <w:keepLines w:val="0"/>
              <w:pageBreakBefore w:val="0"/>
              <w:widowControl w:val="0"/>
              <w:kinsoku/>
              <w:wordWrap/>
              <w:overflowPunct/>
              <w:topLinePunct w:val="0"/>
              <w:autoSpaceDE/>
              <w:autoSpaceDN/>
              <w:bidi w:val="0"/>
              <w:spacing w:line="320" w:lineRule="exact"/>
              <w:rPr>
                <w:rFonts w:ascii="宋体"/>
                <w:sz w:val="21"/>
              </w:rPr>
            </w:pPr>
          </w:p>
        </w:tc>
      </w:tr>
      <w:tr w14:paraId="4E53AC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48" w:hRule="atLeast"/>
        </w:trPr>
        <w:tc>
          <w:tcPr>
            <w:tcW w:w="557" w:type="dxa"/>
            <w:tcBorders>
              <w:left w:val="single" w:color="000000" w:sz="10" w:space="0"/>
            </w:tcBorders>
            <w:shd w:val="clear" w:color="auto" w:fill="auto"/>
            <w:vAlign w:val="center"/>
          </w:tcPr>
          <w:p w14:paraId="01C2C5A3">
            <w:pPr>
              <w:keepNext w:val="0"/>
              <w:keepLines w:val="0"/>
              <w:pageBreakBefore w:val="0"/>
              <w:widowControl w:val="0"/>
              <w:kinsoku/>
              <w:wordWrap/>
              <w:overflowPunct/>
              <w:topLinePunct w:val="0"/>
              <w:autoSpaceDE/>
              <w:autoSpaceDN/>
              <w:bidi w:val="0"/>
              <w:spacing w:before="68" w:line="320" w:lineRule="exact"/>
              <w:ind w:left="0" w:leftChars="0" w:firstLine="0" w:firstLineChars="0"/>
              <w:jc w:val="center"/>
              <w:rPr>
                <w:rFonts w:hint="eastAsia" w:ascii="仿宋_GB2312" w:hAnsi="仿宋_GB2312" w:eastAsia="仿宋_GB2312" w:cs="仿宋_GB2312"/>
                <w:spacing w:val="-8"/>
                <w:sz w:val="24"/>
                <w:szCs w:val="24"/>
                <w:lang w:val="en-US" w:eastAsia="zh-CN"/>
              </w:rPr>
            </w:pPr>
            <w:r>
              <w:rPr>
                <w:rFonts w:hint="eastAsia" w:ascii="仿宋_GB2312" w:hAnsi="仿宋_GB2312" w:eastAsia="仿宋_GB2312" w:cs="仿宋_GB2312"/>
                <w:spacing w:val="-8"/>
                <w:sz w:val="24"/>
                <w:szCs w:val="24"/>
                <w:lang w:val="en-US" w:eastAsia="zh-CN"/>
              </w:rPr>
              <w:t>61</w:t>
            </w:r>
          </w:p>
        </w:tc>
        <w:tc>
          <w:tcPr>
            <w:tcW w:w="2355" w:type="dxa"/>
            <w:shd w:val="clear" w:color="auto" w:fill="auto"/>
            <w:vAlign w:val="center"/>
          </w:tcPr>
          <w:p w14:paraId="6653C1CD">
            <w:pPr>
              <w:keepNext w:val="0"/>
              <w:keepLines w:val="0"/>
              <w:pageBreakBefore w:val="0"/>
              <w:widowControl w:val="0"/>
              <w:kinsoku/>
              <w:wordWrap/>
              <w:overflowPunct/>
              <w:topLinePunct w:val="0"/>
              <w:autoSpaceDE/>
              <w:autoSpaceDN/>
              <w:bidi w:val="0"/>
              <w:spacing w:before="68" w:line="320" w:lineRule="exact"/>
              <w:ind w:left="240" w:leftChars="100" w:right="127" w:rightChars="53" w:firstLine="0" w:firstLineChars="0"/>
              <w:jc w:val="center"/>
              <w:rPr>
                <w:rFonts w:hint="eastAsia" w:ascii="宋体" w:hAnsi="宋体" w:eastAsia="宋体" w:cs="宋体"/>
                <w:spacing w:val="-8"/>
                <w:kern w:val="2"/>
                <w:sz w:val="21"/>
                <w:szCs w:val="21"/>
                <w:lang w:val="en-US" w:eastAsia="zh-CN" w:bidi="ar-SA"/>
              </w:rPr>
            </w:pPr>
            <w:r>
              <w:rPr>
                <w:rFonts w:hint="eastAsia" w:ascii="宋体" w:hAnsi="宋体" w:eastAsia="宋体" w:cs="宋体"/>
                <w:spacing w:val="-8"/>
                <w:sz w:val="21"/>
                <w:szCs w:val="21"/>
                <w:lang w:val="en-US" w:eastAsia="zh-CN"/>
              </w:rPr>
              <w:t>对未按照规定进行无害化处置直接向大气排放行为的行政处罚</w:t>
            </w:r>
          </w:p>
        </w:tc>
        <w:tc>
          <w:tcPr>
            <w:tcW w:w="1094" w:type="dxa"/>
            <w:shd w:val="clear" w:color="auto" w:fill="auto"/>
            <w:vAlign w:val="center"/>
          </w:tcPr>
          <w:p w14:paraId="15AAC6FF">
            <w:pPr>
              <w:keepNext w:val="0"/>
              <w:keepLines w:val="0"/>
              <w:pageBreakBefore w:val="0"/>
              <w:widowControl w:val="0"/>
              <w:kinsoku/>
              <w:wordWrap/>
              <w:overflowPunct/>
              <w:topLinePunct w:val="0"/>
              <w:autoSpaceDE/>
              <w:autoSpaceDN/>
              <w:bidi w:val="0"/>
              <w:spacing w:before="68" w:line="320" w:lineRule="exact"/>
              <w:ind w:left="0" w:leftChars="0" w:firstLine="0" w:firstLineChars="0"/>
              <w:jc w:val="center"/>
              <w:rPr>
                <w:rFonts w:hint="eastAsia" w:ascii="仿宋_GB2312" w:hAnsi="仿宋_GB2312" w:eastAsia="仿宋_GB2312" w:cs="仿宋_GB2312"/>
                <w:spacing w:val="-8"/>
                <w:kern w:val="2"/>
                <w:sz w:val="24"/>
                <w:szCs w:val="24"/>
                <w:lang w:val="en-US" w:eastAsia="zh-CN" w:bidi="ar-SA"/>
              </w:rPr>
            </w:pPr>
            <w:r>
              <w:rPr>
                <w:rFonts w:hint="eastAsia" w:ascii="仿宋_GB2312" w:hAnsi="仿宋_GB2312" w:eastAsia="仿宋_GB2312" w:cs="仿宋_GB2312"/>
                <w:spacing w:val="-8"/>
                <w:sz w:val="24"/>
                <w:szCs w:val="24"/>
                <w:lang w:val="en-US" w:eastAsia="zh-CN"/>
              </w:rPr>
              <w:t>行政处罚</w:t>
            </w:r>
          </w:p>
        </w:tc>
        <w:tc>
          <w:tcPr>
            <w:tcW w:w="8317" w:type="dxa"/>
            <w:shd w:val="clear" w:color="auto" w:fill="auto"/>
            <w:vAlign w:val="top"/>
          </w:tcPr>
          <w:p w14:paraId="3AECDD75">
            <w:pPr>
              <w:keepNext w:val="0"/>
              <w:keepLines w:val="0"/>
              <w:pageBreakBefore w:val="0"/>
              <w:widowControl w:val="0"/>
              <w:kinsoku/>
              <w:wordWrap/>
              <w:overflowPunct/>
              <w:topLinePunct w:val="0"/>
              <w:autoSpaceDE/>
              <w:autoSpaceDN/>
              <w:bidi w:val="0"/>
              <w:spacing w:before="137" w:line="320" w:lineRule="exact"/>
              <w:ind w:left="27" w:leftChars="0" w:right="22" w:rightChars="0" w:firstLine="404" w:firstLineChars="200"/>
              <w:rPr>
                <w:rFonts w:ascii="宋体" w:hAnsi="宋体" w:eastAsia="宋体" w:cs="宋体"/>
                <w:kern w:val="2"/>
                <w:sz w:val="21"/>
                <w:szCs w:val="21"/>
                <w:lang w:val="en-US" w:eastAsia="zh-CN" w:bidi="ar-SA"/>
              </w:rPr>
            </w:pPr>
            <w:r>
              <w:rPr>
                <w:rFonts w:ascii="宋体" w:hAnsi="宋体" w:eastAsia="宋体" w:cs="宋体"/>
                <w:spacing w:val="-4"/>
                <w:sz w:val="21"/>
                <w:szCs w:val="21"/>
              </w:rPr>
              <w:t>1.《消耗臭氧层物质管理条例》第三十七条从事消耗臭氧层物质回收、再生利用、销毁等经营活</w:t>
            </w:r>
            <w:r>
              <w:rPr>
                <w:rFonts w:ascii="宋体" w:hAnsi="宋体" w:eastAsia="宋体" w:cs="宋体"/>
                <w:spacing w:val="-1"/>
                <w:sz w:val="21"/>
                <w:szCs w:val="21"/>
              </w:rPr>
              <w:t>动的单位，未按照规定对消耗臭氧层物质进行无害化处置而直接向大气排放的，由所在地县级以上地方人民政府环境保护主管部门责令改正，处进行无害化处置所需费用3倍的罚款。</w:t>
            </w:r>
          </w:p>
        </w:tc>
        <w:tc>
          <w:tcPr>
            <w:tcW w:w="1129" w:type="dxa"/>
            <w:shd w:val="clear" w:color="auto" w:fill="auto"/>
            <w:vAlign w:val="center"/>
          </w:tcPr>
          <w:p w14:paraId="4FF7EDD2">
            <w:pPr>
              <w:keepNext w:val="0"/>
              <w:keepLines w:val="0"/>
              <w:pageBreakBefore w:val="0"/>
              <w:widowControl w:val="0"/>
              <w:kinsoku/>
              <w:wordWrap/>
              <w:overflowPunct/>
              <w:topLinePunct w:val="0"/>
              <w:autoSpaceDE/>
              <w:autoSpaceDN/>
              <w:bidi w:val="0"/>
              <w:spacing w:before="68" w:line="320" w:lineRule="exact"/>
              <w:ind w:left="0" w:leftChars="0" w:firstLine="0" w:firstLineChars="0"/>
              <w:jc w:val="center"/>
              <w:rPr>
                <w:rFonts w:ascii="黑体" w:hAnsi="黑体" w:eastAsia="黑体" w:cs="黑体"/>
                <w:spacing w:val="-5"/>
                <w:kern w:val="2"/>
                <w:sz w:val="21"/>
                <w:szCs w:val="21"/>
                <w:lang w:val="en-US" w:eastAsia="zh-CN" w:bidi="ar-SA"/>
              </w:rPr>
            </w:pPr>
          </w:p>
        </w:tc>
        <w:tc>
          <w:tcPr>
            <w:tcW w:w="990" w:type="dxa"/>
            <w:gridSpan w:val="2"/>
            <w:tcBorders>
              <w:right w:val="single" w:color="000000" w:sz="10" w:space="0"/>
            </w:tcBorders>
            <w:shd w:val="clear" w:color="auto" w:fill="auto"/>
            <w:vAlign w:val="center"/>
          </w:tcPr>
          <w:p w14:paraId="7641A558">
            <w:pPr>
              <w:keepNext w:val="0"/>
              <w:keepLines w:val="0"/>
              <w:pageBreakBefore w:val="0"/>
              <w:widowControl w:val="0"/>
              <w:kinsoku/>
              <w:wordWrap/>
              <w:overflowPunct/>
              <w:topLinePunct w:val="0"/>
              <w:autoSpaceDE/>
              <w:autoSpaceDN/>
              <w:bidi w:val="0"/>
              <w:spacing w:before="68" w:line="320" w:lineRule="exact"/>
              <w:ind w:left="0" w:leftChars="0" w:firstLine="0" w:firstLineChars="0"/>
              <w:jc w:val="center"/>
              <w:rPr>
                <w:rFonts w:ascii="黑体" w:hAnsi="黑体" w:eastAsia="黑体" w:cs="黑体"/>
                <w:spacing w:val="-5"/>
                <w:kern w:val="2"/>
                <w:sz w:val="21"/>
                <w:szCs w:val="21"/>
                <w:lang w:val="en-US" w:eastAsia="zh-CN" w:bidi="ar-SA"/>
              </w:rPr>
            </w:pPr>
          </w:p>
        </w:tc>
      </w:tr>
      <w:tr w14:paraId="06D3EC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6" w:hRule="atLeast"/>
        </w:trPr>
        <w:tc>
          <w:tcPr>
            <w:tcW w:w="557" w:type="dxa"/>
            <w:tcBorders>
              <w:left w:val="single" w:color="000000" w:sz="10" w:space="0"/>
            </w:tcBorders>
            <w:shd w:val="clear" w:color="auto" w:fill="auto"/>
            <w:vAlign w:val="center"/>
          </w:tcPr>
          <w:p w14:paraId="74D77A6A">
            <w:pPr>
              <w:keepNext w:val="0"/>
              <w:keepLines w:val="0"/>
              <w:pageBreakBefore w:val="0"/>
              <w:widowControl w:val="0"/>
              <w:kinsoku/>
              <w:wordWrap/>
              <w:overflowPunct/>
              <w:topLinePunct w:val="0"/>
              <w:autoSpaceDE/>
              <w:autoSpaceDN/>
              <w:bidi w:val="0"/>
              <w:spacing w:before="68" w:line="320" w:lineRule="exact"/>
              <w:ind w:left="0" w:leftChars="0" w:firstLine="0" w:firstLineChars="0"/>
              <w:jc w:val="center"/>
              <w:rPr>
                <w:rFonts w:hint="eastAsia" w:ascii="仿宋_GB2312" w:hAnsi="仿宋_GB2312" w:eastAsia="仿宋_GB2312" w:cs="仿宋_GB2312"/>
                <w:spacing w:val="-8"/>
                <w:sz w:val="24"/>
                <w:szCs w:val="24"/>
                <w:lang w:val="en-US" w:eastAsia="zh-CN"/>
              </w:rPr>
            </w:pPr>
            <w:r>
              <w:rPr>
                <w:rFonts w:hint="eastAsia" w:ascii="仿宋_GB2312" w:hAnsi="仿宋_GB2312" w:eastAsia="仿宋_GB2312" w:cs="仿宋_GB2312"/>
                <w:spacing w:val="-8"/>
                <w:sz w:val="24"/>
                <w:szCs w:val="24"/>
                <w:lang w:val="en-US" w:eastAsia="zh-CN"/>
              </w:rPr>
              <w:t>62</w:t>
            </w:r>
          </w:p>
        </w:tc>
        <w:tc>
          <w:tcPr>
            <w:tcW w:w="2355" w:type="dxa"/>
            <w:shd w:val="clear" w:color="auto" w:fill="auto"/>
            <w:vAlign w:val="center"/>
          </w:tcPr>
          <w:p w14:paraId="1F68EDB3">
            <w:pPr>
              <w:keepNext w:val="0"/>
              <w:keepLines w:val="0"/>
              <w:pageBreakBefore w:val="0"/>
              <w:widowControl w:val="0"/>
              <w:kinsoku/>
              <w:wordWrap/>
              <w:overflowPunct/>
              <w:topLinePunct w:val="0"/>
              <w:autoSpaceDE/>
              <w:autoSpaceDN/>
              <w:bidi w:val="0"/>
              <w:spacing w:before="68" w:line="320" w:lineRule="exact"/>
              <w:ind w:left="240" w:leftChars="100" w:right="127" w:rightChars="53" w:firstLine="0" w:firstLineChars="0"/>
              <w:jc w:val="center"/>
              <w:rPr>
                <w:rFonts w:hint="eastAsia" w:ascii="宋体" w:hAnsi="宋体" w:eastAsia="宋体" w:cs="宋体"/>
                <w:spacing w:val="-8"/>
                <w:kern w:val="2"/>
                <w:sz w:val="21"/>
                <w:szCs w:val="21"/>
                <w:lang w:val="en-US" w:eastAsia="zh-CN" w:bidi="ar-SA"/>
              </w:rPr>
            </w:pPr>
            <w:r>
              <w:rPr>
                <w:rFonts w:hint="eastAsia" w:ascii="宋体" w:hAnsi="宋体" w:eastAsia="宋体" w:cs="宋体"/>
                <w:spacing w:val="-8"/>
                <w:sz w:val="21"/>
                <w:szCs w:val="21"/>
                <w:lang w:val="en-US" w:eastAsia="zh-CN"/>
              </w:rPr>
              <w:t>对违法生产、销售、使用、进出口的消耗臭氧层物质的单位及其生产设备、设施、原料及产品行为的行政强制</w:t>
            </w:r>
          </w:p>
        </w:tc>
        <w:tc>
          <w:tcPr>
            <w:tcW w:w="1094" w:type="dxa"/>
            <w:shd w:val="clear" w:color="auto" w:fill="auto"/>
            <w:vAlign w:val="center"/>
          </w:tcPr>
          <w:p w14:paraId="08DEF981">
            <w:pPr>
              <w:keepNext w:val="0"/>
              <w:keepLines w:val="0"/>
              <w:pageBreakBefore w:val="0"/>
              <w:widowControl w:val="0"/>
              <w:kinsoku/>
              <w:wordWrap/>
              <w:overflowPunct/>
              <w:topLinePunct w:val="0"/>
              <w:autoSpaceDE/>
              <w:autoSpaceDN/>
              <w:bidi w:val="0"/>
              <w:spacing w:before="68" w:line="320" w:lineRule="exact"/>
              <w:ind w:left="0" w:leftChars="0" w:firstLine="0" w:firstLineChars="0"/>
              <w:jc w:val="center"/>
              <w:rPr>
                <w:rFonts w:hint="eastAsia" w:ascii="仿宋_GB2312" w:hAnsi="仿宋_GB2312" w:eastAsia="仿宋_GB2312" w:cs="仿宋_GB2312"/>
                <w:spacing w:val="-8"/>
                <w:kern w:val="2"/>
                <w:sz w:val="24"/>
                <w:szCs w:val="24"/>
                <w:lang w:val="en-US" w:eastAsia="zh-CN" w:bidi="ar-SA"/>
              </w:rPr>
            </w:pPr>
            <w:r>
              <w:rPr>
                <w:rFonts w:hint="eastAsia" w:ascii="仿宋_GB2312" w:hAnsi="仿宋_GB2312" w:eastAsia="仿宋_GB2312" w:cs="仿宋_GB2312"/>
                <w:spacing w:val="-8"/>
                <w:sz w:val="24"/>
                <w:szCs w:val="24"/>
                <w:lang w:val="en-US" w:eastAsia="zh-CN"/>
              </w:rPr>
              <w:t>行政强制</w:t>
            </w:r>
          </w:p>
        </w:tc>
        <w:tc>
          <w:tcPr>
            <w:tcW w:w="8317" w:type="dxa"/>
            <w:shd w:val="clear" w:color="auto" w:fill="auto"/>
            <w:vAlign w:val="top"/>
          </w:tcPr>
          <w:p w14:paraId="53B3156C">
            <w:pPr>
              <w:keepNext w:val="0"/>
              <w:keepLines w:val="0"/>
              <w:pageBreakBefore w:val="0"/>
              <w:widowControl w:val="0"/>
              <w:kinsoku/>
              <w:wordWrap/>
              <w:overflowPunct/>
              <w:topLinePunct w:val="0"/>
              <w:autoSpaceDE/>
              <w:autoSpaceDN/>
              <w:bidi w:val="0"/>
              <w:spacing w:before="140" w:line="320" w:lineRule="exact"/>
              <w:ind w:left="27" w:leftChars="0" w:right="19" w:rightChars="0" w:firstLine="404" w:firstLineChars="200"/>
              <w:rPr>
                <w:rFonts w:ascii="宋体" w:hAnsi="宋体" w:eastAsia="宋体" w:cs="宋体"/>
                <w:kern w:val="2"/>
                <w:sz w:val="21"/>
                <w:szCs w:val="21"/>
                <w:lang w:val="en-US" w:eastAsia="zh-CN" w:bidi="ar-SA"/>
              </w:rPr>
            </w:pPr>
            <w:r>
              <w:rPr>
                <w:rFonts w:ascii="宋体" w:hAnsi="宋体" w:eastAsia="宋体" w:cs="宋体"/>
                <w:spacing w:val="-4"/>
                <w:sz w:val="21"/>
                <w:szCs w:val="21"/>
              </w:rPr>
              <w:t>1.《消耗臭氧层物质管理条例》第二十六条第一款第五项县级以上人民政府环境保护主管部门和</w:t>
            </w:r>
            <w:r>
              <w:rPr>
                <w:rFonts w:ascii="宋体" w:hAnsi="宋体" w:eastAsia="宋体" w:cs="宋体"/>
                <w:spacing w:val="-1"/>
                <w:sz w:val="21"/>
                <w:szCs w:val="21"/>
              </w:rPr>
              <w:t>其他有关部门进行监督检查，有权采取下列措施：（五）扣押、查封违法生产、销售、使用、进出口的消耗臭氧层物质及其生产设备、设施、原料</w:t>
            </w:r>
            <w:r>
              <w:rPr>
                <w:rFonts w:ascii="宋体" w:hAnsi="宋体" w:eastAsia="宋体" w:cs="宋体"/>
                <w:spacing w:val="-3"/>
                <w:sz w:val="21"/>
                <w:szCs w:val="21"/>
              </w:rPr>
              <w:t>及产品。</w:t>
            </w:r>
          </w:p>
        </w:tc>
        <w:tc>
          <w:tcPr>
            <w:tcW w:w="1129" w:type="dxa"/>
            <w:shd w:val="clear" w:color="auto" w:fill="auto"/>
            <w:vAlign w:val="center"/>
          </w:tcPr>
          <w:p w14:paraId="690545F7">
            <w:pPr>
              <w:keepNext w:val="0"/>
              <w:keepLines w:val="0"/>
              <w:pageBreakBefore w:val="0"/>
              <w:widowControl w:val="0"/>
              <w:kinsoku/>
              <w:wordWrap/>
              <w:overflowPunct/>
              <w:topLinePunct w:val="0"/>
              <w:autoSpaceDE/>
              <w:autoSpaceDN/>
              <w:bidi w:val="0"/>
              <w:spacing w:before="68" w:line="320" w:lineRule="exact"/>
              <w:ind w:left="0" w:leftChars="0" w:firstLine="0" w:firstLineChars="0"/>
              <w:jc w:val="center"/>
              <w:rPr>
                <w:rFonts w:ascii="黑体" w:hAnsi="黑体" w:eastAsia="黑体" w:cs="黑体"/>
                <w:spacing w:val="-5"/>
                <w:kern w:val="2"/>
                <w:sz w:val="21"/>
                <w:szCs w:val="21"/>
                <w:lang w:val="en-US" w:eastAsia="zh-CN" w:bidi="ar-SA"/>
              </w:rPr>
            </w:pPr>
          </w:p>
        </w:tc>
        <w:tc>
          <w:tcPr>
            <w:tcW w:w="990" w:type="dxa"/>
            <w:gridSpan w:val="2"/>
            <w:tcBorders>
              <w:right w:val="single" w:color="000000" w:sz="10" w:space="0"/>
            </w:tcBorders>
            <w:shd w:val="clear" w:color="auto" w:fill="auto"/>
            <w:vAlign w:val="center"/>
          </w:tcPr>
          <w:p w14:paraId="14790293">
            <w:pPr>
              <w:keepNext w:val="0"/>
              <w:keepLines w:val="0"/>
              <w:pageBreakBefore w:val="0"/>
              <w:widowControl w:val="0"/>
              <w:kinsoku/>
              <w:wordWrap/>
              <w:overflowPunct/>
              <w:topLinePunct w:val="0"/>
              <w:autoSpaceDE/>
              <w:autoSpaceDN/>
              <w:bidi w:val="0"/>
              <w:spacing w:before="68" w:line="320" w:lineRule="exact"/>
              <w:ind w:left="0" w:leftChars="0" w:firstLine="0" w:firstLineChars="0"/>
              <w:jc w:val="center"/>
              <w:rPr>
                <w:rFonts w:ascii="黑体" w:hAnsi="黑体" w:eastAsia="黑体" w:cs="黑体"/>
                <w:spacing w:val="-5"/>
                <w:kern w:val="2"/>
                <w:sz w:val="21"/>
                <w:szCs w:val="21"/>
                <w:lang w:val="en-US" w:eastAsia="zh-CN" w:bidi="ar-SA"/>
              </w:rPr>
            </w:pPr>
          </w:p>
        </w:tc>
      </w:tr>
      <w:tr w14:paraId="580500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6" w:hRule="atLeast"/>
        </w:trPr>
        <w:tc>
          <w:tcPr>
            <w:tcW w:w="557" w:type="dxa"/>
            <w:tcBorders>
              <w:left w:val="single" w:color="000000" w:sz="10" w:space="0"/>
            </w:tcBorders>
            <w:shd w:val="clear" w:color="auto" w:fill="auto"/>
            <w:vAlign w:val="center"/>
          </w:tcPr>
          <w:p w14:paraId="78811F23">
            <w:pPr>
              <w:keepNext w:val="0"/>
              <w:keepLines w:val="0"/>
              <w:pageBreakBefore w:val="0"/>
              <w:widowControl w:val="0"/>
              <w:kinsoku/>
              <w:wordWrap/>
              <w:overflowPunct/>
              <w:topLinePunct w:val="0"/>
              <w:autoSpaceDE/>
              <w:autoSpaceDN/>
              <w:bidi w:val="0"/>
              <w:spacing w:before="68" w:line="320" w:lineRule="exact"/>
              <w:ind w:left="0" w:leftChars="0" w:firstLine="0" w:firstLineChars="0"/>
              <w:jc w:val="center"/>
              <w:rPr>
                <w:rFonts w:hint="eastAsia" w:ascii="仿宋_GB2312" w:hAnsi="仿宋_GB2312" w:eastAsia="仿宋_GB2312" w:cs="仿宋_GB2312"/>
                <w:spacing w:val="-8"/>
                <w:sz w:val="24"/>
                <w:szCs w:val="24"/>
                <w:lang w:val="en-US" w:eastAsia="zh-CN"/>
              </w:rPr>
            </w:pPr>
            <w:r>
              <w:rPr>
                <w:rFonts w:hint="eastAsia" w:ascii="仿宋_GB2312" w:hAnsi="仿宋_GB2312" w:eastAsia="仿宋_GB2312" w:cs="仿宋_GB2312"/>
                <w:spacing w:val="-8"/>
                <w:sz w:val="24"/>
                <w:szCs w:val="24"/>
                <w:lang w:val="en-US" w:eastAsia="zh-CN"/>
              </w:rPr>
              <w:t>63</w:t>
            </w:r>
          </w:p>
        </w:tc>
        <w:tc>
          <w:tcPr>
            <w:tcW w:w="2355" w:type="dxa"/>
            <w:shd w:val="clear" w:color="auto" w:fill="auto"/>
            <w:vAlign w:val="center"/>
          </w:tcPr>
          <w:p w14:paraId="078D8781">
            <w:pPr>
              <w:keepNext w:val="0"/>
              <w:keepLines w:val="0"/>
              <w:pageBreakBefore w:val="0"/>
              <w:widowControl w:val="0"/>
              <w:kinsoku/>
              <w:wordWrap/>
              <w:overflowPunct/>
              <w:topLinePunct w:val="0"/>
              <w:autoSpaceDE/>
              <w:autoSpaceDN/>
              <w:bidi w:val="0"/>
              <w:spacing w:before="68" w:line="320" w:lineRule="exact"/>
              <w:ind w:left="240" w:leftChars="100" w:right="127" w:rightChars="53" w:firstLine="0" w:firstLineChars="0"/>
              <w:jc w:val="center"/>
              <w:rPr>
                <w:rFonts w:hint="eastAsia" w:ascii="宋体" w:hAnsi="宋体" w:eastAsia="宋体" w:cs="宋体"/>
                <w:spacing w:val="-8"/>
                <w:kern w:val="2"/>
                <w:sz w:val="21"/>
                <w:szCs w:val="21"/>
                <w:lang w:val="en-US" w:eastAsia="zh-CN" w:bidi="ar-SA"/>
              </w:rPr>
            </w:pPr>
            <w:r>
              <w:rPr>
                <w:rFonts w:hint="eastAsia" w:ascii="宋体" w:hAnsi="宋体" w:eastAsia="宋体" w:cs="宋体"/>
                <w:spacing w:val="-8"/>
                <w:sz w:val="21"/>
                <w:szCs w:val="21"/>
                <w:lang w:val="en-US" w:eastAsia="zh-CN"/>
              </w:rPr>
              <w:t>对从事消耗臭氧层物质经营活动的单位未按规定向环境保护主管部门备案等行为的行政处罚</w:t>
            </w:r>
          </w:p>
        </w:tc>
        <w:tc>
          <w:tcPr>
            <w:tcW w:w="1094" w:type="dxa"/>
            <w:shd w:val="clear" w:color="auto" w:fill="auto"/>
            <w:vAlign w:val="center"/>
          </w:tcPr>
          <w:p w14:paraId="409A3D65">
            <w:pPr>
              <w:keepNext w:val="0"/>
              <w:keepLines w:val="0"/>
              <w:pageBreakBefore w:val="0"/>
              <w:widowControl w:val="0"/>
              <w:kinsoku/>
              <w:wordWrap/>
              <w:overflowPunct/>
              <w:topLinePunct w:val="0"/>
              <w:autoSpaceDE/>
              <w:autoSpaceDN/>
              <w:bidi w:val="0"/>
              <w:spacing w:before="68" w:line="320" w:lineRule="exact"/>
              <w:ind w:left="0" w:leftChars="0" w:firstLine="0" w:firstLineChars="0"/>
              <w:jc w:val="center"/>
              <w:rPr>
                <w:rFonts w:hint="eastAsia" w:ascii="仿宋_GB2312" w:hAnsi="仿宋_GB2312" w:eastAsia="仿宋_GB2312" w:cs="仿宋_GB2312"/>
                <w:spacing w:val="-8"/>
                <w:kern w:val="2"/>
                <w:sz w:val="24"/>
                <w:szCs w:val="24"/>
                <w:lang w:val="en-US" w:eastAsia="zh-CN" w:bidi="ar-SA"/>
              </w:rPr>
            </w:pPr>
            <w:r>
              <w:rPr>
                <w:rFonts w:hint="eastAsia" w:ascii="仿宋_GB2312" w:hAnsi="仿宋_GB2312" w:eastAsia="仿宋_GB2312" w:cs="仿宋_GB2312"/>
                <w:spacing w:val="-8"/>
                <w:sz w:val="24"/>
                <w:szCs w:val="24"/>
                <w:lang w:val="en-US" w:eastAsia="zh-CN"/>
              </w:rPr>
              <w:t>行政处罚</w:t>
            </w:r>
          </w:p>
        </w:tc>
        <w:tc>
          <w:tcPr>
            <w:tcW w:w="8317" w:type="dxa"/>
            <w:shd w:val="clear" w:color="auto" w:fill="auto"/>
            <w:vAlign w:val="top"/>
          </w:tcPr>
          <w:p w14:paraId="423AEA7A">
            <w:pPr>
              <w:keepNext w:val="0"/>
              <w:keepLines w:val="0"/>
              <w:pageBreakBefore w:val="0"/>
              <w:widowControl w:val="0"/>
              <w:suppressLineNumbers w:val="0"/>
              <w:kinsoku/>
              <w:wordWrap/>
              <w:overflowPunct/>
              <w:topLinePunct w:val="0"/>
              <w:autoSpaceDE/>
              <w:autoSpaceDN/>
              <w:bidi w:val="0"/>
              <w:adjustRightInd/>
              <w:snapToGrid/>
              <w:spacing w:after="0" w:afterLines="-2147483648" w:line="320" w:lineRule="exact"/>
              <w:ind w:left="240" w:leftChars="100" w:firstLine="420" w:firstLineChars="200"/>
              <w:jc w:val="both"/>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消耗臭氧层物质管理条例》第三十八条从事消耗臭氧层物质生产、销售、使用、进出口、回收、再生利用、销毁等经营活动的单位，以及从事含消耗臭氧层物质的制冷设备、制冷系统或者灭火系统的维修、报废处理等经营活动的单位有下列行为之一的，由所在地县级以上地方人民政府环境保护主管部门责令改正，处5000元以上2万元以下的罚款：（一）依照本条例规定应当向环境保护主管部门备案而未备案的；（二）未按照规定完整保存有关生产经营活动的原始资料的；（三）未按时申报或者谎报、瞒报有关经营活动的数据资料的；（四）未按照监督检查人员的要求提供必要的资料的。</w:t>
            </w:r>
          </w:p>
          <w:p w14:paraId="04118475">
            <w:pPr>
              <w:keepNext w:val="0"/>
              <w:keepLines w:val="0"/>
              <w:pageBreakBefore w:val="0"/>
              <w:widowControl w:val="0"/>
              <w:suppressLineNumbers w:val="0"/>
              <w:kinsoku/>
              <w:wordWrap/>
              <w:overflowPunct/>
              <w:topLinePunct w:val="0"/>
              <w:autoSpaceDE/>
              <w:autoSpaceDN/>
              <w:bidi w:val="0"/>
              <w:adjustRightInd/>
              <w:snapToGrid/>
              <w:spacing w:after="0" w:afterLines="-2147483648" w:line="320" w:lineRule="exact"/>
              <w:ind w:left="240" w:leftChars="100" w:firstLine="420" w:firstLineChars="200"/>
              <w:jc w:val="both"/>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消耗臭氧层物质进出口管理办法》第七条进出口单位应当在每年10月31日前向国家消耗臭氧层物质进出口管理机构申请下一年度进出口配额，并提交下一年度消耗臭氧层物质进出口配额申请书和年度进出口计划表。初次申请进出口配额的进出口单位，还应当提交法人营业执照和对外贸易经营者备案登记表，以及前三年消耗臭氧层物质进出口业绩。申请进出口属于危险化学品的消耗臭氧层物质的单位，还应当提交安全生产监督管理部门核发的危险化学品生产、使用或者经营许可证。未按时提交上述材料或者提交材料不齐全的，国家消耗臭氧层物质进出口管理机构不予受理配额申请。第十条在年度进出口配额指标内，进出口单位需要进出口消耗臭氧层物质的，应当向国家消耗臭氧层物质进出口管理机构申请领取进出口受控消耗臭氧层物质审批单，并提交下列材料：（一）消耗臭氧层物质进出口申请书；（二）对外贸易合同或者订单等相关材料，非生产企业还应当提交合法生产企业的供货证明；（三）国家消耗臭氧层物质进出口管理机构认为需要提供的其他材料。出口回收的消耗臭氧层物质的单位依法申请领取进出口受控消耗臭氧层物质审批单后，方可办理其他手续。特殊用途的消耗臭氧层物质的出口，进出口单位应当提交进口国政府部门出具的进口许可证或者其他官方批准文件等材料。第二十一条第二款进出口单位对本办法第七条、第十条要求申请人提交的数据、材料有谎报、瞒报情形的，国家消耗臭氧层物质进出口管理机构除给予前款规定处罚外，还应当将违法事实通报给进出口单位所在地县级以上地方环境保护主管部门，并由进出口单位所在地县级以上地方环境保护主管部门依照《消耗臭氧层物质管理条例》第三十八条的规定予以处罚。</w:t>
            </w:r>
          </w:p>
        </w:tc>
        <w:tc>
          <w:tcPr>
            <w:tcW w:w="1129" w:type="dxa"/>
            <w:shd w:val="clear" w:color="auto" w:fill="auto"/>
            <w:vAlign w:val="center"/>
          </w:tcPr>
          <w:p w14:paraId="03921A71">
            <w:pPr>
              <w:keepNext w:val="0"/>
              <w:keepLines w:val="0"/>
              <w:pageBreakBefore w:val="0"/>
              <w:widowControl w:val="0"/>
              <w:kinsoku/>
              <w:wordWrap/>
              <w:overflowPunct/>
              <w:topLinePunct w:val="0"/>
              <w:autoSpaceDE/>
              <w:autoSpaceDN/>
              <w:bidi w:val="0"/>
              <w:spacing w:before="69" w:line="320" w:lineRule="exact"/>
              <w:ind w:left="47" w:leftChars="0" w:right="26" w:rightChars="0" w:firstLine="420" w:firstLineChars="200"/>
              <w:jc w:val="center"/>
              <w:rPr>
                <w:rFonts w:ascii="宋体" w:hAnsi="宋体" w:eastAsia="宋体" w:cs="宋体"/>
                <w:kern w:val="2"/>
                <w:sz w:val="21"/>
                <w:szCs w:val="21"/>
                <w:lang w:val="en-US" w:eastAsia="zh-CN" w:bidi="ar-SA"/>
              </w:rPr>
            </w:pPr>
          </w:p>
        </w:tc>
        <w:tc>
          <w:tcPr>
            <w:tcW w:w="990" w:type="dxa"/>
            <w:gridSpan w:val="2"/>
            <w:tcBorders>
              <w:right w:val="single" w:color="000000" w:sz="10" w:space="0"/>
            </w:tcBorders>
            <w:shd w:val="clear" w:color="auto" w:fill="auto"/>
            <w:vAlign w:val="center"/>
          </w:tcPr>
          <w:p w14:paraId="75CFF61A">
            <w:pPr>
              <w:keepNext w:val="0"/>
              <w:keepLines w:val="0"/>
              <w:pageBreakBefore w:val="0"/>
              <w:widowControl w:val="0"/>
              <w:kinsoku/>
              <w:wordWrap/>
              <w:overflowPunct/>
              <w:topLinePunct w:val="0"/>
              <w:autoSpaceDE/>
              <w:autoSpaceDN/>
              <w:bidi w:val="0"/>
              <w:spacing w:before="68" w:line="320" w:lineRule="exact"/>
              <w:ind w:firstLine="420" w:firstLineChars="200"/>
              <w:jc w:val="center"/>
              <w:rPr>
                <w:rFonts w:ascii="宋体" w:hAnsi="宋体" w:eastAsia="宋体" w:cs="宋体"/>
                <w:kern w:val="2"/>
                <w:sz w:val="21"/>
                <w:szCs w:val="21"/>
                <w:lang w:val="en-US" w:eastAsia="zh-CN" w:bidi="ar-SA"/>
              </w:rPr>
            </w:pPr>
          </w:p>
        </w:tc>
      </w:tr>
      <w:tr w14:paraId="47F7B4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27" w:hRule="atLeast"/>
        </w:trPr>
        <w:tc>
          <w:tcPr>
            <w:tcW w:w="557" w:type="dxa"/>
            <w:tcBorders>
              <w:left w:val="single" w:color="000000" w:sz="10" w:space="0"/>
            </w:tcBorders>
            <w:shd w:val="clear" w:color="auto" w:fill="auto"/>
            <w:vAlign w:val="center"/>
          </w:tcPr>
          <w:p w14:paraId="497A2F00">
            <w:pPr>
              <w:keepNext w:val="0"/>
              <w:keepLines w:val="0"/>
              <w:pageBreakBefore w:val="0"/>
              <w:widowControl w:val="0"/>
              <w:kinsoku/>
              <w:wordWrap/>
              <w:overflowPunct/>
              <w:topLinePunct w:val="0"/>
              <w:autoSpaceDE/>
              <w:autoSpaceDN/>
              <w:bidi w:val="0"/>
              <w:spacing w:before="68" w:line="320" w:lineRule="exact"/>
              <w:ind w:left="0" w:leftChars="0" w:firstLine="0" w:firstLineChars="0"/>
              <w:jc w:val="center"/>
              <w:rPr>
                <w:rFonts w:hint="eastAsia" w:ascii="仿宋_GB2312" w:hAnsi="仿宋_GB2312" w:eastAsia="仿宋_GB2312" w:cs="仿宋_GB2312"/>
                <w:spacing w:val="-8"/>
                <w:sz w:val="24"/>
                <w:szCs w:val="24"/>
                <w:lang w:val="en-US" w:eastAsia="zh-CN"/>
              </w:rPr>
            </w:pPr>
            <w:r>
              <w:rPr>
                <w:rFonts w:hint="eastAsia" w:ascii="仿宋_GB2312" w:hAnsi="仿宋_GB2312" w:eastAsia="仿宋_GB2312" w:cs="仿宋_GB2312"/>
                <w:spacing w:val="-8"/>
                <w:sz w:val="24"/>
                <w:szCs w:val="24"/>
                <w:lang w:val="en-US" w:eastAsia="zh-CN"/>
              </w:rPr>
              <w:t>64</w:t>
            </w:r>
          </w:p>
        </w:tc>
        <w:tc>
          <w:tcPr>
            <w:tcW w:w="2355" w:type="dxa"/>
            <w:shd w:val="clear" w:color="auto" w:fill="auto"/>
            <w:vAlign w:val="center"/>
          </w:tcPr>
          <w:p w14:paraId="5A4FFB35">
            <w:pPr>
              <w:keepNext w:val="0"/>
              <w:keepLines w:val="0"/>
              <w:pageBreakBefore w:val="0"/>
              <w:widowControl w:val="0"/>
              <w:kinsoku/>
              <w:wordWrap/>
              <w:overflowPunct/>
              <w:topLinePunct w:val="0"/>
              <w:autoSpaceDE/>
              <w:autoSpaceDN/>
              <w:bidi w:val="0"/>
              <w:spacing w:before="68" w:line="320" w:lineRule="exact"/>
              <w:ind w:left="240" w:leftChars="100" w:right="127" w:rightChars="53" w:firstLine="0" w:firstLineChars="0"/>
              <w:jc w:val="center"/>
              <w:rPr>
                <w:rFonts w:hint="eastAsia" w:ascii="宋体" w:hAnsi="宋体" w:eastAsia="宋体" w:cs="宋体"/>
                <w:spacing w:val="-8"/>
                <w:kern w:val="2"/>
                <w:sz w:val="21"/>
                <w:szCs w:val="21"/>
                <w:lang w:val="en-US" w:eastAsia="zh-CN" w:bidi="ar-SA"/>
              </w:rPr>
            </w:pPr>
            <w:r>
              <w:rPr>
                <w:rFonts w:hint="eastAsia" w:ascii="宋体" w:hAnsi="宋体" w:eastAsia="宋体" w:cs="宋体"/>
                <w:spacing w:val="-8"/>
                <w:sz w:val="21"/>
                <w:szCs w:val="21"/>
                <w:lang w:val="en-US" w:eastAsia="zh-CN"/>
              </w:rPr>
              <w:t>对拒不接受噪声污染检查或在检查时弄虚作假行为的行政处罚</w:t>
            </w:r>
          </w:p>
        </w:tc>
        <w:tc>
          <w:tcPr>
            <w:tcW w:w="1094" w:type="dxa"/>
            <w:shd w:val="clear" w:color="auto" w:fill="auto"/>
            <w:vAlign w:val="center"/>
          </w:tcPr>
          <w:p w14:paraId="653666F3">
            <w:pPr>
              <w:keepNext w:val="0"/>
              <w:keepLines w:val="0"/>
              <w:pageBreakBefore w:val="0"/>
              <w:widowControl w:val="0"/>
              <w:kinsoku/>
              <w:wordWrap/>
              <w:overflowPunct/>
              <w:topLinePunct w:val="0"/>
              <w:autoSpaceDE/>
              <w:autoSpaceDN/>
              <w:bidi w:val="0"/>
              <w:spacing w:before="68" w:line="320" w:lineRule="exact"/>
              <w:ind w:left="0" w:leftChars="0" w:firstLine="0" w:firstLineChars="0"/>
              <w:jc w:val="center"/>
              <w:rPr>
                <w:rFonts w:hint="eastAsia" w:ascii="仿宋_GB2312" w:hAnsi="仿宋_GB2312" w:eastAsia="仿宋_GB2312" w:cs="仿宋_GB2312"/>
                <w:spacing w:val="-8"/>
                <w:kern w:val="2"/>
                <w:sz w:val="24"/>
                <w:szCs w:val="24"/>
                <w:lang w:val="en-US" w:eastAsia="zh-CN" w:bidi="ar-SA"/>
              </w:rPr>
            </w:pPr>
            <w:r>
              <w:rPr>
                <w:rFonts w:hint="eastAsia" w:ascii="仿宋_GB2312" w:hAnsi="仿宋_GB2312" w:eastAsia="仿宋_GB2312" w:cs="仿宋_GB2312"/>
                <w:spacing w:val="-8"/>
                <w:sz w:val="24"/>
                <w:szCs w:val="24"/>
                <w:lang w:val="en-US" w:eastAsia="zh-CN"/>
              </w:rPr>
              <w:t>行政处罚</w:t>
            </w:r>
          </w:p>
        </w:tc>
        <w:tc>
          <w:tcPr>
            <w:tcW w:w="8317" w:type="dxa"/>
            <w:shd w:val="clear" w:color="auto" w:fill="auto"/>
            <w:vAlign w:val="top"/>
          </w:tcPr>
          <w:p w14:paraId="7C707C73">
            <w:pPr>
              <w:keepNext w:val="0"/>
              <w:keepLines w:val="0"/>
              <w:pageBreakBefore w:val="0"/>
              <w:widowControl w:val="0"/>
              <w:suppressLineNumbers w:val="0"/>
              <w:kinsoku/>
              <w:wordWrap/>
              <w:overflowPunct/>
              <w:topLinePunct w:val="0"/>
              <w:autoSpaceDE/>
              <w:autoSpaceDN/>
              <w:bidi w:val="0"/>
              <w:adjustRightInd/>
              <w:snapToGrid/>
              <w:spacing w:after="0" w:afterLines="-2147483648" w:line="320" w:lineRule="exact"/>
              <w:ind w:left="240" w:leftChars="100" w:firstLine="420" w:firstLineChars="200"/>
              <w:jc w:val="both"/>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中华人民共和国环境噪声污染防治法》第五十五条排放环境噪声的单位违反本法第二十一条的规定，拒绝生态环境行政主管部门或者其他依照本法规定行使环境噪声监督管理权的部门、机构现场检查或者在被检查时弄虚作假的，生态环境主管部门或者其他依照本法规定行使环境噪声监督管理权的监督管理部门、机构可以根据不同情节，给予警告或者处以罚款。</w:t>
            </w:r>
          </w:p>
        </w:tc>
        <w:tc>
          <w:tcPr>
            <w:tcW w:w="1129" w:type="dxa"/>
            <w:shd w:val="clear" w:color="auto" w:fill="auto"/>
            <w:vAlign w:val="top"/>
          </w:tcPr>
          <w:p w14:paraId="6B5628E1">
            <w:pPr>
              <w:keepNext w:val="0"/>
              <w:keepLines w:val="0"/>
              <w:pageBreakBefore w:val="0"/>
              <w:widowControl w:val="0"/>
              <w:kinsoku/>
              <w:wordWrap/>
              <w:overflowPunct/>
              <w:topLinePunct w:val="0"/>
              <w:autoSpaceDE/>
              <w:autoSpaceDN/>
              <w:bidi w:val="0"/>
              <w:spacing w:before="68" w:line="320" w:lineRule="exact"/>
              <w:ind w:left="49" w:leftChars="0" w:right="26" w:rightChars="0" w:firstLine="420" w:firstLineChars="200"/>
              <w:rPr>
                <w:rFonts w:ascii="宋体" w:hAnsi="宋体" w:eastAsia="宋体" w:cs="宋体"/>
                <w:kern w:val="2"/>
                <w:sz w:val="21"/>
                <w:szCs w:val="21"/>
                <w:lang w:val="en-US" w:eastAsia="zh-CN" w:bidi="ar-SA"/>
              </w:rPr>
            </w:pPr>
          </w:p>
        </w:tc>
        <w:tc>
          <w:tcPr>
            <w:tcW w:w="990" w:type="dxa"/>
            <w:gridSpan w:val="2"/>
            <w:tcBorders>
              <w:right w:val="single" w:color="000000" w:sz="10" w:space="0"/>
            </w:tcBorders>
            <w:shd w:val="clear" w:color="auto" w:fill="auto"/>
            <w:vAlign w:val="top"/>
          </w:tcPr>
          <w:p w14:paraId="721742BA">
            <w:pPr>
              <w:keepNext w:val="0"/>
              <w:keepLines w:val="0"/>
              <w:pageBreakBefore w:val="0"/>
              <w:widowControl w:val="0"/>
              <w:kinsoku/>
              <w:wordWrap/>
              <w:overflowPunct/>
              <w:topLinePunct w:val="0"/>
              <w:autoSpaceDE/>
              <w:autoSpaceDN/>
              <w:bidi w:val="0"/>
              <w:spacing w:before="69" w:line="320" w:lineRule="exact"/>
              <w:ind w:firstLine="420" w:firstLineChars="200"/>
              <w:rPr>
                <w:rFonts w:ascii="宋体" w:hAnsi="宋体" w:eastAsia="宋体" w:cs="宋体"/>
                <w:kern w:val="2"/>
                <w:sz w:val="21"/>
                <w:szCs w:val="21"/>
                <w:lang w:val="en-US" w:eastAsia="zh-CN" w:bidi="ar-SA"/>
              </w:rPr>
            </w:pPr>
          </w:p>
        </w:tc>
      </w:tr>
      <w:tr w14:paraId="2EF96F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19" w:hRule="atLeast"/>
        </w:trPr>
        <w:tc>
          <w:tcPr>
            <w:tcW w:w="557" w:type="dxa"/>
            <w:tcBorders>
              <w:left w:val="single" w:color="000000" w:sz="10" w:space="0"/>
            </w:tcBorders>
            <w:shd w:val="clear" w:color="auto" w:fill="auto"/>
            <w:vAlign w:val="center"/>
          </w:tcPr>
          <w:p w14:paraId="21E4CE6C">
            <w:pPr>
              <w:keepNext w:val="0"/>
              <w:keepLines w:val="0"/>
              <w:pageBreakBefore w:val="0"/>
              <w:widowControl w:val="0"/>
              <w:kinsoku/>
              <w:wordWrap/>
              <w:overflowPunct/>
              <w:topLinePunct w:val="0"/>
              <w:autoSpaceDE/>
              <w:autoSpaceDN/>
              <w:bidi w:val="0"/>
              <w:spacing w:before="68" w:line="320" w:lineRule="exact"/>
              <w:ind w:left="0" w:leftChars="0" w:firstLine="0" w:firstLineChars="0"/>
              <w:jc w:val="center"/>
              <w:rPr>
                <w:rFonts w:hint="eastAsia" w:ascii="仿宋_GB2312" w:hAnsi="仿宋_GB2312" w:eastAsia="仿宋_GB2312" w:cs="仿宋_GB2312"/>
                <w:spacing w:val="-8"/>
                <w:sz w:val="24"/>
                <w:szCs w:val="24"/>
                <w:lang w:val="en-US" w:eastAsia="zh-CN"/>
              </w:rPr>
            </w:pPr>
            <w:r>
              <w:rPr>
                <w:rFonts w:hint="eastAsia" w:ascii="仿宋_GB2312" w:hAnsi="仿宋_GB2312" w:eastAsia="仿宋_GB2312" w:cs="仿宋_GB2312"/>
                <w:spacing w:val="-8"/>
                <w:sz w:val="24"/>
                <w:szCs w:val="24"/>
                <w:lang w:val="en-US" w:eastAsia="zh-CN"/>
              </w:rPr>
              <w:t>65</w:t>
            </w:r>
          </w:p>
        </w:tc>
        <w:tc>
          <w:tcPr>
            <w:tcW w:w="2355" w:type="dxa"/>
            <w:shd w:val="clear" w:color="auto" w:fill="auto"/>
            <w:vAlign w:val="center"/>
          </w:tcPr>
          <w:p w14:paraId="7FE3BE5A">
            <w:pPr>
              <w:keepNext w:val="0"/>
              <w:keepLines w:val="0"/>
              <w:pageBreakBefore w:val="0"/>
              <w:widowControl w:val="0"/>
              <w:kinsoku/>
              <w:wordWrap/>
              <w:overflowPunct/>
              <w:topLinePunct w:val="0"/>
              <w:autoSpaceDE/>
              <w:autoSpaceDN/>
              <w:bidi w:val="0"/>
              <w:spacing w:before="68" w:line="320" w:lineRule="exact"/>
              <w:ind w:left="240" w:leftChars="100" w:right="127" w:rightChars="53" w:firstLine="0" w:firstLineChars="0"/>
              <w:jc w:val="center"/>
              <w:rPr>
                <w:rFonts w:hint="eastAsia" w:ascii="宋体" w:hAnsi="宋体" w:eastAsia="宋体" w:cs="宋体"/>
                <w:spacing w:val="-8"/>
                <w:kern w:val="2"/>
                <w:sz w:val="21"/>
                <w:szCs w:val="21"/>
                <w:lang w:val="en-US" w:eastAsia="zh-CN" w:bidi="ar-SA"/>
              </w:rPr>
            </w:pPr>
            <w:r>
              <w:rPr>
                <w:rFonts w:hint="eastAsia" w:ascii="宋体" w:hAnsi="宋体" w:eastAsia="宋体" w:cs="宋体"/>
                <w:spacing w:val="-8"/>
                <w:sz w:val="21"/>
                <w:szCs w:val="21"/>
                <w:lang w:val="en-US" w:eastAsia="zh-CN"/>
              </w:rPr>
              <w:t>对噪声污染防治设施未建成等行为的行政处罚</w:t>
            </w:r>
          </w:p>
        </w:tc>
        <w:tc>
          <w:tcPr>
            <w:tcW w:w="1094" w:type="dxa"/>
            <w:shd w:val="clear" w:color="auto" w:fill="auto"/>
            <w:vAlign w:val="center"/>
          </w:tcPr>
          <w:p w14:paraId="28876E7B">
            <w:pPr>
              <w:keepNext w:val="0"/>
              <w:keepLines w:val="0"/>
              <w:pageBreakBefore w:val="0"/>
              <w:widowControl w:val="0"/>
              <w:kinsoku/>
              <w:wordWrap/>
              <w:overflowPunct/>
              <w:topLinePunct w:val="0"/>
              <w:autoSpaceDE/>
              <w:autoSpaceDN/>
              <w:bidi w:val="0"/>
              <w:spacing w:before="68" w:line="320" w:lineRule="exact"/>
              <w:ind w:left="0" w:leftChars="0" w:firstLine="0" w:firstLineChars="0"/>
              <w:jc w:val="center"/>
              <w:rPr>
                <w:rFonts w:hint="eastAsia" w:ascii="仿宋_GB2312" w:hAnsi="仿宋_GB2312" w:eastAsia="仿宋_GB2312" w:cs="仿宋_GB2312"/>
                <w:spacing w:val="-8"/>
                <w:kern w:val="2"/>
                <w:sz w:val="24"/>
                <w:szCs w:val="24"/>
                <w:lang w:val="en-US" w:eastAsia="zh-CN" w:bidi="ar-SA"/>
              </w:rPr>
            </w:pPr>
            <w:r>
              <w:rPr>
                <w:rFonts w:hint="eastAsia" w:ascii="仿宋_GB2312" w:hAnsi="仿宋_GB2312" w:eastAsia="仿宋_GB2312" w:cs="仿宋_GB2312"/>
                <w:spacing w:val="-8"/>
                <w:sz w:val="24"/>
                <w:szCs w:val="24"/>
                <w:lang w:val="en-US" w:eastAsia="zh-CN"/>
              </w:rPr>
              <w:t>行政处罚</w:t>
            </w:r>
          </w:p>
        </w:tc>
        <w:tc>
          <w:tcPr>
            <w:tcW w:w="8317" w:type="dxa"/>
            <w:shd w:val="clear" w:color="auto" w:fill="auto"/>
            <w:vAlign w:val="top"/>
          </w:tcPr>
          <w:p w14:paraId="056C6B9B">
            <w:pPr>
              <w:keepNext w:val="0"/>
              <w:keepLines w:val="0"/>
              <w:pageBreakBefore w:val="0"/>
              <w:widowControl w:val="0"/>
              <w:suppressLineNumbers w:val="0"/>
              <w:kinsoku/>
              <w:wordWrap/>
              <w:overflowPunct/>
              <w:topLinePunct w:val="0"/>
              <w:autoSpaceDE/>
              <w:autoSpaceDN/>
              <w:bidi w:val="0"/>
              <w:adjustRightInd/>
              <w:snapToGrid/>
              <w:spacing w:after="0" w:afterLines="-2147483648" w:line="320" w:lineRule="exact"/>
              <w:ind w:left="240" w:leftChars="100" w:firstLine="420" w:firstLineChars="200"/>
              <w:jc w:val="both"/>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中华人民共和国环境噪声污染防治法》第十四条建设项目的环境噪声污染防治设施必须与主体工程同时设计、同时施工、同时投产使用。建设项目在投入生产或者使用之前，其环境噪声污染防治设施必须按照国家规定的标准和程序进行验收；达不到国家规定要求的，该建设项目不得投入生产或者使用。第四十八条违反本法第十四条的规定，建设项目中需要配套建设的环境噪声污染防治设施没有建成或者没有达到国家规定的要求，擅自投入生产或者使用的，由县级以上生态环境主管部门责令限期改正，并对单位和个人处以罚款；造成重大环境污染或者生态破坏的，责令停止生产或者使用，或者报经有批准权的人民政府批准，责令关闭。</w:t>
            </w:r>
          </w:p>
        </w:tc>
        <w:tc>
          <w:tcPr>
            <w:tcW w:w="1129" w:type="dxa"/>
            <w:shd w:val="clear" w:color="auto" w:fill="auto"/>
            <w:vAlign w:val="top"/>
          </w:tcPr>
          <w:p w14:paraId="40123297">
            <w:pPr>
              <w:keepNext w:val="0"/>
              <w:keepLines w:val="0"/>
              <w:pageBreakBefore w:val="0"/>
              <w:widowControl w:val="0"/>
              <w:kinsoku/>
              <w:wordWrap/>
              <w:overflowPunct/>
              <w:topLinePunct w:val="0"/>
              <w:autoSpaceDE/>
              <w:autoSpaceDN/>
              <w:bidi w:val="0"/>
              <w:spacing w:before="68" w:line="320" w:lineRule="exact"/>
              <w:ind w:left="49" w:leftChars="0" w:right="26" w:rightChars="0" w:firstLine="420" w:firstLineChars="200"/>
              <w:rPr>
                <w:rFonts w:ascii="宋体" w:hAnsi="宋体" w:eastAsia="宋体" w:cs="宋体"/>
                <w:kern w:val="2"/>
                <w:sz w:val="21"/>
                <w:szCs w:val="21"/>
                <w:lang w:val="en-US" w:eastAsia="zh-CN" w:bidi="ar-SA"/>
              </w:rPr>
            </w:pPr>
          </w:p>
        </w:tc>
        <w:tc>
          <w:tcPr>
            <w:tcW w:w="990" w:type="dxa"/>
            <w:gridSpan w:val="2"/>
            <w:tcBorders>
              <w:right w:val="single" w:color="000000" w:sz="10" w:space="0"/>
            </w:tcBorders>
            <w:shd w:val="clear" w:color="auto" w:fill="auto"/>
            <w:vAlign w:val="top"/>
          </w:tcPr>
          <w:p w14:paraId="6EFD4107">
            <w:pPr>
              <w:keepNext w:val="0"/>
              <w:keepLines w:val="0"/>
              <w:pageBreakBefore w:val="0"/>
              <w:widowControl w:val="0"/>
              <w:kinsoku/>
              <w:wordWrap/>
              <w:overflowPunct/>
              <w:topLinePunct w:val="0"/>
              <w:autoSpaceDE/>
              <w:autoSpaceDN/>
              <w:bidi w:val="0"/>
              <w:spacing w:before="68" w:line="320" w:lineRule="exact"/>
              <w:ind w:firstLine="420" w:firstLineChars="200"/>
              <w:rPr>
                <w:rFonts w:ascii="宋体" w:hAnsi="宋体" w:eastAsia="宋体" w:cs="宋体"/>
                <w:kern w:val="2"/>
                <w:sz w:val="21"/>
                <w:szCs w:val="21"/>
                <w:lang w:val="en-US" w:eastAsia="zh-CN" w:bidi="ar-SA"/>
              </w:rPr>
            </w:pPr>
          </w:p>
        </w:tc>
      </w:tr>
      <w:tr w14:paraId="0DAF18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93" w:hRule="atLeast"/>
        </w:trPr>
        <w:tc>
          <w:tcPr>
            <w:tcW w:w="557" w:type="dxa"/>
            <w:tcBorders>
              <w:left w:val="single" w:color="000000" w:sz="10" w:space="0"/>
            </w:tcBorders>
            <w:shd w:val="clear" w:color="auto" w:fill="auto"/>
            <w:vAlign w:val="center"/>
          </w:tcPr>
          <w:p w14:paraId="683F5550">
            <w:pPr>
              <w:keepNext w:val="0"/>
              <w:keepLines w:val="0"/>
              <w:pageBreakBefore w:val="0"/>
              <w:widowControl w:val="0"/>
              <w:kinsoku/>
              <w:wordWrap/>
              <w:overflowPunct/>
              <w:topLinePunct w:val="0"/>
              <w:autoSpaceDE/>
              <w:autoSpaceDN/>
              <w:bidi w:val="0"/>
              <w:spacing w:before="68" w:line="320" w:lineRule="exact"/>
              <w:ind w:left="0" w:leftChars="0" w:firstLine="0" w:firstLineChars="0"/>
              <w:jc w:val="center"/>
              <w:rPr>
                <w:rFonts w:hint="eastAsia" w:ascii="仿宋_GB2312" w:hAnsi="仿宋_GB2312" w:eastAsia="仿宋_GB2312" w:cs="仿宋_GB2312"/>
                <w:spacing w:val="-8"/>
                <w:sz w:val="24"/>
                <w:szCs w:val="24"/>
                <w:lang w:val="en-US" w:eastAsia="zh-CN"/>
              </w:rPr>
            </w:pPr>
            <w:r>
              <w:rPr>
                <w:rFonts w:hint="eastAsia" w:ascii="仿宋_GB2312" w:hAnsi="仿宋_GB2312" w:eastAsia="仿宋_GB2312" w:cs="仿宋_GB2312"/>
                <w:spacing w:val="-8"/>
                <w:sz w:val="24"/>
                <w:szCs w:val="24"/>
                <w:lang w:val="en-US" w:eastAsia="zh-CN"/>
              </w:rPr>
              <w:t>66</w:t>
            </w:r>
          </w:p>
        </w:tc>
        <w:tc>
          <w:tcPr>
            <w:tcW w:w="2355" w:type="dxa"/>
            <w:shd w:val="clear" w:color="auto" w:fill="auto"/>
            <w:vAlign w:val="center"/>
          </w:tcPr>
          <w:p w14:paraId="5FE01601">
            <w:pPr>
              <w:keepNext w:val="0"/>
              <w:keepLines w:val="0"/>
              <w:pageBreakBefore w:val="0"/>
              <w:widowControl w:val="0"/>
              <w:kinsoku/>
              <w:wordWrap/>
              <w:overflowPunct/>
              <w:topLinePunct w:val="0"/>
              <w:autoSpaceDE/>
              <w:autoSpaceDN/>
              <w:bidi w:val="0"/>
              <w:spacing w:before="68" w:line="320" w:lineRule="exact"/>
              <w:ind w:left="240" w:leftChars="100" w:right="127" w:rightChars="53" w:firstLine="0" w:firstLineChars="0"/>
              <w:jc w:val="center"/>
              <w:rPr>
                <w:rFonts w:hint="eastAsia" w:ascii="宋体" w:hAnsi="宋体" w:eastAsia="宋体" w:cs="宋体"/>
                <w:spacing w:val="-8"/>
                <w:kern w:val="2"/>
                <w:sz w:val="21"/>
                <w:szCs w:val="21"/>
                <w:lang w:val="en-US" w:eastAsia="zh-CN" w:bidi="ar-SA"/>
              </w:rPr>
            </w:pPr>
            <w:r>
              <w:rPr>
                <w:rFonts w:hint="eastAsia" w:ascii="宋体" w:hAnsi="宋体" w:eastAsia="宋体" w:cs="宋体"/>
                <w:spacing w:val="-8"/>
                <w:sz w:val="21"/>
                <w:szCs w:val="21"/>
                <w:lang w:val="en-US" w:eastAsia="zh-CN"/>
              </w:rPr>
              <w:t>对拒报或者谎报规定环境噪声排放申报事项行为的行政处罚</w:t>
            </w:r>
          </w:p>
        </w:tc>
        <w:tc>
          <w:tcPr>
            <w:tcW w:w="1094" w:type="dxa"/>
            <w:shd w:val="clear" w:color="auto" w:fill="auto"/>
            <w:vAlign w:val="center"/>
          </w:tcPr>
          <w:p w14:paraId="12D85E7A">
            <w:pPr>
              <w:keepNext w:val="0"/>
              <w:keepLines w:val="0"/>
              <w:pageBreakBefore w:val="0"/>
              <w:widowControl w:val="0"/>
              <w:kinsoku/>
              <w:wordWrap/>
              <w:overflowPunct/>
              <w:topLinePunct w:val="0"/>
              <w:autoSpaceDE/>
              <w:autoSpaceDN/>
              <w:bidi w:val="0"/>
              <w:spacing w:before="68" w:line="320" w:lineRule="exact"/>
              <w:ind w:left="0" w:leftChars="0" w:firstLine="0" w:firstLineChars="0"/>
              <w:jc w:val="center"/>
              <w:rPr>
                <w:rFonts w:hint="eastAsia" w:ascii="仿宋_GB2312" w:hAnsi="仿宋_GB2312" w:eastAsia="仿宋_GB2312" w:cs="仿宋_GB2312"/>
                <w:spacing w:val="-8"/>
                <w:kern w:val="2"/>
                <w:sz w:val="24"/>
                <w:szCs w:val="24"/>
                <w:lang w:val="en-US" w:eastAsia="zh-CN" w:bidi="ar-SA"/>
              </w:rPr>
            </w:pPr>
            <w:r>
              <w:rPr>
                <w:rFonts w:hint="eastAsia" w:ascii="仿宋_GB2312" w:hAnsi="仿宋_GB2312" w:eastAsia="仿宋_GB2312" w:cs="仿宋_GB2312"/>
                <w:spacing w:val="-8"/>
                <w:sz w:val="24"/>
                <w:szCs w:val="24"/>
                <w:lang w:val="en-US" w:eastAsia="zh-CN"/>
              </w:rPr>
              <w:t>行政处罚</w:t>
            </w:r>
          </w:p>
        </w:tc>
        <w:tc>
          <w:tcPr>
            <w:tcW w:w="8317" w:type="dxa"/>
            <w:shd w:val="clear" w:color="auto" w:fill="auto"/>
            <w:vAlign w:val="top"/>
          </w:tcPr>
          <w:p w14:paraId="7E127EE5">
            <w:pPr>
              <w:keepNext w:val="0"/>
              <w:keepLines w:val="0"/>
              <w:pageBreakBefore w:val="0"/>
              <w:widowControl w:val="0"/>
              <w:suppressLineNumbers w:val="0"/>
              <w:kinsoku/>
              <w:wordWrap/>
              <w:overflowPunct/>
              <w:topLinePunct w:val="0"/>
              <w:autoSpaceDE/>
              <w:autoSpaceDN/>
              <w:bidi w:val="0"/>
              <w:adjustRightInd/>
              <w:snapToGrid/>
              <w:spacing w:after="0" w:afterLines="-2147483648" w:line="320" w:lineRule="exact"/>
              <w:ind w:left="240" w:leftChars="100" w:firstLine="420" w:firstLineChars="200"/>
              <w:jc w:val="both"/>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1.《中华人民共和国环境噪声污染防治法》第四十九条违反本法规定，拒报或者谎报规定的环境噪声排放申报事项的，县级以上地方人民政府生态环境主管部门可以根据不同情节，给予警告或者处以罚款。</w:t>
            </w:r>
          </w:p>
        </w:tc>
        <w:tc>
          <w:tcPr>
            <w:tcW w:w="1129" w:type="dxa"/>
            <w:shd w:val="clear" w:color="auto" w:fill="auto"/>
            <w:vAlign w:val="top"/>
          </w:tcPr>
          <w:p w14:paraId="237B4205">
            <w:pPr>
              <w:keepNext w:val="0"/>
              <w:keepLines w:val="0"/>
              <w:pageBreakBefore w:val="0"/>
              <w:widowControl w:val="0"/>
              <w:kinsoku/>
              <w:wordWrap/>
              <w:overflowPunct/>
              <w:topLinePunct w:val="0"/>
              <w:autoSpaceDE/>
              <w:autoSpaceDN/>
              <w:bidi w:val="0"/>
              <w:spacing w:before="68" w:line="320" w:lineRule="exact"/>
              <w:ind w:left="49" w:leftChars="0" w:right="26" w:rightChars="0" w:firstLine="420" w:firstLineChars="200"/>
              <w:rPr>
                <w:rFonts w:ascii="宋体" w:hAnsi="宋体" w:eastAsia="宋体" w:cs="宋体"/>
                <w:kern w:val="2"/>
                <w:sz w:val="21"/>
                <w:szCs w:val="21"/>
                <w:lang w:val="en-US" w:eastAsia="zh-CN" w:bidi="ar-SA"/>
              </w:rPr>
            </w:pPr>
          </w:p>
        </w:tc>
        <w:tc>
          <w:tcPr>
            <w:tcW w:w="990" w:type="dxa"/>
            <w:gridSpan w:val="2"/>
            <w:tcBorders>
              <w:right w:val="single" w:color="000000" w:sz="10" w:space="0"/>
            </w:tcBorders>
            <w:shd w:val="clear" w:color="auto" w:fill="auto"/>
            <w:vAlign w:val="top"/>
          </w:tcPr>
          <w:p w14:paraId="3849DD33">
            <w:pPr>
              <w:keepNext w:val="0"/>
              <w:keepLines w:val="0"/>
              <w:pageBreakBefore w:val="0"/>
              <w:widowControl w:val="0"/>
              <w:kinsoku/>
              <w:wordWrap/>
              <w:overflowPunct/>
              <w:topLinePunct w:val="0"/>
              <w:autoSpaceDE/>
              <w:autoSpaceDN/>
              <w:bidi w:val="0"/>
              <w:spacing w:before="68" w:line="320" w:lineRule="exact"/>
              <w:ind w:firstLine="420" w:firstLineChars="200"/>
              <w:rPr>
                <w:rFonts w:ascii="宋体" w:hAnsi="宋体" w:eastAsia="宋体" w:cs="宋体"/>
                <w:kern w:val="2"/>
                <w:sz w:val="21"/>
                <w:szCs w:val="21"/>
                <w:lang w:val="en-US" w:eastAsia="zh-CN" w:bidi="ar-SA"/>
              </w:rPr>
            </w:pPr>
          </w:p>
        </w:tc>
      </w:tr>
      <w:tr w14:paraId="04CFC7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43" w:hRule="atLeast"/>
        </w:trPr>
        <w:tc>
          <w:tcPr>
            <w:tcW w:w="557" w:type="dxa"/>
            <w:tcBorders>
              <w:left w:val="single" w:color="000000" w:sz="10" w:space="0"/>
              <w:bottom w:val="single" w:color="000000" w:sz="10" w:space="0"/>
            </w:tcBorders>
            <w:shd w:val="clear" w:color="auto" w:fill="auto"/>
            <w:vAlign w:val="center"/>
          </w:tcPr>
          <w:p w14:paraId="13DAAEA5">
            <w:pPr>
              <w:keepNext w:val="0"/>
              <w:keepLines w:val="0"/>
              <w:pageBreakBefore w:val="0"/>
              <w:widowControl w:val="0"/>
              <w:kinsoku/>
              <w:wordWrap/>
              <w:overflowPunct/>
              <w:topLinePunct w:val="0"/>
              <w:autoSpaceDE/>
              <w:autoSpaceDN/>
              <w:bidi w:val="0"/>
              <w:spacing w:before="68" w:line="320" w:lineRule="exact"/>
              <w:ind w:left="0" w:leftChars="0" w:firstLine="0" w:firstLineChars="0"/>
              <w:jc w:val="center"/>
              <w:rPr>
                <w:rFonts w:hint="eastAsia" w:ascii="仿宋_GB2312" w:hAnsi="仿宋_GB2312" w:eastAsia="仿宋_GB2312" w:cs="仿宋_GB2312"/>
                <w:spacing w:val="-8"/>
                <w:sz w:val="24"/>
                <w:szCs w:val="24"/>
                <w:lang w:val="en-US" w:eastAsia="zh-CN"/>
              </w:rPr>
            </w:pPr>
            <w:r>
              <w:rPr>
                <w:rFonts w:hint="eastAsia" w:ascii="仿宋_GB2312" w:hAnsi="仿宋_GB2312" w:eastAsia="仿宋_GB2312" w:cs="仿宋_GB2312"/>
                <w:spacing w:val="-8"/>
                <w:sz w:val="24"/>
                <w:szCs w:val="24"/>
                <w:lang w:val="en-US" w:eastAsia="zh-CN"/>
              </w:rPr>
              <w:t>67</w:t>
            </w:r>
          </w:p>
        </w:tc>
        <w:tc>
          <w:tcPr>
            <w:tcW w:w="2355" w:type="dxa"/>
            <w:tcBorders>
              <w:bottom w:val="single" w:color="000000" w:sz="10" w:space="0"/>
            </w:tcBorders>
            <w:shd w:val="clear" w:color="auto" w:fill="auto"/>
            <w:vAlign w:val="center"/>
          </w:tcPr>
          <w:p w14:paraId="3567EBA8">
            <w:pPr>
              <w:keepNext w:val="0"/>
              <w:keepLines w:val="0"/>
              <w:pageBreakBefore w:val="0"/>
              <w:widowControl w:val="0"/>
              <w:kinsoku/>
              <w:wordWrap/>
              <w:overflowPunct/>
              <w:topLinePunct w:val="0"/>
              <w:autoSpaceDE/>
              <w:autoSpaceDN/>
              <w:bidi w:val="0"/>
              <w:spacing w:before="68" w:line="320" w:lineRule="exact"/>
              <w:ind w:left="240" w:leftChars="100" w:right="127" w:rightChars="53" w:firstLine="0" w:firstLineChars="0"/>
              <w:jc w:val="center"/>
              <w:rPr>
                <w:rFonts w:hint="eastAsia" w:ascii="宋体" w:hAnsi="宋体" w:eastAsia="宋体" w:cs="宋体"/>
                <w:spacing w:val="-8"/>
                <w:kern w:val="2"/>
                <w:sz w:val="21"/>
                <w:szCs w:val="21"/>
                <w:lang w:val="en-US" w:eastAsia="zh-CN" w:bidi="ar-SA"/>
              </w:rPr>
            </w:pPr>
            <w:r>
              <w:rPr>
                <w:rFonts w:hint="eastAsia" w:ascii="宋体" w:hAnsi="宋体" w:eastAsia="宋体" w:cs="宋体"/>
                <w:spacing w:val="-8"/>
                <w:sz w:val="21"/>
                <w:szCs w:val="21"/>
                <w:lang w:val="en-US" w:eastAsia="zh-CN"/>
              </w:rPr>
              <w:t>对擅自拆除或者闲置噪声污染防治设施导致环境噪声超标行为的行政处罚</w:t>
            </w:r>
          </w:p>
        </w:tc>
        <w:tc>
          <w:tcPr>
            <w:tcW w:w="1094" w:type="dxa"/>
            <w:tcBorders>
              <w:bottom w:val="single" w:color="000000" w:sz="10" w:space="0"/>
            </w:tcBorders>
            <w:shd w:val="clear" w:color="auto" w:fill="auto"/>
            <w:vAlign w:val="center"/>
          </w:tcPr>
          <w:p w14:paraId="70337073">
            <w:pPr>
              <w:keepNext w:val="0"/>
              <w:keepLines w:val="0"/>
              <w:pageBreakBefore w:val="0"/>
              <w:widowControl w:val="0"/>
              <w:kinsoku/>
              <w:wordWrap/>
              <w:overflowPunct/>
              <w:topLinePunct w:val="0"/>
              <w:autoSpaceDE/>
              <w:autoSpaceDN/>
              <w:bidi w:val="0"/>
              <w:spacing w:before="68" w:line="320" w:lineRule="exact"/>
              <w:ind w:left="0" w:leftChars="0" w:firstLine="0" w:firstLineChars="0"/>
              <w:jc w:val="center"/>
              <w:rPr>
                <w:rFonts w:hint="eastAsia" w:ascii="仿宋_GB2312" w:hAnsi="仿宋_GB2312" w:eastAsia="仿宋_GB2312" w:cs="仿宋_GB2312"/>
                <w:spacing w:val="-8"/>
                <w:kern w:val="2"/>
                <w:sz w:val="24"/>
                <w:szCs w:val="24"/>
                <w:lang w:val="en-US" w:eastAsia="zh-CN" w:bidi="ar-SA"/>
              </w:rPr>
            </w:pPr>
            <w:r>
              <w:rPr>
                <w:rFonts w:hint="eastAsia" w:ascii="仿宋_GB2312" w:hAnsi="仿宋_GB2312" w:eastAsia="仿宋_GB2312" w:cs="仿宋_GB2312"/>
                <w:spacing w:val="-8"/>
                <w:sz w:val="24"/>
                <w:szCs w:val="24"/>
                <w:lang w:val="en-US" w:eastAsia="zh-CN"/>
              </w:rPr>
              <w:t>行政处罚</w:t>
            </w:r>
          </w:p>
        </w:tc>
        <w:tc>
          <w:tcPr>
            <w:tcW w:w="8317" w:type="dxa"/>
            <w:tcBorders>
              <w:bottom w:val="single" w:color="000000" w:sz="10" w:space="0"/>
            </w:tcBorders>
            <w:shd w:val="clear" w:color="auto" w:fill="auto"/>
            <w:vAlign w:val="top"/>
          </w:tcPr>
          <w:p w14:paraId="3BE34C17">
            <w:pPr>
              <w:keepNext w:val="0"/>
              <w:keepLines w:val="0"/>
              <w:pageBreakBefore w:val="0"/>
              <w:widowControl w:val="0"/>
              <w:suppressLineNumbers w:val="0"/>
              <w:kinsoku/>
              <w:wordWrap/>
              <w:overflowPunct/>
              <w:topLinePunct w:val="0"/>
              <w:autoSpaceDE/>
              <w:autoSpaceDN/>
              <w:bidi w:val="0"/>
              <w:adjustRightInd/>
              <w:snapToGrid/>
              <w:spacing w:after="0" w:afterLines="-2147483648" w:line="320" w:lineRule="exact"/>
              <w:ind w:left="240" w:leftChars="100" w:firstLine="420" w:firstLineChars="200"/>
              <w:jc w:val="both"/>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中华人民共和国环境噪声污染防治法》第十五条产生环境噪声污染的企业事业单位，必须保持防治环境噪声污染的设施的正常使用；拆除或者闲置环境噪声污染防治设施的，必须事先报经所在地的县级以上地方人民政府生态环境主管部门批准。第五十条违反本法第十五条的规定，未经生态环境行政主管部门批准，擅自拆除或者闲置环境噪声污染防治设施，致使环境噪声排放超过规定标准的，由县级以上地方人民政府生态环境主管部门责令改正，并处罚款。2.《污染源自动监控管理办法》第十八条第一款第三项违反本办法规定，有下列行为之一的，由县级以上地方环境保护部门按以下规定处理：（三）未经环境保护部门批准，擅自拆除、闲置、破坏环境噪声排放自动监控系统的，致使环境噪声排放超过规定标准的。第二款有前款第（三）项行为的，依据《环境噪声污染防治法》第五十条的规定，责令改正，处3万元以下罚款。</w:t>
            </w:r>
          </w:p>
        </w:tc>
        <w:tc>
          <w:tcPr>
            <w:tcW w:w="1129" w:type="dxa"/>
            <w:tcBorders>
              <w:bottom w:val="single" w:color="000000" w:sz="10" w:space="0"/>
            </w:tcBorders>
            <w:shd w:val="clear" w:color="auto" w:fill="auto"/>
            <w:vAlign w:val="top"/>
          </w:tcPr>
          <w:p w14:paraId="60D80021">
            <w:pPr>
              <w:keepNext w:val="0"/>
              <w:keepLines w:val="0"/>
              <w:pageBreakBefore w:val="0"/>
              <w:widowControl w:val="0"/>
              <w:kinsoku/>
              <w:wordWrap/>
              <w:overflowPunct/>
              <w:topLinePunct w:val="0"/>
              <w:autoSpaceDE/>
              <w:autoSpaceDN/>
              <w:bidi w:val="0"/>
              <w:spacing w:before="303" w:line="320" w:lineRule="exact"/>
              <w:ind w:left="49" w:leftChars="0" w:right="26" w:rightChars="0" w:firstLine="420" w:firstLineChars="200"/>
              <w:rPr>
                <w:rFonts w:ascii="宋体" w:hAnsi="宋体" w:eastAsia="宋体" w:cs="宋体"/>
                <w:kern w:val="2"/>
                <w:sz w:val="21"/>
                <w:szCs w:val="21"/>
                <w:lang w:val="en-US" w:eastAsia="zh-CN" w:bidi="ar-SA"/>
              </w:rPr>
            </w:pPr>
          </w:p>
        </w:tc>
        <w:tc>
          <w:tcPr>
            <w:tcW w:w="990" w:type="dxa"/>
            <w:gridSpan w:val="2"/>
            <w:tcBorders>
              <w:bottom w:val="single" w:color="000000" w:sz="10" w:space="0"/>
              <w:right w:val="single" w:color="000000" w:sz="10" w:space="0"/>
            </w:tcBorders>
            <w:shd w:val="clear" w:color="auto" w:fill="auto"/>
            <w:vAlign w:val="top"/>
          </w:tcPr>
          <w:p w14:paraId="63AE8505">
            <w:pPr>
              <w:keepNext w:val="0"/>
              <w:keepLines w:val="0"/>
              <w:pageBreakBefore w:val="0"/>
              <w:widowControl w:val="0"/>
              <w:kinsoku/>
              <w:wordWrap/>
              <w:overflowPunct/>
              <w:topLinePunct w:val="0"/>
              <w:autoSpaceDE/>
              <w:autoSpaceDN/>
              <w:bidi w:val="0"/>
              <w:spacing w:before="69" w:line="320" w:lineRule="exact"/>
              <w:ind w:firstLine="420" w:firstLineChars="200"/>
              <w:rPr>
                <w:rFonts w:ascii="宋体" w:hAnsi="宋体" w:eastAsia="宋体" w:cs="宋体"/>
                <w:kern w:val="2"/>
                <w:sz w:val="21"/>
                <w:szCs w:val="21"/>
                <w:lang w:val="en-US" w:eastAsia="zh-CN" w:bidi="ar-SA"/>
              </w:rPr>
            </w:pPr>
          </w:p>
        </w:tc>
      </w:tr>
      <w:tr w14:paraId="3C67A7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6" w:hRule="atLeast"/>
        </w:trPr>
        <w:tc>
          <w:tcPr>
            <w:tcW w:w="557" w:type="dxa"/>
            <w:shd w:val="clear" w:color="auto" w:fill="auto"/>
            <w:vAlign w:val="center"/>
          </w:tcPr>
          <w:p w14:paraId="6E183F86">
            <w:pPr>
              <w:keepNext w:val="0"/>
              <w:keepLines w:val="0"/>
              <w:pageBreakBefore w:val="0"/>
              <w:widowControl w:val="0"/>
              <w:kinsoku/>
              <w:wordWrap/>
              <w:overflowPunct/>
              <w:topLinePunct w:val="0"/>
              <w:autoSpaceDE/>
              <w:autoSpaceDN/>
              <w:bidi w:val="0"/>
              <w:spacing w:before="68" w:line="320" w:lineRule="exact"/>
              <w:ind w:left="0" w:leftChars="0" w:firstLine="0" w:firstLineChars="0"/>
              <w:jc w:val="center"/>
              <w:rPr>
                <w:rFonts w:hint="eastAsia" w:ascii="仿宋_GB2312" w:hAnsi="仿宋_GB2312" w:eastAsia="仿宋_GB2312" w:cs="仿宋_GB2312"/>
                <w:spacing w:val="-8"/>
                <w:sz w:val="24"/>
                <w:szCs w:val="24"/>
                <w:lang w:val="en-US" w:eastAsia="zh-CN"/>
              </w:rPr>
            </w:pPr>
            <w:r>
              <w:rPr>
                <w:rFonts w:hint="eastAsia" w:ascii="仿宋_GB2312" w:hAnsi="仿宋_GB2312" w:eastAsia="仿宋_GB2312" w:cs="仿宋_GB2312"/>
                <w:spacing w:val="-8"/>
                <w:sz w:val="24"/>
                <w:szCs w:val="24"/>
                <w:lang w:val="en-US" w:eastAsia="zh-CN"/>
              </w:rPr>
              <w:t>68</w:t>
            </w:r>
          </w:p>
        </w:tc>
        <w:tc>
          <w:tcPr>
            <w:tcW w:w="2355" w:type="dxa"/>
            <w:shd w:val="clear" w:color="auto" w:fill="auto"/>
            <w:vAlign w:val="center"/>
          </w:tcPr>
          <w:p w14:paraId="73D55719">
            <w:pPr>
              <w:keepNext w:val="0"/>
              <w:keepLines w:val="0"/>
              <w:pageBreakBefore w:val="0"/>
              <w:widowControl w:val="0"/>
              <w:kinsoku/>
              <w:wordWrap/>
              <w:overflowPunct/>
              <w:topLinePunct w:val="0"/>
              <w:autoSpaceDE/>
              <w:autoSpaceDN/>
              <w:bidi w:val="0"/>
              <w:spacing w:before="68" w:line="320" w:lineRule="exact"/>
              <w:ind w:left="240" w:leftChars="100" w:right="127" w:rightChars="53" w:firstLine="0" w:firstLineChars="0"/>
              <w:jc w:val="center"/>
              <w:rPr>
                <w:rFonts w:hint="eastAsia" w:ascii="宋体" w:hAnsi="宋体" w:eastAsia="宋体" w:cs="宋体"/>
                <w:spacing w:val="-8"/>
                <w:kern w:val="2"/>
                <w:sz w:val="21"/>
                <w:szCs w:val="21"/>
                <w:lang w:val="en-US" w:eastAsia="zh-CN" w:bidi="ar-SA"/>
              </w:rPr>
            </w:pPr>
            <w:r>
              <w:rPr>
                <w:rFonts w:hint="eastAsia" w:ascii="宋体" w:hAnsi="宋体" w:eastAsia="宋体" w:cs="宋体"/>
                <w:spacing w:val="-8"/>
                <w:sz w:val="21"/>
                <w:szCs w:val="21"/>
                <w:lang w:val="en-US" w:eastAsia="zh-CN"/>
              </w:rPr>
              <w:t>对经限期治理逾期未完成噪声污染治理任务行为的行政处罚</w:t>
            </w:r>
          </w:p>
        </w:tc>
        <w:tc>
          <w:tcPr>
            <w:tcW w:w="1094" w:type="dxa"/>
            <w:shd w:val="clear" w:color="auto" w:fill="auto"/>
            <w:vAlign w:val="center"/>
          </w:tcPr>
          <w:p w14:paraId="1ADA5FC7">
            <w:pPr>
              <w:keepNext w:val="0"/>
              <w:keepLines w:val="0"/>
              <w:pageBreakBefore w:val="0"/>
              <w:widowControl w:val="0"/>
              <w:kinsoku/>
              <w:wordWrap/>
              <w:overflowPunct/>
              <w:topLinePunct w:val="0"/>
              <w:autoSpaceDE/>
              <w:autoSpaceDN/>
              <w:bidi w:val="0"/>
              <w:spacing w:before="68" w:line="320" w:lineRule="exact"/>
              <w:ind w:left="0" w:leftChars="0" w:firstLine="0" w:firstLineChars="0"/>
              <w:jc w:val="center"/>
              <w:rPr>
                <w:rFonts w:hint="eastAsia" w:ascii="仿宋_GB2312" w:hAnsi="仿宋_GB2312" w:eastAsia="仿宋_GB2312" w:cs="仿宋_GB2312"/>
                <w:spacing w:val="-8"/>
                <w:kern w:val="2"/>
                <w:sz w:val="24"/>
                <w:szCs w:val="24"/>
                <w:lang w:val="en-US" w:eastAsia="zh-CN" w:bidi="ar-SA"/>
              </w:rPr>
            </w:pPr>
            <w:r>
              <w:rPr>
                <w:rFonts w:hint="eastAsia" w:ascii="仿宋_GB2312" w:hAnsi="仿宋_GB2312" w:eastAsia="仿宋_GB2312" w:cs="仿宋_GB2312"/>
                <w:spacing w:val="-8"/>
                <w:sz w:val="24"/>
                <w:szCs w:val="24"/>
                <w:lang w:val="en-US" w:eastAsia="zh-CN"/>
              </w:rPr>
              <w:t>行政处罚</w:t>
            </w:r>
          </w:p>
        </w:tc>
        <w:tc>
          <w:tcPr>
            <w:tcW w:w="8317" w:type="dxa"/>
            <w:shd w:val="clear" w:color="auto" w:fill="auto"/>
            <w:vAlign w:val="top"/>
          </w:tcPr>
          <w:p w14:paraId="4295B48C">
            <w:pPr>
              <w:keepNext w:val="0"/>
              <w:keepLines w:val="0"/>
              <w:pageBreakBefore w:val="0"/>
              <w:widowControl w:val="0"/>
              <w:suppressLineNumbers w:val="0"/>
              <w:kinsoku/>
              <w:wordWrap/>
              <w:overflowPunct/>
              <w:topLinePunct w:val="0"/>
              <w:autoSpaceDE/>
              <w:autoSpaceDN/>
              <w:bidi w:val="0"/>
              <w:adjustRightInd/>
              <w:snapToGrid/>
              <w:spacing w:after="0" w:afterLines="-2147483648" w:line="320" w:lineRule="exact"/>
              <w:ind w:left="240" w:leftChars="100" w:firstLine="420" w:firstLineChars="200"/>
              <w:jc w:val="both"/>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中华人民共和国环境噪声污染防治法》第十七条对于在噪声敏感建筑物集中区域内造成严重环境噪声污染的企业事业单位，限期治理。被限期治理的单位必须按期完成治理任务。限期治理由县级以上人民政府按照国务院规定的权限决定。对小型企业事业单位的限期治理，可以由县级以上人民政府在国务院规定的权限内授权其生态环境主管部门决定。第五十二条违反本法第十七条的规定，对经限期治理逾期未完成治理任务的企业事业单位，除依照国家规定加收超标准排污费外，可以根据所造成的危害后果处以罚款，或者责令停业、搬迁、关闭。前款规定的罚款由生态环境主管部门决定。责令停业、搬迁、关闭由县级以上人民政府按照国务院规定的权限决定。</w:t>
            </w:r>
          </w:p>
        </w:tc>
        <w:tc>
          <w:tcPr>
            <w:tcW w:w="1129" w:type="dxa"/>
            <w:shd w:val="clear" w:color="auto" w:fill="auto"/>
            <w:vAlign w:val="top"/>
          </w:tcPr>
          <w:p w14:paraId="3D931827">
            <w:pPr>
              <w:keepNext w:val="0"/>
              <w:keepLines w:val="0"/>
              <w:pageBreakBefore w:val="0"/>
              <w:widowControl w:val="0"/>
              <w:kinsoku/>
              <w:wordWrap/>
              <w:overflowPunct/>
              <w:topLinePunct w:val="0"/>
              <w:autoSpaceDE/>
              <w:autoSpaceDN/>
              <w:bidi w:val="0"/>
              <w:spacing w:before="69" w:line="320" w:lineRule="exact"/>
              <w:ind w:left="49" w:leftChars="0" w:right="26" w:rightChars="0" w:firstLine="420" w:firstLineChars="200"/>
              <w:rPr>
                <w:rFonts w:ascii="宋体" w:hAnsi="宋体" w:eastAsia="宋体" w:cs="宋体"/>
                <w:kern w:val="2"/>
                <w:sz w:val="21"/>
                <w:szCs w:val="21"/>
                <w:lang w:val="en-US" w:eastAsia="zh-CN" w:bidi="ar-SA"/>
              </w:rPr>
            </w:pPr>
          </w:p>
        </w:tc>
        <w:tc>
          <w:tcPr>
            <w:tcW w:w="990" w:type="dxa"/>
            <w:gridSpan w:val="2"/>
            <w:shd w:val="clear" w:color="auto" w:fill="auto"/>
            <w:vAlign w:val="top"/>
          </w:tcPr>
          <w:p w14:paraId="1E890C39">
            <w:pPr>
              <w:keepNext w:val="0"/>
              <w:keepLines w:val="0"/>
              <w:pageBreakBefore w:val="0"/>
              <w:widowControl w:val="0"/>
              <w:kinsoku/>
              <w:wordWrap/>
              <w:overflowPunct/>
              <w:topLinePunct w:val="0"/>
              <w:autoSpaceDE/>
              <w:autoSpaceDN/>
              <w:bidi w:val="0"/>
              <w:spacing w:before="69" w:line="320" w:lineRule="exact"/>
              <w:ind w:left="204" w:leftChars="0" w:right="59" w:rightChars="0" w:firstLine="420" w:firstLineChars="200"/>
              <w:rPr>
                <w:rFonts w:ascii="宋体" w:hAnsi="宋体" w:eastAsia="宋体" w:cs="宋体"/>
                <w:kern w:val="2"/>
                <w:sz w:val="21"/>
                <w:szCs w:val="21"/>
                <w:lang w:val="en-US" w:eastAsia="zh-CN" w:bidi="ar-SA"/>
              </w:rPr>
            </w:pPr>
          </w:p>
        </w:tc>
      </w:tr>
      <w:tr w14:paraId="35F908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6" w:hRule="atLeast"/>
        </w:trPr>
        <w:tc>
          <w:tcPr>
            <w:tcW w:w="557" w:type="dxa"/>
            <w:shd w:val="clear" w:color="auto" w:fill="auto"/>
            <w:vAlign w:val="center"/>
          </w:tcPr>
          <w:p w14:paraId="6A638446">
            <w:pPr>
              <w:keepNext w:val="0"/>
              <w:keepLines w:val="0"/>
              <w:pageBreakBefore w:val="0"/>
              <w:widowControl w:val="0"/>
              <w:kinsoku/>
              <w:wordWrap/>
              <w:overflowPunct/>
              <w:topLinePunct w:val="0"/>
              <w:autoSpaceDE/>
              <w:autoSpaceDN/>
              <w:bidi w:val="0"/>
              <w:spacing w:before="68" w:line="320" w:lineRule="exact"/>
              <w:ind w:left="0" w:leftChars="0" w:firstLine="0" w:firstLineChars="0"/>
              <w:jc w:val="center"/>
              <w:rPr>
                <w:rFonts w:hint="eastAsia" w:ascii="仿宋_GB2312" w:hAnsi="仿宋_GB2312" w:eastAsia="仿宋_GB2312" w:cs="仿宋_GB2312"/>
                <w:spacing w:val="-8"/>
                <w:sz w:val="24"/>
                <w:szCs w:val="24"/>
                <w:lang w:val="en-US" w:eastAsia="zh-CN"/>
              </w:rPr>
            </w:pPr>
            <w:r>
              <w:rPr>
                <w:rFonts w:hint="eastAsia" w:ascii="仿宋_GB2312" w:hAnsi="仿宋_GB2312" w:eastAsia="仿宋_GB2312" w:cs="仿宋_GB2312"/>
                <w:spacing w:val="-8"/>
                <w:sz w:val="24"/>
                <w:szCs w:val="24"/>
                <w:lang w:val="en-US" w:eastAsia="zh-CN"/>
              </w:rPr>
              <w:t>69</w:t>
            </w:r>
          </w:p>
        </w:tc>
        <w:tc>
          <w:tcPr>
            <w:tcW w:w="2355" w:type="dxa"/>
            <w:shd w:val="clear" w:color="auto" w:fill="auto"/>
            <w:vAlign w:val="center"/>
          </w:tcPr>
          <w:p w14:paraId="397D40A1">
            <w:pPr>
              <w:keepNext w:val="0"/>
              <w:keepLines w:val="0"/>
              <w:pageBreakBefore w:val="0"/>
              <w:widowControl w:val="0"/>
              <w:kinsoku/>
              <w:wordWrap/>
              <w:overflowPunct/>
              <w:topLinePunct w:val="0"/>
              <w:autoSpaceDE/>
              <w:autoSpaceDN/>
              <w:bidi w:val="0"/>
              <w:spacing w:before="68" w:line="320" w:lineRule="exact"/>
              <w:ind w:left="240" w:leftChars="100" w:right="127" w:rightChars="53" w:firstLine="0" w:firstLineChars="0"/>
              <w:jc w:val="center"/>
              <w:rPr>
                <w:rFonts w:hint="eastAsia" w:ascii="宋体" w:hAnsi="宋体" w:eastAsia="宋体" w:cs="宋体"/>
                <w:spacing w:val="-8"/>
                <w:kern w:val="2"/>
                <w:sz w:val="21"/>
                <w:szCs w:val="21"/>
                <w:lang w:val="en-US" w:eastAsia="zh-CN" w:bidi="ar-SA"/>
              </w:rPr>
            </w:pPr>
            <w:r>
              <w:rPr>
                <w:rFonts w:hint="eastAsia" w:ascii="宋体" w:hAnsi="宋体" w:eastAsia="宋体" w:cs="宋体"/>
                <w:spacing w:val="-8"/>
                <w:sz w:val="21"/>
                <w:szCs w:val="21"/>
                <w:lang w:val="en-US" w:eastAsia="zh-CN"/>
              </w:rPr>
              <w:t>对拒不接受固体废物污染检查或在检查时弄虚作假行为的行政处罚</w:t>
            </w:r>
          </w:p>
        </w:tc>
        <w:tc>
          <w:tcPr>
            <w:tcW w:w="1094" w:type="dxa"/>
            <w:shd w:val="clear" w:color="auto" w:fill="auto"/>
            <w:vAlign w:val="center"/>
          </w:tcPr>
          <w:p w14:paraId="2CFD9116">
            <w:pPr>
              <w:keepNext w:val="0"/>
              <w:keepLines w:val="0"/>
              <w:pageBreakBefore w:val="0"/>
              <w:widowControl w:val="0"/>
              <w:kinsoku/>
              <w:wordWrap/>
              <w:overflowPunct/>
              <w:topLinePunct w:val="0"/>
              <w:autoSpaceDE/>
              <w:autoSpaceDN/>
              <w:bidi w:val="0"/>
              <w:spacing w:before="68" w:line="320" w:lineRule="exact"/>
              <w:ind w:left="0" w:leftChars="0" w:firstLine="0" w:firstLineChars="0"/>
              <w:jc w:val="center"/>
              <w:rPr>
                <w:rFonts w:hint="eastAsia" w:ascii="仿宋_GB2312" w:hAnsi="仿宋_GB2312" w:eastAsia="仿宋_GB2312" w:cs="仿宋_GB2312"/>
                <w:spacing w:val="-8"/>
                <w:kern w:val="2"/>
                <w:sz w:val="24"/>
                <w:szCs w:val="24"/>
                <w:lang w:val="en-US" w:eastAsia="zh-CN" w:bidi="ar-SA"/>
              </w:rPr>
            </w:pPr>
            <w:r>
              <w:rPr>
                <w:rFonts w:hint="eastAsia" w:ascii="仿宋_GB2312" w:hAnsi="仿宋_GB2312" w:eastAsia="仿宋_GB2312" w:cs="仿宋_GB2312"/>
                <w:spacing w:val="-8"/>
                <w:sz w:val="24"/>
                <w:szCs w:val="24"/>
                <w:lang w:val="en-US" w:eastAsia="zh-CN"/>
              </w:rPr>
              <w:t>行政处罚</w:t>
            </w:r>
          </w:p>
        </w:tc>
        <w:tc>
          <w:tcPr>
            <w:tcW w:w="8317" w:type="dxa"/>
            <w:shd w:val="clear" w:color="auto" w:fill="auto"/>
            <w:vAlign w:val="top"/>
          </w:tcPr>
          <w:p w14:paraId="4A420E9C">
            <w:pPr>
              <w:keepNext w:val="0"/>
              <w:keepLines w:val="0"/>
              <w:pageBreakBefore w:val="0"/>
              <w:widowControl w:val="0"/>
              <w:suppressLineNumbers w:val="0"/>
              <w:kinsoku/>
              <w:wordWrap/>
              <w:overflowPunct/>
              <w:topLinePunct w:val="0"/>
              <w:autoSpaceDE/>
              <w:autoSpaceDN/>
              <w:bidi w:val="0"/>
              <w:adjustRightInd/>
              <w:snapToGrid/>
              <w:spacing w:after="0" w:afterLines="-2147483648" w:line="320" w:lineRule="exact"/>
              <w:ind w:left="240" w:leftChars="100" w:firstLine="420" w:firstLineChars="200"/>
              <w:jc w:val="both"/>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中华人民共和国固体废物污染环境防治法》第一百零三条违反本法规定，以拖延、围堵、滞留执法人员等方式拒绝、阻挠监督检查，或者在接受监督检查时弄虚作假的，由生态环境主管部门或者其他负有固体废物污染环境防治监督管理职责的部门责令改正，处五万元以上二十万元以下的罚款；对直接负责的主管人员和其他直接责任人员，处二万元以上十万元以下的罚款。</w:t>
            </w:r>
          </w:p>
        </w:tc>
        <w:tc>
          <w:tcPr>
            <w:tcW w:w="1129" w:type="dxa"/>
            <w:shd w:val="clear" w:color="auto" w:fill="auto"/>
            <w:vAlign w:val="top"/>
          </w:tcPr>
          <w:p w14:paraId="39645279">
            <w:pPr>
              <w:keepNext w:val="0"/>
              <w:keepLines w:val="0"/>
              <w:pageBreakBefore w:val="0"/>
              <w:widowControl w:val="0"/>
              <w:kinsoku/>
              <w:wordWrap/>
              <w:overflowPunct/>
              <w:topLinePunct w:val="0"/>
              <w:autoSpaceDE/>
              <w:autoSpaceDN/>
              <w:bidi w:val="0"/>
              <w:spacing w:before="69" w:line="320" w:lineRule="exact"/>
              <w:ind w:left="49" w:leftChars="0" w:right="26" w:rightChars="0" w:firstLine="404" w:firstLineChars="200"/>
              <w:rPr>
                <w:rFonts w:ascii="宋体" w:hAnsi="宋体" w:eastAsia="宋体" w:cs="宋体"/>
                <w:spacing w:val="-4"/>
                <w:sz w:val="21"/>
                <w:szCs w:val="21"/>
              </w:rPr>
            </w:pPr>
          </w:p>
        </w:tc>
        <w:tc>
          <w:tcPr>
            <w:tcW w:w="990" w:type="dxa"/>
            <w:gridSpan w:val="2"/>
            <w:shd w:val="clear" w:color="auto" w:fill="auto"/>
            <w:vAlign w:val="top"/>
          </w:tcPr>
          <w:p w14:paraId="03E778CA">
            <w:pPr>
              <w:keepNext w:val="0"/>
              <w:keepLines w:val="0"/>
              <w:pageBreakBefore w:val="0"/>
              <w:widowControl w:val="0"/>
              <w:kinsoku/>
              <w:wordWrap/>
              <w:overflowPunct/>
              <w:topLinePunct w:val="0"/>
              <w:autoSpaceDE/>
              <w:autoSpaceDN/>
              <w:bidi w:val="0"/>
              <w:spacing w:before="69" w:line="320" w:lineRule="exact"/>
              <w:ind w:left="204" w:leftChars="0" w:right="59" w:rightChars="0" w:firstLine="404" w:firstLineChars="200"/>
              <w:rPr>
                <w:rFonts w:ascii="宋体" w:hAnsi="宋体" w:eastAsia="宋体" w:cs="宋体"/>
                <w:spacing w:val="-4"/>
                <w:sz w:val="21"/>
                <w:szCs w:val="21"/>
              </w:rPr>
            </w:pPr>
          </w:p>
        </w:tc>
      </w:tr>
      <w:tr w14:paraId="0277A7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6" w:hRule="atLeast"/>
        </w:trPr>
        <w:tc>
          <w:tcPr>
            <w:tcW w:w="557" w:type="dxa"/>
            <w:shd w:val="clear" w:color="auto" w:fill="auto"/>
            <w:vAlign w:val="center"/>
          </w:tcPr>
          <w:p w14:paraId="1CCAD64D">
            <w:pPr>
              <w:keepNext w:val="0"/>
              <w:keepLines w:val="0"/>
              <w:pageBreakBefore w:val="0"/>
              <w:widowControl w:val="0"/>
              <w:kinsoku/>
              <w:wordWrap/>
              <w:overflowPunct/>
              <w:topLinePunct w:val="0"/>
              <w:autoSpaceDE/>
              <w:autoSpaceDN/>
              <w:bidi w:val="0"/>
              <w:spacing w:before="68" w:line="320" w:lineRule="exact"/>
              <w:ind w:left="0" w:leftChars="0" w:firstLine="0" w:firstLineChars="0"/>
              <w:jc w:val="center"/>
              <w:rPr>
                <w:rFonts w:hint="eastAsia" w:ascii="仿宋_GB2312" w:hAnsi="仿宋_GB2312" w:eastAsia="仿宋_GB2312" w:cs="仿宋_GB2312"/>
                <w:spacing w:val="-8"/>
                <w:sz w:val="24"/>
                <w:szCs w:val="24"/>
                <w:lang w:val="en-US" w:eastAsia="zh-CN"/>
              </w:rPr>
            </w:pPr>
            <w:r>
              <w:rPr>
                <w:rFonts w:hint="eastAsia" w:ascii="仿宋_GB2312" w:hAnsi="仿宋_GB2312" w:eastAsia="仿宋_GB2312" w:cs="仿宋_GB2312"/>
                <w:spacing w:val="-8"/>
                <w:sz w:val="24"/>
                <w:szCs w:val="24"/>
                <w:lang w:val="en-US" w:eastAsia="zh-CN"/>
              </w:rPr>
              <w:t>70</w:t>
            </w:r>
          </w:p>
        </w:tc>
        <w:tc>
          <w:tcPr>
            <w:tcW w:w="2355" w:type="dxa"/>
            <w:shd w:val="clear" w:color="auto" w:fill="auto"/>
            <w:vAlign w:val="center"/>
          </w:tcPr>
          <w:p w14:paraId="382CD398">
            <w:pPr>
              <w:keepNext w:val="0"/>
              <w:keepLines w:val="0"/>
              <w:pageBreakBefore w:val="0"/>
              <w:widowControl w:val="0"/>
              <w:kinsoku/>
              <w:wordWrap/>
              <w:overflowPunct/>
              <w:topLinePunct w:val="0"/>
              <w:autoSpaceDE/>
              <w:autoSpaceDN/>
              <w:bidi w:val="0"/>
              <w:spacing w:before="68" w:line="320" w:lineRule="exact"/>
              <w:ind w:left="240" w:leftChars="100" w:right="127" w:rightChars="53" w:firstLine="0" w:firstLineChars="0"/>
              <w:jc w:val="center"/>
              <w:rPr>
                <w:rFonts w:hint="eastAsia" w:ascii="宋体" w:hAnsi="宋体" w:eastAsia="宋体" w:cs="宋体"/>
                <w:spacing w:val="-8"/>
                <w:kern w:val="2"/>
                <w:sz w:val="21"/>
                <w:szCs w:val="21"/>
                <w:lang w:val="en-US" w:eastAsia="zh-CN" w:bidi="ar-SA"/>
              </w:rPr>
            </w:pPr>
            <w:r>
              <w:rPr>
                <w:rFonts w:hint="eastAsia" w:ascii="宋体" w:hAnsi="宋体" w:eastAsia="宋体" w:cs="宋体"/>
                <w:spacing w:val="-8"/>
                <w:sz w:val="21"/>
                <w:szCs w:val="21"/>
                <w:lang w:val="en-US" w:eastAsia="zh-CN"/>
              </w:rPr>
              <w:t>对拒不接受医疗废物检查或在检查时弄虚作假行为的行政处罚</w:t>
            </w:r>
          </w:p>
        </w:tc>
        <w:tc>
          <w:tcPr>
            <w:tcW w:w="1094" w:type="dxa"/>
            <w:shd w:val="clear" w:color="auto" w:fill="auto"/>
            <w:vAlign w:val="center"/>
          </w:tcPr>
          <w:p w14:paraId="2394D2DB">
            <w:pPr>
              <w:keepNext w:val="0"/>
              <w:keepLines w:val="0"/>
              <w:pageBreakBefore w:val="0"/>
              <w:widowControl w:val="0"/>
              <w:kinsoku/>
              <w:wordWrap/>
              <w:overflowPunct/>
              <w:topLinePunct w:val="0"/>
              <w:autoSpaceDE/>
              <w:autoSpaceDN/>
              <w:bidi w:val="0"/>
              <w:spacing w:before="68" w:line="320" w:lineRule="exact"/>
              <w:ind w:left="0" w:leftChars="0" w:firstLine="0" w:firstLineChars="0"/>
              <w:jc w:val="center"/>
              <w:rPr>
                <w:rFonts w:hint="eastAsia" w:ascii="仿宋_GB2312" w:hAnsi="仿宋_GB2312" w:eastAsia="仿宋_GB2312" w:cs="仿宋_GB2312"/>
                <w:spacing w:val="-8"/>
                <w:kern w:val="2"/>
                <w:sz w:val="24"/>
                <w:szCs w:val="24"/>
                <w:lang w:val="en-US" w:eastAsia="zh-CN" w:bidi="ar-SA"/>
              </w:rPr>
            </w:pPr>
            <w:r>
              <w:rPr>
                <w:rFonts w:hint="eastAsia" w:ascii="仿宋_GB2312" w:hAnsi="仿宋_GB2312" w:eastAsia="仿宋_GB2312" w:cs="仿宋_GB2312"/>
                <w:spacing w:val="-8"/>
                <w:sz w:val="24"/>
                <w:szCs w:val="24"/>
                <w:lang w:val="en-US" w:eastAsia="zh-CN"/>
              </w:rPr>
              <w:t>行政处罚</w:t>
            </w:r>
          </w:p>
        </w:tc>
        <w:tc>
          <w:tcPr>
            <w:tcW w:w="8317" w:type="dxa"/>
            <w:shd w:val="clear" w:color="auto" w:fill="auto"/>
            <w:vAlign w:val="top"/>
          </w:tcPr>
          <w:p w14:paraId="59CCC8B7">
            <w:pPr>
              <w:keepNext w:val="0"/>
              <w:keepLines w:val="0"/>
              <w:pageBreakBefore w:val="0"/>
              <w:widowControl w:val="0"/>
              <w:suppressLineNumbers w:val="0"/>
              <w:kinsoku/>
              <w:wordWrap/>
              <w:overflowPunct/>
              <w:topLinePunct w:val="0"/>
              <w:autoSpaceDE/>
              <w:autoSpaceDN/>
              <w:bidi w:val="0"/>
              <w:adjustRightInd/>
              <w:snapToGrid/>
              <w:spacing w:after="0" w:afterLines="-2147483648" w:line="320" w:lineRule="exact"/>
              <w:ind w:left="240" w:leftChars="100" w:firstLine="420" w:firstLineChars="200"/>
              <w:jc w:val="both"/>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医疗废物管理行政处罚办法》第十二条第二款医疗卫生机构、医疗废物集中处置单位阻碍环境保护行政主管部门执法人员执行职务，拒绝执法人员进入现场，或者不配合执法部门的检查、监测、调查取证的，由县级以上地方人民政府环境保护行政主管部门依照《中华人民共和国固体废物污染环境防治法》第一百零三条规定责令限期改正，处五万元以上二十万元以下的罚款；对直接负责的主管人员和其他直接责任人员，处二万元以上十万元以下的罚款。。</w:t>
            </w:r>
          </w:p>
        </w:tc>
        <w:tc>
          <w:tcPr>
            <w:tcW w:w="1129" w:type="dxa"/>
            <w:shd w:val="clear" w:color="auto" w:fill="auto"/>
            <w:vAlign w:val="top"/>
          </w:tcPr>
          <w:p w14:paraId="30E91A0B">
            <w:pPr>
              <w:keepNext w:val="0"/>
              <w:keepLines w:val="0"/>
              <w:pageBreakBefore w:val="0"/>
              <w:widowControl w:val="0"/>
              <w:kinsoku/>
              <w:wordWrap/>
              <w:overflowPunct/>
              <w:topLinePunct w:val="0"/>
              <w:autoSpaceDE/>
              <w:autoSpaceDN/>
              <w:bidi w:val="0"/>
              <w:spacing w:before="69" w:line="320" w:lineRule="exact"/>
              <w:ind w:left="49" w:leftChars="0" w:right="26" w:rightChars="0" w:firstLine="404" w:firstLineChars="200"/>
              <w:rPr>
                <w:rFonts w:ascii="宋体" w:hAnsi="宋体" w:eastAsia="宋体" w:cs="宋体"/>
                <w:spacing w:val="-4"/>
                <w:sz w:val="21"/>
                <w:szCs w:val="21"/>
              </w:rPr>
            </w:pPr>
          </w:p>
        </w:tc>
        <w:tc>
          <w:tcPr>
            <w:tcW w:w="990" w:type="dxa"/>
            <w:gridSpan w:val="2"/>
            <w:shd w:val="clear" w:color="auto" w:fill="auto"/>
            <w:vAlign w:val="top"/>
          </w:tcPr>
          <w:p w14:paraId="24F51298">
            <w:pPr>
              <w:keepNext w:val="0"/>
              <w:keepLines w:val="0"/>
              <w:pageBreakBefore w:val="0"/>
              <w:widowControl w:val="0"/>
              <w:kinsoku/>
              <w:wordWrap/>
              <w:overflowPunct/>
              <w:topLinePunct w:val="0"/>
              <w:autoSpaceDE/>
              <w:autoSpaceDN/>
              <w:bidi w:val="0"/>
              <w:spacing w:before="69" w:line="320" w:lineRule="exact"/>
              <w:ind w:left="204" w:leftChars="0" w:right="59" w:rightChars="0" w:firstLine="404" w:firstLineChars="200"/>
              <w:rPr>
                <w:rFonts w:ascii="宋体" w:hAnsi="宋体" w:eastAsia="宋体" w:cs="宋体"/>
                <w:spacing w:val="-4"/>
                <w:sz w:val="21"/>
                <w:szCs w:val="21"/>
              </w:rPr>
            </w:pPr>
          </w:p>
        </w:tc>
      </w:tr>
      <w:tr w14:paraId="7E74EA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6" w:hRule="atLeast"/>
        </w:trPr>
        <w:tc>
          <w:tcPr>
            <w:tcW w:w="557" w:type="dxa"/>
            <w:shd w:val="clear" w:color="auto" w:fill="auto"/>
            <w:vAlign w:val="center"/>
          </w:tcPr>
          <w:p w14:paraId="16FAB8DA">
            <w:pPr>
              <w:keepNext w:val="0"/>
              <w:keepLines w:val="0"/>
              <w:pageBreakBefore w:val="0"/>
              <w:widowControl w:val="0"/>
              <w:kinsoku/>
              <w:wordWrap/>
              <w:overflowPunct/>
              <w:topLinePunct w:val="0"/>
              <w:autoSpaceDE/>
              <w:autoSpaceDN/>
              <w:bidi w:val="0"/>
              <w:spacing w:before="68" w:line="320" w:lineRule="exact"/>
              <w:ind w:left="0" w:leftChars="0" w:firstLine="0" w:firstLineChars="0"/>
              <w:jc w:val="center"/>
              <w:rPr>
                <w:rFonts w:hint="eastAsia" w:ascii="仿宋_GB2312" w:hAnsi="仿宋_GB2312" w:eastAsia="仿宋_GB2312" w:cs="仿宋_GB2312"/>
                <w:spacing w:val="-8"/>
                <w:sz w:val="24"/>
                <w:szCs w:val="24"/>
                <w:lang w:val="en-US" w:eastAsia="zh-CN"/>
              </w:rPr>
            </w:pPr>
            <w:r>
              <w:rPr>
                <w:rFonts w:hint="eastAsia" w:ascii="仿宋_GB2312" w:hAnsi="仿宋_GB2312" w:eastAsia="仿宋_GB2312" w:cs="仿宋_GB2312"/>
                <w:spacing w:val="-8"/>
                <w:sz w:val="24"/>
                <w:szCs w:val="24"/>
                <w:lang w:val="en-US" w:eastAsia="zh-CN"/>
              </w:rPr>
              <w:t>71</w:t>
            </w:r>
          </w:p>
        </w:tc>
        <w:tc>
          <w:tcPr>
            <w:tcW w:w="2355" w:type="dxa"/>
            <w:shd w:val="clear" w:color="auto" w:fill="auto"/>
            <w:vAlign w:val="center"/>
          </w:tcPr>
          <w:p w14:paraId="54400FE5">
            <w:pPr>
              <w:keepNext w:val="0"/>
              <w:keepLines w:val="0"/>
              <w:pageBreakBefore w:val="0"/>
              <w:widowControl w:val="0"/>
              <w:kinsoku/>
              <w:wordWrap/>
              <w:overflowPunct/>
              <w:topLinePunct w:val="0"/>
              <w:autoSpaceDE/>
              <w:autoSpaceDN/>
              <w:bidi w:val="0"/>
              <w:spacing w:before="68" w:line="320" w:lineRule="exact"/>
              <w:ind w:left="240" w:leftChars="100" w:right="127" w:rightChars="53" w:firstLine="0" w:firstLineChars="0"/>
              <w:jc w:val="center"/>
              <w:rPr>
                <w:rFonts w:hint="eastAsia" w:ascii="宋体" w:hAnsi="宋体" w:eastAsia="宋体" w:cs="宋体"/>
                <w:spacing w:val="-8"/>
                <w:kern w:val="2"/>
                <w:sz w:val="21"/>
                <w:szCs w:val="21"/>
                <w:lang w:val="en-US" w:eastAsia="zh-CN" w:bidi="ar-SA"/>
              </w:rPr>
            </w:pPr>
            <w:r>
              <w:rPr>
                <w:rFonts w:hint="eastAsia" w:ascii="宋体" w:hAnsi="宋体" w:eastAsia="宋体" w:cs="宋体"/>
                <w:spacing w:val="-8"/>
                <w:sz w:val="21"/>
                <w:szCs w:val="21"/>
                <w:lang w:val="en-US" w:eastAsia="zh-CN"/>
              </w:rPr>
              <w:t>对未依法及时公开固体废物污染环境防治信息的等行为的行政处罚</w:t>
            </w:r>
          </w:p>
        </w:tc>
        <w:tc>
          <w:tcPr>
            <w:tcW w:w="1094" w:type="dxa"/>
            <w:shd w:val="clear" w:color="auto" w:fill="auto"/>
            <w:vAlign w:val="center"/>
          </w:tcPr>
          <w:p w14:paraId="325DA6AC">
            <w:pPr>
              <w:keepNext w:val="0"/>
              <w:keepLines w:val="0"/>
              <w:pageBreakBefore w:val="0"/>
              <w:widowControl w:val="0"/>
              <w:kinsoku/>
              <w:wordWrap/>
              <w:overflowPunct/>
              <w:topLinePunct w:val="0"/>
              <w:autoSpaceDE/>
              <w:autoSpaceDN/>
              <w:bidi w:val="0"/>
              <w:spacing w:before="68" w:line="320" w:lineRule="exact"/>
              <w:ind w:left="0" w:leftChars="0" w:firstLine="0" w:firstLineChars="0"/>
              <w:jc w:val="center"/>
              <w:rPr>
                <w:rFonts w:hint="eastAsia" w:ascii="仿宋_GB2312" w:hAnsi="仿宋_GB2312" w:eastAsia="仿宋_GB2312" w:cs="仿宋_GB2312"/>
                <w:spacing w:val="-8"/>
                <w:kern w:val="2"/>
                <w:sz w:val="24"/>
                <w:szCs w:val="24"/>
                <w:lang w:val="en-US" w:eastAsia="zh-CN" w:bidi="ar-SA"/>
              </w:rPr>
            </w:pPr>
            <w:r>
              <w:rPr>
                <w:rFonts w:hint="eastAsia" w:ascii="仿宋_GB2312" w:hAnsi="仿宋_GB2312" w:eastAsia="仿宋_GB2312" w:cs="仿宋_GB2312"/>
                <w:spacing w:val="-8"/>
                <w:sz w:val="24"/>
                <w:szCs w:val="24"/>
                <w:lang w:val="en-US" w:eastAsia="zh-CN"/>
              </w:rPr>
              <w:t>行政处罚</w:t>
            </w:r>
          </w:p>
        </w:tc>
        <w:tc>
          <w:tcPr>
            <w:tcW w:w="8317" w:type="dxa"/>
            <w:shd w:val="clear" w:color="auto" w:fill="auto"/>
            <w:vAlign w:val="top"/>
          </w:tcPr>
          <w:p w14:paraId="311654B0">
            <w:pPr>
              <w:keepNext w:val="0"/>
              <w:keepLines w:val="0"/>
              <w:pageBreakBefore w:val="0"/>
              <w:widowControl w:val="0"/>
              <w:suppressLineNumbers w:val="0"/>
              <w:kinsoku/>
              <w:wordWrap/>
              <w:overflowPunct/>
              <w:topLinePunct w:val="0"/>
              <w:autoSpaceDE/>
              <w:autoSpaceDN/>
              <w:bidi w:val="0"/>
              <w:adjustRightInd/>
              <w:snapToGrid/>
              <w:spacing w:after="0" w:afterLines="-2147483648" w:line="320" w:lineRule="exact"/>
              <w:ind w:left="240" w:leftChars="100" w:firstLine="420" w:firstLineChars="200"/>
              <w:jc w:val="both"/>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中华人民共和国固体废物污染环境防治法》第一百零二条违反本法规定，有下列行为之一，由生态环境主管部门责令改正，处以罚款，没收违法所得；情节严重的，报经有批准权的人民政府批准，可以责令停业或者关闭：（一）产生、收集、贮存、运输、利用、处置固体废物的单位未依法及时公开固体废物污染环境防治信息的；（二）生活垃圾处理单位未按照国家有关规定安装使用监测设备、实时监测污染物的排放情况并公开污染排放数据的；（三）将列入限期淘汰名录被淘汰的设备转让给他人使用的；（四）在生态保护红线区域、永久基本农田集中区域和其他需要特别保护的区域内，建设工业固体废物、危险废物集中贮存、利用、处置的设施、场所和生活垃圾填埋场的；（五）转移固体废物出省、自治区、直辖市行政区域贮存、处置未经批准的；（六）转移固体废物出省、自治区、直辖市行政区域利用未报备案的；（七）擅自倾倒、堆放、丢弃、遗撒工业固体废物，或者未采取相应防范措施，造成工业固体废物扬散、流失、渗漏或者其他环境污染的；（八）产生工业固体废物的单位未建立固体废物管理台账并如实记录的；（九）产生工业固体废物的单位违反本法规定委托他人运输、利用、处置工业固体废物的；（十）贮存工业固体废物未采取符合国家环境保护标准的防护措施的；（十一）单位和其他生产经营者违反固体废物管理其他要求，污染环境、破坏生态的。有前款第一项、第八项行为之一，处五万元以上二十万元以下的罚款；有前款第二项、第三项、第四项、第五项、第六项、第九项、第十项、第十一项行为之一，处十万元以上一百万元以下的罚款；有前款第七项行为，处所需处置费用一倍以上三倍以下的罚款，所需处置费用不足十万元的，按十万元计算。对前款第十一项行为的处罚，有关法律、行政法规另有规定的，适用其规定。</w:t>
            </w:r>
          </w:p>
          <w:p w14:paraId="088235BD">
            <w:pPr>
              <w:keepNext w:val="0"/>
              <w:keepLines w:val="0"/>
              <w:pageBreakBefore w:val="0"/>
              <w:widowControl w:val="0"/>
              <w:suppressLineNumbers w:val="0"/>
              <w:kinsoku/>
              <w:wordWrap/>
              <w:overflowPunct/>
              <w:topLinePunct w:val="0"/>
              <w:autoSpaceDE/>
              <w:autoSpaceDN/>
              <w:bidi w:val="0"/>
              <w:adjustRightInd/>
              <w:snapToGrid/>
              <w:spacing w:after="0" w:afterLines="-2147483648" w:line="320" w:lineRule="exact"/>
              <w:ind w:left="240" w:leftChars="100" w:firstLine="420" w:firstLineChars="200"/>
              <w:jc w:val="both"/>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电子废物污染环境防治管理办法》第二十二条列入名录（包括临时名录）的单位（包括个体工商户）违反《固体废物污染环境防治法》等有关法律、行政法规规定，有下列行为之一的，依据有关法律、行政法规予以处罚：（一）擅自关闭、闲置或者拆除污染防治设施、场所的；（二）未采取无害化处置措施，随意倾倒、堆放所产生的固体废物或液态废物的；（三）造成固体废物或液态废物扬散、流失、渗漏或者其他环境污染等环境违法行为的；（四）不正常使用污染防治设施的。有前款第一项、第二项、第三项行为的，分别依据《固体废物污染环境防治法》第一百零二条规定，由生态环境主管部门责令改正，处以罚款，没收违法所得；情节严重的，报经有批准权的人民政府批准，可以责令停业或者关闭；有前款第四项行为的，依据《水污染防治法》、《大气污染防治法》有关规定予以处罚。（备注：第一项在固废法中已删除，应该归入不正常使用污染防治设施）</w:t>
            </w:r>
          </w:p>
        </w:tc>
        <w:tc>
          <w:tcPr>
            <w:tcW w:w="1129" w:type="dxa"/>
            <w:shd w:val="clear" w:color="auto" w:fill="auto"/>
            <w:vAlign w:val="top"/>
          </w:tcPr>
          <w:p w14:paraId="2D03DBD9">
            <w:pPr>
              <w:keepNext w:val="0"/>
              <w:keepLines w:val="0"/>
              <w:pageBreakBefore w:val="0"/>
              <w:widowControl w:val="0"/>
              <w:kinsoku/>
              <w:wordWrap/>
              <w:overflowPunct/>
              <w:topLinePunct w:val="0"/>
              <w:autoSpaceDE/>
              <w:autoSpaceDN/>
              <w:bidi w:val="0"/>
              <w:spacing w:before="69" w:line="320" w:lineRule="exact"/>
              <w:ind w:left="49" w:leftChars="0" w:right="26" w:rightChars="0" w:firstLine="404" w:firstLineChars="200"/>
              <w:rPr>
                <w:rFonts w:ascii="宋体" w:hAnsi="宋体" w:eastAsia="宋体" w:cs="宋体"/>
                <w:spacing w:val="-4"/>
                <w:sz w:val="21"/>
                <w:szCs w:val="21"/>
              </w:rPr>
            </w:pPr>
          </w:p>
        </w:tc>
        <w:tc>
          <w:tcPr>
            <w:tcW w:w="990" w:type="dxa"/>
            <w:gridSpan w:val="2"/>
            <w:shd w:val="clear" w:color="auto" w:fill="auto"/>
            <w:vAlign w:val="top"/>
          </w:tcPr>
          <w:p w14:paraId="307CBBE2">
            <w:pPr>
              <w:keepNext w:val="0"/>
              <w:keepLines w:val="0"/>
              <w:pageBreakBefore w:val="0"/>
              <w:widowControl w:val="0"/>
              <w:kinsoku/>
              <w:wordWrap/>
              <w:overflowPunct/>
              <w:topLinePunct w:val="0"/>
              <w:autoSpaceDE/>
              <w:autoSpaceDN/>
              <w:bidi w:val="0"/>
              <w:spacing w:before="69" w:line="320" w:lineRule="exact"/>
              <w:ind w:left="204" w:leftChars="0" w:right="59" w:rightChars="0" w:firstLine="404" w:firstLineChars="200"/>
              <w:rPr>
                <w:rFonts w:ascii="宋体" w:hAnsi="宋体" w:eastAsia="宋体" w:cs="宋体"/>
                <w:spacing w:val="-4"/>
                <w:sz w:val="21"/>
                <w:szCs w:val="21"/>
              </w:rPr>
            </w:pPr>
          </w:p>
        </w:tc>
      </w:tr>
      <w:tr w14:paraId="2AC99D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557" w:type="dxa"/>
            <w:shd w:val="clear" w:color="auto" w:fill="auto"/>
            <w:vAlign w:val="center"/>
          </w:tcPr>
          <w:p w14:paraId="7AE59830">
            <w:pPr>
              <w:keepNext w:val="0"/>
              <w:keepLines w:val="0"/>
              <w:pageBreakBefore w:val="0"/>
              <w:widowControl w:val="0"/>
              <w:kinsoku/>
              <w:wordWrap/>
              <w:overflowPunct/>
              <w:topLinePunct w:val="0"/>
              <w:autoSpaceDE/>
              <w:autoSpaceDN/>
              <w:bidi w:val="0"/>
              <w:spacing w:before="68" w:line="320" w:lineRule="exact"/>
              <w:ind w:left="0" w:leftChars="0" w:firstLine="0" w:firstLineChars="0"/>
              <w:jc w:val="center"/>
              <w:rPr>
                <w:rFonts w:hint="eastAsia" w:ascii="仿宋_GB2312" w:hAnsi="仿宋_GB2312" w:eastAsia="仿宋_GB2312" w:cs="仿宋_GB2312"/>
                <w:spacing w:val="-8"/>
                <w:sz w:val="24"/>
                <w:szCs w:val="24"/>
                <w:lang w:val="en-US" w:eastAsia="zh-CN"/>
              </w:rPr>
            </w:pPr>
            <w:r>
              <w:rPr>
                <w:rFonts w:hint="eastAsia" w:ascii="仿宋_GB2312" w:hAnsi="仿宋_GB2312" w:eastAsia="仿宋_GB2312" w:cs="仿宋_GB2312"/>
                <w:spacing w:val="-8"/>
                <w:sz w:val="24"/>
                <w:szCs w:val="24"/>
                <w:lang w:val="en-US" w:eastAsia="zh-CN"/>
              </w:rPr>
              <w:t>72</w:t>
            </w:r>
          </w:p>
        </w:tc>
        <w:tc>
          <w:tcPr>
            <w:tcW w:w="2355" w:type="dxa"/>
            <w:shd w:val="clear" w:color="auto" w:fill="auto"/>
            <w:vAlign w:val="center"/>
          </w:tcPr>
          <w:p w14:paraId="1075B97A">
            <w:pPr>
              <w:keepNext w:val="0"/>
              <w:keepLines w:val="0"/>
              <w:pageBreakBefore w:val="0"/>
              <w:widowControl w:val="0"/>
              <w:kinsoku/>
              <w:wordWrap/>
              <w:overflowPunct/>
              <w:topLinePunct w:val="0"/>
              <w:autoSpaceDE/>
              <w:autoSpaceDN/>
              <w:bidi w:val="0"/>
              <w:spacing w:before="68" w:line="320" w:lineRule="exact"/>
              <w:ind w:left="240" w:leftChars="100" w:right="127" w:rightChars="53" w:firstLine="0" w:firstLineChars="0"/>
              <w:jc w:val="center"/>
              <w:rPr>
                <w:rFonts w:hint="eastAsia" w:ascii="宋体" w:hAnsi="宋体" w:eastAsia="宋体" w:cs="宋体"/>
                <w:spacing w:val="-8"/>
                <w:kern w:val="2"/>
                <w:sz w:val="21"/>
                <w:szCs w:val="21"/>
                <w:lang w:val="en-US" w:eastAsia="zh-CN" w:bidi="ar-SA"/>
              </w:rPr>
            </w:pPr>
            <w:r>
              <w:rPr>
                <w:rFonts w:hint="eastAsia" w:ascii="宋体" w:hAnsi="宋体" w:eastAsia="宋体" w:cs="宋体"/>
                <w:spacing w:val="-8"/>
                <w:sz w:val="21"/>
                <w:szCs w:val="21"/>
                <w:lang w:val="en-US" w:eastAsia="zh-CN"/>
              </w:rPr>
              <w:t>对土壤污染重点监管单位未制定、实施自行监测方案，或者未将监测数据报生态环境主管部门等行为的行政处罚</w:t>
            </w:r>
          </w:p>
        </w:tc>
        <w:tc>
          <w:tcPr>
            <w:tcW w:w="1094" w:type="dxa"/>
            <w:shd w:val="clear" w:color="auto" w:fill="auto"/>
            <w:vAlign w:val="center"/>
          </w:tcPr>
          <w:p w14:paraId="4D36F46D">
            <w:pPr>
              <w:keepNext w:val="0"/>
              <w:keepLines w:val="0"/>
              <w:pageBreakBefore w:val="0"/>
              <w:widowControl w:val="0"/>
              <w:kinsoku/>
              <w:wordWrap/>
              <w:overflowPunct/>
              <w:topLinePunct w:val="0"/>
              <w:autoSpaceDE/>
              <w:autoSpaceDN/>
              <w:bidi w:val="0"/>
              <w:spacing w:before="68" w:line="320" w:lineRule="exact"/>
              <w:ind w:left="0" w:leftChars="0" w:firstLine="0" w:firstLineChars="0"/>
              <w:jc w:val="center"/>
              <w:rPr>
                <w:rFonts w:hint="eastAsia" w:ascii="仿宋_GB2312" w:hAnsi="仿宋_GB2312" w:eastAsia="仿宋_GB2312" w:cs="仿宋_GB2312"/>
                <w:spacing w:val="-8"/>
                <w:kern w:val="2"/>
                <w:sz w:val="24"/>
                <w:szCs w:val="24"/>
                <w:lang w:val="en-US" w:eastAsia="zh-CN" w:bidi="ar-SA"/>
              </w:rPr>
            </w:pPr>
            <w:r>
              <w:rPr>
                <w:rFonts w:hint="eastAsia" w:ascii="仿宋_GB2312" w:hAnsi="仿宋_GB2312" w:eastAsia="仿宋_GB2312" w:cs="仿宋_GB2312"/>
                <w:spacing w:val="-8"/>
                <w:sz w:val="24"/>
                <w:szCs w:val="24"/>
                <w:lang w:val="en-US" w:eastAsia="zh-CN"/>
              </w:rPr>
              <w:t>行政处罚</w:t>
            </w:r>
          </w:p>
        </w:tc>
        <w:tc>
          <w:tcPr>
            <w:tcW w:w="8317" w:type="dxa"/>
            <w:shd w:val="clear" w:color="auto" w:fill="auto"/>
            <w:vAlign w:val="top"/>
          </w:tcPr>
          <w:p w14:paraId="1F81FE85">
            <w:pPr>
              <w:keepNext w:val="0"/>
              <w:keepLines w:val="0"/>
              <w:pageBreakBefore w:val="0"/>
              <w:widowControl w:val="0"/>
              <w:suppressLineNumbers w:val="0"/>
              <w:kinsoku/>
              <w:wordWrap/>
              <w:overflowPunct/>
              <w:topLinePunct w:val="0"/>
              <w:autoSpaceDE/>
              <w:autoSpaceDN/>
              <w:bidi w:val="0"/>
              <w:adjustRightInd/>
              <w:snapToGrid/>
              <w:spacing w:after="0" w:afterLines="-2147483648" w:line="320" w:lineRule="exact"/>
              <w:ind w:left="240" w:leftChars="100" w:firstLine="420" w:firstLineChars="200"/>
              <w:jc w:val="both"/>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中华人民共和国土壤污染防治法》第八十六条违反本法规定，有下列行为之一的，由地方人民政府生态环境主管部门或者其他负有土壤污染防治监督管理职责的部门责令改正，处以罚款；拒不改正的，责令停产整治：（一）土壤污染重点监管单位未制定、实施自行监测方案，或者未将监测数据报生态环境主管部门的；（二)土壤污染重点监管单位篡改、伪造监测数据的；（三）土壤污染重点监管单位未按年度报告有毒有害物质排放情况，或者未建立土壤污染隐患排查制度的；（四）拆除设施、设备或者建筑物、构筑物，企业事业单位未采取相应的土壤污染防治措施或者土壤污染重点监管单位未制定、实施土壤污染防治工作方案的；（五）尾矿库运营、管理单位未按照规定采取措施防止土壤污染的；（六）尾矿库运营、管理单位未按照规定进行土壤污染状况监测的；（七）建设和运行污水集中处理设施、固体废物处置设施，未依照法律法规和相关标准的要求采取措施防止土壤污染的。有前款规定行为之一的，处二万元以上二十万元以下的罚款；有前款第二项、第四项、第五项、第七项规定行为之一，造成严重后果的，处二十万元以上二百万元以下的罚款。</w:t>
            </w:r>
          </w:p>
          <w:p w14:paraId="07209BA9">
            <w:pPr>
              <w:keepNext w:val="0"/>
              <w:keepLines w:val="0"/>
              <w:pageBreakBefore w:val="0"/>
              <w:widowControl w:val="0"/>
              <w:suppressLineNumbers w:val="0"/>
              <w:kinsoku/>
              <w:wordWrap/>
              <w:overflowPunct/>
              <w:topLinePunct w:val="0"/>
              <w:autoSpaceDE/>
              <w:autoSpaceDN/>
              <w:bidi w:val="0"/>
              <w:adjustRightInd/>
              <w:snapToGrid/>
              <w:spacing w:after="0" w:afterLines="-2147483648" w:line="320" w:lineRule="exact"/>
              <w:ind w:left="240" w:leftChars="100" w:firstLine="420" w:firstLineChars="200"/>
              <w:jc w:val="both"/>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陕西省固体废物污染环境防治条例（2019年修正）》第六十条违反本条例第十四条规定，未按规定要求实施监测或者报告监测结果的，由县级生态环境行政主管部门责令限期改正，可以并处二万元以上十万元以下罚款。</w:t>
            </w:r>
          </w:p>
        </w:tc>
        <w:tc>
          <w:tcPr>
            <w:tcW w:w="1129" w:type="dxa"/>
            <w:shd w:val="clear" w:color="auto" w:fill="auto"/>
            <w:vAlign w:val="top"/>
          </w:tcPr>
          <w:p w14:paraId="0C2566C1">
            <w:pPr>
              <w:keepNext w:val="0"/>
              <w:keepLines w:val="0"/>
              <w:pageBreakBefore w:val="0"/>
              <w:widowControl w:val="0"/>
              <w:kinsoku/>
              <w:wordWrap/>
              <w:overflowPunct/>
              <w:topLinePunct w:val="0"/>
              <w:autoSpaceDE/>
              <w:autoSpaceDN/>
              <w:bidi w:val="0"/>
              <w:spacing w:before="69" w:line="320" w:lineRule="exact"/>
              <w:ind w:left="49" w:leftChars="0" w:right="26" w:rightChars="0" w:firstLine="404" w:firstLineChars="200"/>
              <w:rPr>
                <w:rFonts w:ascii="宋体" w:hAnsi="宋体" w:eastAsia="宋体" w:cs="宋体"/>
                <w:spacing w:val="-4"/>
                <w:sz w:val="21"/>
                <w:szCs w:val="21"/>
              </w:rPr>
            </w:pPr>
          </w:p>
        </w:tc>
        <w:tc>
          <w:tcPr>
            <w:tcW w:w="990" w:type="dxa"/>
            <w:gridSpan w:val="2"/>
            <w:shd w:val="clear" w:color="auto" w:fill="auto"/>
            <w:vAlign w:val="top"/>
          </w:tcPr>
          <w:p w14:paraId="7BDC3A76">
            <w:pPr>
              <w:keepNext w:val="0"/>
              <w:keepLines w:val="0"/>
              <w:pageBreakBefore w:val="0"/>
              <w:widowControl w:val="0"/>
              <w:kinsoku/>
              <w:wordWrap/>
              <w:overflowPunct/>
              <w:topLinePunct w:val="0"/>
              <w:autoSpaceDE/>
              <w:autoSpaceDN/>
              <w:bidi w:val="0"/>
              <w:spacing w:before="69" w:line="320" w:lineRule="exact"/>
              <w:ind w:left="204" w:leftChars="0" w:right="59" w:rightChars="0" w:firstLine="404" w:firstLineChars="200"/>
              <w:rPr>
                <w:rFonts w:ascii="宋体" w:hAnsi="宋体" w:eastAsia="宋体" w:cs="宋体"/>
                <w:spacing w:val="-4"/>
                <w:sz w:val="21"/>
                <w:szCs w:val="21"/>
              </w:rPr>
            </w:pPr>
          </w:p>
        </w:tc>
      </w:tr>
      <w:tr w14:paraId="0F7888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6" w:hRule="atLeast"/>
        </w:trPr>
        <w:tc>
          <w:tcPr>
            <w:tcW w:w="557" w:type="dxa"/>
            <w:shd w:val="clear" w:color="auto" w:fill="auto"/>
            <w:vAlign w:val="center"/>
          </w:tcPr>
          <w:p w14:paraId="6C42062D">
            <w:pPr>
              <w:keepNext w:val="0"/>
              <w:keepLines w:val="0"/>
              <w:pageBreakBefore w:val="0"/>
              <w:widowControl w:val="0"/>
              <w:kinsoku/>
              <w:wordWrap/>
              <w:overflowPunct/>
              <w:topLinePunct w:val="0"/>
              <w:autoSpaceDE/>
              <w:autoSpaceDN/>
              <w:bidi w:val="0"/>
              <w:spacing w:before="68" w:line="320" w:lineRule="exact"/>
              <w:ind w:left="0" w:leftChars="0" w:firstLine="0" w:firstLineChars="0"/>
              <w:jc w:val="center"/>
              <w:rPr>
                <w:rFonts w:hint="eastAsia" w:ascii="仿宋_GB2312" w:hAnsi="仿宋_GB2312" w:eastAsia="仿宋_GB2312" w:cs="仿宋_GB2312"/>
                <w:spacing w:val="-8"/>
                <w:sz w:val="24"/>
                <w:szCs w:val="24"/>
                <w:lang w:val="en-US" w:eastAsia="zh-CN"/>
              </w:rPr>
            </w:pPr>
            <w:r>
              <w:rPr>
                <w:rFonts w:hint="eastAsia" w:ascii="仿宋_GB2312" w:hAnsi="仿宋_GB2312" w:eastAsia="仿宋_GB2312" w:cs="仿宋_GB2312"/>
                <w:spacing w:val="-8"/>
                <w:sz w:val="24"/>
                <w:szCs w:val="24"/>
                <w:lang w:val="en-US" w:eastAsia="zh-CN"/>
              </w:rPr>
              <w:t>73</w:t>
            </w:r>
          </w:p>
        </w:tc>
        <w:tc>
          <w:tcPr>
            <w:tcW w:w="2355" w:type="dxa"/>
            <w:shd w:val="clear" w:color="auto" w:fill="auto"/>
            <w:vAlign w:val="center"/>
          </w:tcPr>
          <w:p w14:paraId="224D567F">
            <w:pPr>
              <w:keepNext w:val="0"/>
              <w:keepLines w:val="0"/>
              <w:pageBreakBefore w:val="0"/>
              <w:widowControl w:val="0"/>
              <w:kinsoku/>
              <w:wordWrap/>
              <w:overflowPunct/>
              <w:topLinePunct w:val="0"/>
              <w:autoSpaceDE/>
              <w:autoSpaceDN/>
              <w:bidi w:val="0"/>
              <w:spacing w:before="68" w:line="320" w:lineRule="exact"/>
              <w:ind w:left="240" w:leftChars="100" w:right="127" w:rightChars="53" w:firstLine="0" w:firstLineChars="0"/>
              <w:jc w:val="center"/>
              <w:rPr>
                <w:rFonts w:hint="eastAsia" w:ascii="宋体" w:hAnsi="宋体" w:eastAsia="宋体" w:cs="宋体"/>
                <w:spacing w:val="-8"/>
                <w:kern w:val="2"/>
                <w:sz w:val="21"/>
                <w:szCs w:val="21"/>
                <w:lang w:val="en-US" w:eastAsia="zh-CN" w:bidi="ar-SA"/>
              </w:rPr>
            </w:pPr>
            <w:r>
              <w:rPr>
                <w:rFonts w:hint="eastAsia" w:ascii="宋体" w:hAnsi="宋体" w:eastAsia="宋体" w:cs="宋体"/>
                <w:spacing w:val="-8"/>
                <w:sz w:val="21"/>
                <w:szCs w:val="21"/>
                <w:lang w:val="en-US" w:eastAsia="zh-CN"/>
              </w:rPr>
              <w:t>对向农用地排放重金属或者其他有毒有害物质含量超标的污水、污泥，以及可能造成土壤污染的清淤底泥、尾矿、矿渣等行为的行政处罚</w:t>
            </w:r>
          </w:p>
        </w:tc>
        <w:tc>
          <w:tcPr>
            <w:tcW w:w="1094" w:type="dxa"/>
            <w:shd w:val="clear" w:color="auto" w:fill="auto"/>
            <w:vAlign w:val="center"/>
          </w:tcPr>
          <w:p w14:paraId="77302DF7">
            <w:pPr>
              <w:keepNext w:val="0"/>
              <w:keepLines w:val="0"/>
              <w:pageBreakBefore w:val="0"/>
              <w:widowControl w:val="0"/>
              <w:kinsoku/>
              <w:wordWrap/>
              <w:overflowPunct/>
              <w:topLinePunct w:val="0"/>
              <w:autoSpaceDE/>
              <w:autoSpaceDN/>
              <w:bidi w:val="0"/>
              <w:spacing w:before="68" w:line="320" w:lineRule="exact"/>
              <w:ind w:left="0" w:leftChars="0" w:firstLine="0" w:firstLineChars="0"/>
              <w:jc w:val="center"/>
              <w:rPr>
                <w:rFonts w:hint="eastAsia" w:ascii="仿宋_GB2312" w:hAnsi="仿宋_GB2312" w:eastAsia="仿宋_GB2312" w:cs="仿宋_GB2312"/>
                <w:spacing w:val="-8"/>
                <w:kern w:val="2"/>
                <w:sz w:val="24"/>
                <w:szCs w:val="24"/>
                <w:lang w:val="en-US" w:eastAsia="zh-CN" w:bidi="ar-SA"/>
              </w:rPr>
            </w:pPr>
            <w:r>
              <w:rPr>
                <w:rFonts w:hint="eastAsia" w:ascii="仿宋_GB2312" w:hAnsi="仿宋_GB2312" w:eastAsia="仿宋_GB2312" w:cs="仿宋_GB2312"/>
                <w:spacing w:val="-8"/>
                <w:sz w:val="24"/>
                <w:szCs w:val="24"/>
                <w:lang w:val="en-US" w:eastAsia="zh-CN"/>
              </w:rPr>
              <w:t>行政处罚</w:t>
            </w:r>
          </w:p>
        </w:tc>
        <w:tc>
          <w:tcPr>
            <w:tcW w:w="8317" w:type="dxa"/>
            <w:shd w:val="clear" w:color="auto" w:fill="auto"/>
            <w:vAlign w:val="top"/>
          </w:tcPr>
          <w:p w14:paraId="77EEB740">
            <w:pPr>
              <w:keepNext w:val="0"/>
              <w:keepLines w:val="0"/>
              <w:pageBreakBefore w:val="0"/>
              <w:widowControl w:val="0"/>
              <w:suppressLineNumbers w:val="0"/>
              <w:kinsoku/>
              <w:wordWrap/>
              <w:overflowPunct/>
              <w:topLinePunct w:val="0"/>
              <w:autoSpaceDE/>
              <w:autoSpaceDN/>
              <w:bidi w:val="0"/>
              <w:adjustRightInd/>
              <w:snapToGrid/>
              <w:spacing w:after="0" w:afterLines="-2147483648" w:line="320" w:lineRule="exact"/>
              <w:ind w:left="240" w:leftChars="100" w:firstLine="420" w:firstLineChars="200"/>
              <w:jc w:val="both"/>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中华人民共和国土壤污染防治法》第八十七条违反本法规定，向农用地排放重金属或者其他有毒有害物质含量超标的污水、污泥，以及可能造成土壤污染的清淤底泥、尾矿、矿渣等的，由地方人民政府生态环境主管部门责令改正，处十万元以上五十万元以下的罚款；情节严重的，处五十万元以上二百万元以下的罚款，并可以将案件移送公安机关，对直接负责的主管人员和其他直接责任人员处五日以上十五日以下的拘留；有违法所得的，没收违法所得。</w:t>
            </w:r>
          </w:p>
        </w:tc>
        <w:tc>
          <w:tcPr>
            <w:tcW w:w="1129" w:type="dxa"/>
            <w:shd w:val="clear" w:color="auto" w:fill="auto"/>
            <w:vAlign w:val="top"/>
          </w:tcPr>
          <w:p w14:paraId="23CD3623">
            <w:pPr>
              <w:keepNext w:val="0"/>
              <w:keepLines w:val="0"/>
              <w:pageBreakBefore w:val="0"/>
              <w:widowControl w:val="0"/>
              <w:kinsoku/>
              <w:wordWrap/>
              <w:overflowPunct/>
              <w:topLinePunct w:val="0"/>
              <w:autoSpaceDE/>
              <w:autoSpaceDN/>
              <w:bidi w:val="0"/>
              <w:spacing w:before="69" w:line="320" w:lineRule="exact"/>
              <w:ind w:left="49" w:leftChars="0" w:right="26" w:rightChars="0" w:firstLine="404" w:firstLineChars="200"/>
              <w:rPr>
                <w:rFonts w:ascii="宋体" w:hAnsi="宋体" w:eastAsia="宋体" w:cs="宋体"/>
                <w:spacing w:val="-4"/>
                <w:sz w:val="21"/>
                <w:szCs w:val="21"/>
              </w:rPr>
            </w:pPr>
          </w:p>
        </w:tc>
        <w:tc>
          <w:tcPr>
            <w:tcW w:w="990" w:type="dxa"/>
            <w:gridSpan w:val="2"/>
            <w:shd w:val="clear" w:color="auto" w:fill="auto"/>
            <w:vAlign w:val="top"/>
          </w:tcPr>
          <w:p w14:paraId="0B375A0E">
            <w:pPr>
              <w:keepNext w:val="0"/>
              <w:keepLines w:val="0"/>
              <w:pageBreakBefore w:val="0"/>
              <w:widowControl w:val="0"/>
              <w:kinsoku/>
              <w:wordWrap/>
              <w:overflowPunct/>
              <w:topLinePunct w:val="0"/>
              <w:autoSpaceDE/>
              <w:autoSpaceDN/>
              <w:bidi w:val="0"/>
              <w:spacing w:before="69" w:line="320" w:lineRule="exact"/>
              <w:ind w:left="204" w:leftChars="0" w:right="59" w:rightChars="0" w:firstLine="404" w:firstLineChars="200"/>
              <w:rPr>
                <w:rFonts w:ascii="宋体" w:hAnsi="宋体" w:eastAsia="宋体" w:cs="宋体"/>
                <w:spacing w:val="-4"/>
                <w:sz w:val="21"/>
                <w:szCs w:val="21"/>
              </w:rPr>
            </w:pPr>
          </w:p>
        </w:tc>
      </w:tr>
      <w:tr w14:paraId="427CB4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97" w:hRule="atLeast"/>
        </w:trPr>
        <w:tc>
          <w:tcPr>
            <w:tcW w:w="557" w:type="dxa"/>
            <w:shd w:val="clear" w:color="auto" w:fill="auto"/>
            <w:vAlign w:val="center"/>
          </w:tcPr>
          <w:p w14:paraId="0C31F2A6">
            <w:pPr>
              <w:keepNext w:val="0"/>
              <w:keepLines w:val="0"/>
              <w:pageBreakBefore w:val="0"/>
              <w:widowControl w:val="0"/>
              <w:kinsoku/>
              <w:wordWrap/>
              <w:overflowPunct/>
              <w:topLinePunct w:val="0"/>
              <w:autoSpaceDE/>
              <w:autoSpaceDN/>
              <w:bidi w:val="0"/>
              <w:spacing w:before="68" w:line="320" w:lineRule="exact"/>
              <w:ind w:left="0" w:leftChars="0" w:firstLine="0" w:firstLineChars="0"/>
              <w:jc w:val="center"/>
              <w:rPr>
                <w:rFonts w:hint="eastAsia" w:ascii="仿宋_GB2312" w:hAnsi="仿宋_GB2312" w:eastAsia="仿宋_GB2312" w:cs="仿宋_GB2312"/>
                <w:spacing w:val="-8"/>
                <w:sz w:val="24"/>
                <w:szCs w:val="24"/>
                <w:lang w:val="en-US" w:eastAsia="zh-CN"/>
              </w:rPr>
            </w:pPr>
            <w:r>
              <w:rPr>
                <w:rFonts w:hint="eastAsia" w:ascii="仿宋_GB2312" w:hAnsi="仿宋_GB2312" w:eastAsia="仿宋_GB2312" w:cs="仿宋_GB2312"/>
                <w:spacing w:val="-8"/>
                <w:sz w:val="24"/>
                <w:szCs w:val="24"/>
                <w:lang w:val="en-US" w:eastAsia="zh-CN"/>
              </w:rPr>
              <w:t>74</w:t>
            </w:r>
          </w:p>
        </w:tc>
        <w:tc>
          <w:tcPr>
            <w:tcW w:w="2355" w:type="dxa"/>
            <w:shd w:val="clear" w:color="auto" w:fill="auto"/>
            <w:vAlign w:val="center"/>
          </w:tcPr>
          <w:p w14:paraId="311D864C">
            <w:pPr>
              <w:keepNext w:val="0"/>
              <w:keepLines w:val="0"/>
              <w:pageBreakBefore w:val="0"/>
              <w:widowControl w:val="0"/>
              <w:kinsoku/>
              <w:wordWrap/>
              <w:overflowPunct/>
              <w:topLinePunct w:val="0"/>
              <w:autoSpaceDE/>
              <w:autoSpaceDN/>
              <w:bidi w:val="0"/>
              <w:spacing w:before="68" w:line="320" w:lineRule="exact"/>
              <w:ind w:left="240" w:leftChars="100" w:right="127" w:rightChars="53" w:firstLine="0" w:firstLineChars="0"/>
              <w:jc w:val="center"/>
              <w:rPr>
                <w:rFonts w:hint="eastAsia" w:ascii="宋体" w:hAnsi="宋体" w:eastAsia="宋体" w:cs="宋体"/>
                <w:spacing w:val="-8"/>
                <w:kern w:val="2"/>
                <w:sz w:val="21"/>
                <w:szCs w:val="21"/>
                <w:lang w:val="en-US" w:eastAsia="zh-CN" w:bidi="ar-SA"/>
              </w:rPr>
            </w:pPr>
            <w:r>
              <w:rPr>
                <w:rFonts w:hint="eastAsia" w:ascii="宋体" w:hAnsi="宋体" w:eastAsia="宋体" w:cs="宋体"/>
                <w:spacing w:val="-8"/>
                <w:sz w:val="21"/>
                <w:szCs w:val="21"/>
                <w:lang w:val="en-US" w:eastAsia="zh-CN"/>
              </w:rPr>
              <w:t>对将重金属或者其他有毒有害物质含量超标的工业固体废物、生活垃圾或者污染土壤用于土地复垦行为的行政处罚</w:t>
            </w:r>
          </w:p>
        </w:tc>
        <w:tc>
          <w:tcPr>
            <w:tcW w:w="1094" w:type="dxa"/>
            <w:shd w:val="clear" w:color="auto" w:fill="auto"/>
            <w:vAlign w:val="center"/>
          </w:tcPr>
          <w:p w14:paraId="24ADC5B6">
            <w:pPr>
              <w:keepNext w:val="0"/>
              <w:keepLines w:val="0"/>
              <w:pageBreakBefore w:val="0"/>
              <w:widowControl w:val="0"/>
              <w:kinsoku/>
              <w:wordWrap/>
              <w:overflowPunct/>
              <w:topLinePunct w:val="0"/>
              <w:autoSpaceDE/>
              <w:autoSpaceDN/>
              <w:bidi w:val="0"/>
              <w:spacing w:before="68" w:line="320" w:lineRule="exact"/>
              <w:ind w:left="0" w:leftChars="0" w:firstLine="0" w:firstLineChars="0"/>
              <w:jc w:val="center"/>
              <w:rPr>
                <w:rFonts w:hint="eastAsia" w:ascii="仿宋_GB2312" w:hAnsi="仿宋_GB2312" w:eastAsia="仿宋_GB2312" w:cs="仿宋_GB2312"/>
                <w:spacing w:val="-8"/>
                <w:kern w:val="2"/>
                <w:sz w:val="24"/>
                <w:szCs w:val="24"/>
                <w:lang w:val="en-US" w:eastAsia="zh-CN" w:bidi="ar-SA"/>
              </w:rPr>
            </w:pPr>
            <w:r>
              <w:rPr>
                <w:rFonts w:hint="eastAsia" w:ascii="仿宋_GB2312" w:hAnsi="仿宋_GB2312" w:eastAsia="仿宋_GB2312" w:cs="仿宋_GB2312"/>
                <w:spacing w:val="-8"/>
                <w:sz w:val="24"/>
                <w:szCs w:val="24"/>
                <w:lang w:val="en-US" w:eastAsia="zh-CN"/>
              </w:rPr>
              <w:t>行政处罚</w:t>
            </w:r>
          </w:p>
        </w:tc>
        <w:tc>
          <w:tcPr>
            <w:tcW w:w="8317" w:type="dxa"/>
            <w:shd w:val="clear" w:color="auto" w:fill="auto"/>
            <w:vAlign w:val="top"/>
          </w:tcPr>
          <w:p w14:paraId="40E9DAEC">
            <w:pPr>
              <w:keepNext w:val="0"/>
              <w:keepLines w:val="0"/>
              <w:pageBreakBefore w:val="0"/>
              <w:widowControl w:val="0"/>
              <w:suppressLineNumbers w:val="0"/>
              <w:kinsoku/>
              <w:wordWrap/>
              <w:overflowPunct/>
              <w:topLinePunct w:val="0"/>
              <w:autoSpaceDE/>
              <w:autoSpaceDN/>
              <w:bidi w:val="0"/>
              <w:adjustRightInd/>
              <w:snapToGrid/>
              <w:spacing w:after="0" w:afterLines="-2147483648" w:line="320" w:lineRule="exact"/>
              <w:ind w:left="240" w:leftChars="100" w:firstLine="420" w:firstLineChars="200"/>
              <w:jc w:val="both"/>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中华人民共和国土壤污染防治法》第八十九条违反本法规定，将重金属或者其他有毒有害物质含量超标的工业固体废物、生活垃圾或者污染土壤用于土地复垦的，由地方人民政府生态环境主管部门责令改正，处十万元以上一百万元以下的罚款；有违法所得的，没收违法所得。</w:t>
            </w:r>
          </w:p>
        </w:tc>
        <w:tc>
          <w:tcPr>
            <w:tcW w:w="1129" w:type="dxa"/>
            <w:shd w:val="clear" w:color="auto" w:fill="auto"/>
            <w:vAlign w:val="top"/>
          </w:tcPr>
          <w:p w14:paraId="3B3E2AB1">
            <w:pPr>
              <w:keepNext w:val="0"/>
              <w:keepLines w:val="0"/>
              <w:pageBreakBefore w:val="0"/>
              <w:widowControl w:val="0"/>
              <w:kinsoku/>
              <w:wordWrap/>
              <w:overflowPunct/>
              <w:topLinePunct w:val="0"/>
              <w:autoSpaceDE/>
              <w:autoSpaceDN/>
              <w:bidi w:val="0"/>
              <w:spacing w:before="69" w:line="320" w:lineRule="exact"/>
              <w:ind w:left="49" w:leftChars="0" w:right="26" w:rightChars="0" w:firstLine="404" w:firstLineChars="200"/>
              <w:rPr>
                <w:rFonts w:ascii="宋体" w:hAnsi="宋体" w:eastAsia="宋体" w:cs="宋体"/>
                <w:spacing w:val="-4"/>
                <w:sz w:val="21"/>
                <w:szCs w:val="21"/>
              </w:rPr>
            </w:pPr>
          </w:p>
        </w:tc>
        <w:tc>
          <w:tcPr>
            <w:tcW w:w="990" w:type="dxa"/>
            <w:gridSpan w:val="2"/>
            <w:shd w:val="clear" w:color="auto" w:fill="auto"/>
            <w:vAlign w:val="top"/>
          </w:tcPr>
          <w:p w14:paraId="03AEDB37">
            <w:pPr>
              <w:keepNext w:val="0"/>
              <w:keepLines w:val="0"/>
              <w:pageBreakBefore w:val="0"/>
              <w:widowControl w:val="0"/>
              <w:kinsoku/>
              <w:wordWrap/>
              <w:overflowPunct/>
              <w:topLinePunct w:val="0"/>
              <w:autoSpaceDE/>
              <w:autoSpaceDN/>
              <w:bidi w:val="0"/>
              <w:spacing w:before="69" w:line="320" w:lineRule="exact"/>
              <w:ind w:left="204" w:leftChars="0" w:right="59" w:rightChars="0" w:firstLine="404" w:firstLineChars="200"/>
              <w:rPr>
                <w:rFonts w:ascii="宋体" w:hAnsi="宋体" w:eastAsia="宋体" w:cs="宋体"/>
                <w:spacing w:val="-4"/>
                <w:sz w:val="21"/>
                <w:szCs w:val="21"/>
              </w:rPr>
            </w:pPr>
          </w:p>
        </w:tc>
      </w:tr>
      <w:tr w14:paraId="2D9B9D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6" w:hRule="atLeast"/>
        </w:trPr>
        <w:tc>
          <w:tcPr>
            <w:tcW w:w="557" w:type="dxa"/>
            <w:shd w:val="clear" w:color="auto" w:fill="auto"/>
            <w:vAlign w:val="center"/>
          </w:tcPr>
          <w:p w14:paraId="556794A1">
            <w:pPr>
              <w:keepNext w:val="0"/>
              <w:keepLines w:val="0"/>
              <w:pageBreakBefore w:val="0"/>
              <w:widowControl w:val="0"/>
              <w:kinsoku/>
              <w:wordWrap/>
              <w:overflowPunct/>
              <w:topLinePunct w:val="0"/>
              <w:autoSpaceDE/>
              <w:autoSpaceDN/>
              <w:bidi w:val="0"/>
              <w:spacing w:before="68" w:line="320" w:lineRule="exact"/>
              <w:ind w:left="0" w:leftChars="0" w:firstLine="0" w:firstLineChars="0"/>
              <w:jc w:val="center"/>
              <w:rPr>
                <w:rFonts w:hint="eastAsia" w:ascii="仿宋_GB2312" w:hAnsi="仿宋_GB2312" w:eastAsia="仿宋_GB2312" w:cs="仿宋_GB2312"/>
                <w:spacing w:val="-8"/>
                <w:sz w:val="24"/>
                <w:szCs w:val="24"/>
                <w:lang w:val="en-US" w:eastAsia="zh-CN"/>
              </w:rPr>
            </w:pPr>
            <w:r>
              <w:rPr>
                <w:rFonts w:hint="eastAsia" w:ascii="仿宋_GB2312" w:hAnsi="仿宋_GB2312" w:eastAsia="仿宋_GB2312" w:cs="仿宋_GB2312"/>
                <w:spacing w:val="-8"/>
                <w:sz w:val="24"/>
                <w:szCs w:val="24"/>
                <w:lang w:val="en-US" w:eastAsia="zh-CN"/>
              </w:rPr>
              <w:t>75</w:t>
            </w:r>
          </w:p>
        </w:tc>
        <w:tc>
          <w:tcPr>
            <w:tcW w:w="2355" w:type="dxa"/>
            <w:shd w:val="clear" w:color="auto" w:fill="auto"/>
            <w:vAlign w:val="center"/>
          </w:tcPr>
          <w:p w14:paraId="43FE6E2C">
            <w:pPr>
              <w:keepNext w:val="0"/>
              <w:keepLines w:val="0"/>
              <w:pageBreakBefore w:val="0"/>
              <w:widowControl w:val="0"/>
              <w:kinsoku/>
              <w:wordWrap/>
              <w:overflowPunct/>
              <w:topLinePunct w:val="0"/>
              <w:autoSpaceDE/>
              <w:autoSpaceDN/>
              <w:bidi w:val="0"/>
              <w:spacing w:before="68" w:line="320" w:lineRule="exact"/>
              <w:ind w:left="240" w:leftChars="100" w:right="127" w:rightChars="53" w:firstLine="0" w:firstLineChars="0"/>
              <w:jc w:val="center"/>
              <w:rPr>
                <w:rFonts w:hint="eastAsia" w:ascii="宋体" w:hAnsi="宋体" w:eastAsia="宋体" w:cs="宋体"/>
                <w:spacing w:val="-8"/>
                <w:kern w:val="2"/>
                <w:sz w:val="21"/>
                <w:szCs w:val="21"/>
                <w:lang w:val="en-US" w:eastAsia="zh-CN" w:bidi="ar-SA"/>
              </w:rPr>
            </w:pPr>
            <w:r>
              <w:rPr>
                <w:rFonts w:hint="eastAsia" w:ascii="宋体" w:hAnsi="宋体" w:eastAsia="宋体" w:cs="宋体"/>
                <w:spacing w:val="-8"/>
                <w:sz w:val="21"/>
                <w:szCs w:val="21"/>
                <w:lang w:val="en-US" w:eastAsia="zh-CN"/>
              </w:rPr>
              <w:t>对出具虚假调查报告、风险评估报告、风险管控效果评估报告、修复效果评估报告行为的行政处罚</w:t>
            </w:r>
          </w:p>
        </w:tc>
        <w:tc>
          <w:tcPr>
            <w:tcW w:w="1094" w:type="dxa"/>
            <w:shd w:val="clear" w:color="auto" w:fill="auto"/>
            <w:vAlign w:val="center"/>
          </w:tcPr>
          <w:p w14:paraId="41D35AD1">
            <w:pPr>
              <w:keepNext w:val="0"/>
              <w:keepLines w:val="0"/>
              <w:pageBreakBefore w:val="0"/>
              <w:widowControl w:val="0"/>
              <w:kinsoku/>
              <w:wordWrap/>
              <w:overflowPunct/>
              <w:topLinePunct w:val="0"/>
              <w:autoSpaceDE/>
              <w:autoSpaceDN/>
              <w:bidi w:val="0"/>
              <w:spacing w:before="68" w:line="320" w:lineRule="exact"/>
              <w:ind w:left="0" w:leftChars="0" w:firstLine="0" w:firstLineChars="0"/>
              <w:jc w:val="center"/>
              <w:rPr>
                <w:rFonts w:hint="eastAsia" w:ascii="仿宋_GB2312" w:hAnsi="仿宋_GB2312" w:eastAsia="仿宋_GB2312" w:cs="仿宋_GB2312"/>
                <w:spacing w:val="-8"/>
                <w:kern w:val="2"/>
                <w:sz w:val="24"/>
                <w:szCs w:val="24"/>
                <w:lang w:val="en-US" w:eastAsia="zh-CN" w:bidi="ar-SA"/>
              </w:rPr>
            </w:pPr>
            <w:r>
              <w:rPr>
                <w:rFonts w:hint="eastAsia" w:ascii="仿宋_GB2312" w:hAnsi="仿宋_GB2312" w:eastAsia="仿宋_GB2312" w:cs="仿宋_GB2312"/>
                <w:spacing w:val="-8"/>
                <w:sz w:val="24"/>
                <w:szCs w:val="24"/>
                <w:lang w:val="en-US" w:eastAsia="zh-CN"/>
              </w:rPr>
              <w:t>行政处罚</w:t>
            </w:r>
          </w:p>
        </w:tc>
        <w:tc>
          <w:tcPr>
            <w:tcW w:w="8317" w:type="dxa"/>
            <w:shd w:val="clear" w:color="auto" w:fill="auto"/>
            <w:vAlign w:val="top"/>
          </w:tcPr>
          <w:p w14:paraId="7F8FDA72">
            <w:pPr>
              <w:keepNext w:val="0"/>
              <w:keepLines w:val="0"/>
              <w:pageBreakBefore w:val="0"/>
              <w:widowControl w:val="0"/>
              <w:suppressLineNumbers w:val="0"/>
              <w:kinsoku/>
              <w:wordWrap/>
              <w:overflowPunct/>
              <w:topLinePunct w:val="0"/>
              <w:autoSpaceDE/>
              <w:autoSpaceDN/>
              <w:bidi w:val="0"/>
              <w:adjustRightInd/>
              <w:snapToGrid/>
              <w:spacing w:after="0" w:afterLines="-2147483648" w:line="320" w:lineRule="exact"/>
              <w:ind w:left="240" w:leftChars="100" w:firstLine="420" w:firstLineChars="200"/>
              <w:jc w:val="both"/>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中华人民共和国土壤污染防治法》第九十条违反本法规定，受委托从事土壤污染状况调查和土壤污染风险评估、风险管控效果评估、修复效果评估活动的单位，出具虚假调查报告、风险评估报告、风险管控效果评估报告、修复效果评估报告的，由地方人民政府生态环境主管部门处十万元以上五十万元以下的罚款；情节严重的，禁止从事上述业务，并处五十万元以上一百万元以下的罚款；有违法所得的，没收违法所得。前款规定的单位出具虚假报告的，由地方人民政府生态环境主管部门对直接负责的主管人员和其他直接责任人员处一万元以上五万元以下的罚款；情节严重的，十年内禁止从事前款规定的业务；构成犯罪的，终身禁止从事前款规定的业务。本条第一款规定的单位和委托人恶意串通，出具虚假报告，造成他人人身或者财产损害的，还应当与委托人承担连带责任。</w:t>
            </w:r>
          </w:p>
        </w:tc>
        <w:tc>
          <w:tcPr>
            <w:tcW w:w="1129" w:type="dxa"/>
            <w:shd w:val="clear" w:color="auto" w:fill="auto"/>
            <w:vAlign w:val="top"/>
          </w:tcPr>
          <w:p w14:paraId="0F85C48A">
            <w:pPr>
              <w:keepNext w:val="0"/>
              <w:keepLines w:val="0"/>
              <w:pageBreakBefore w:val="0"/>
              <w:widowControl w:val="0"/>
              <w:kinsoku/>
              <w:wordWrap/>
              <w:overflowPunct/>
              <w:topLinePunct w:val="0"/>
              <w:autoSpaceDE/>
              <w:autoSpaceDN/>
              <w:bidi w:val="0"/>
              <w:spacing w:before="69" w:line="320" w:lineRule="exact"/>
              <w:ind w:left="49" w:leftChars="0" w:right="26" w:rightChars="0" w:firstLine="404" w:firstLineChars="200"/>
              <w:rPr>
                <w:rFonts w:ascii="宋体" w:hAnsi="宋体" w:eastAsia="宋体" w:cs="宋体"/>
                <w:spacing w:val="-4"/>
                <w:sz w:val="21"/>
                <w:szCs w:val="21"/>
              </w:rPr>
            </w:pPr>
          </w:p>
        </w:tc>
        <w:tc>
          <w:tcPr>
            <w:tcW w:w="990" w:type="dxa"/>
            <w:gridSpan w:val="2"/>
            <w:shd w:val="clear" w:color="auto" w:fill="auto"/>
            <w:vAlign w:val="top"/>
          </w:tcPr>
          <w:p w14:paraId="5AE85B68">
            <w:pPr>
              <w:keepNext w:val="0"/>
              <w:keepLines w:val="0"/>
              <w:pageBreakBefore w:val="0"/>
              <w:widowControl w:val="0"/>
              <w:kinsoku/>
              <w:wordWrap/>
              <w:overflowPunct/>
              <w:topLinePunct w:val="0"/>
              <w:autoSpaceDE/>
              <w:autoSpaceDN/>
              <w:bidi w:val="0"/>
              <w:spacing w:before="69" w:line="320" w:lineRule="exact"/>
              <w:ind w:left="204" w:leftChars="0" w:right="59" w:rightChars="0" w:firstLine="404" w:firstLineChars="200"/>
              <w:rPr>
                <w:rFonts w:ascii="宋体" w:hAnsi="宋体" w:eastAsia="宋体" w:cs="宋体"/>
                <w:spacing w:val="-4"/>
                <w:sz w:val="21"/>
                <w:szCs w:val="21"/>
              </w:rPr>
            </w:pPr>
          </w:p>
        </w:tc>
      </w:tr>
      <w:tr w14:paraId="3E0AA8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34" w:hRule="atLeast"/>
        </w:trPr>
        <w:tc>
          <w:tcPr>
            <w:tcW w:w="557" w:type="dxa"/>
            <w:shd w:val="clear" w:color="auto" w:fill="auto"/>
            <w:vAlign w:val="center"/>
          </w:tcPr>
          <w:p w14:paraId="495309B8">
            <w:pPr>
              <w:keepNext w:val="0"/>
              <w:keepLines w:val="0"/>
              <w:pageBreakBefore w:val="0"/>
              <w:widowControl w:val="0"/>
              <w:kinsoku/>
              <w:wordWrap/>
              <w:overflowPunct/>
              <w:topLinePunct w:val="0"/>
              <w:autoSpaceDE/>
              <w:autoSpaceDN/>
              <w:bidi w:val="0"/>
              <w:spacing w:before="68" w:line="320" w:lineRule="exact"/>
              <w:ind w:left="0" w:leftChars="0" w:firstLine="0" w:firstLineChars="0"/>
              <w:jc w:val="center"/>
              <w:rPr>
                <w:rFonts w:hint="eastAsia" w:ascii="仿宋_GB2312" w:hAnsi="仿宋_GB2312" w:eastAsia="仿宋_GB2312" w:cs="仿宋_GB2312"/>
                <w:spacing w:val="-8"/>
                <w:sz w:val="24"/>
                <w:szCs w:val="24"/>
                <w:lang w:val="en-US" w:eastAsia="zh-CN"/>
              </w:rPr>
            </w:pPr>
            <w:r>
              <w:rPr>
                <w:rFonts w:hint="eastAsia" w:ascii="仿宋_GB2312" w:hAnsi="仿宋_GB2312" w:eastAsia="仿宋_GB2312" w:cs="仿宋_GB2312"/>
                <w:spacing w:val="-8"/>
                <w:sz w:val="24"/>
                <w:szCs w:val="24"/>
                <w:lang w:val="en-US" w:eastAsia="zh-CN"/>
              </w:rPr>
              <w:t>76</w:t>
            </w:r>
          </w:p>
        </w:tc>
        <w:tc>
          <w:tcPr>
            <w:tcW w:w="2355" w:type="dxa"/>
            <w:shd w:val="clear" w:color="auto" w:fill="auto"/>
            <w:vAlign w:val="center"/>
          </w:tcPr>
          <w:p w14:paraId="7C3316F9">
            <w:pPr>
              <w:keepNext w:val="0"/>
              <w:keepLines w:val="0"/>
              <w:pageBreakBefore w:val="0"/>
              <w:widowControl w:val="0"/>
              <w:kinsoku/>
              <w:wordWrap/>
              <w:overflowPunct/>
              <w:topLinePunct w:val="0"/>
              <w:autoSpaceDE/>
              <w:autoSpaceDN/>
              <w:bidi w:val="0"/>
              <w:spacing w:before="68" w:line="320" w:lineRule="exact"/>
              <w:ind w:left="240" w:leftChars="100" w:right="127" w:rightChars="53" w:firstLine="0" w:firstLineChars="0"/>
              <w:jc w:val="center"/>
              <w:rPr>
                <w:rFonts w:hint="eastAsia" w:ascii="宋体" w:hAnsi="宋体" w:eastAsia="宋体" w:cs="宋体"/>
                <w:spacing w:val="-8"/>
                <w:kern w:val="2"/>
                <w:sz w:val="21"/>
                <w:szCs w:val="21"/>
                <w:lang w:val="en-US" w:eastAsia="zh-CN" w:bidi="ar-SA"/>
              </w:rPr>
            </w:pPr>
            <w:r>
              <w:rPr>
                <w:rFonts w:hint="eastAsia" w:ascii="宋体" w:hAnsi="宋体" w:eastAsia="宋体" w:cs="宋体"/>
                <w:spacing w:val="-8"/>
                <w:sz w:val="21"/>
                <w:szCs w:val="21"/>
                <w:lang w:val="en-US" w:eastAsia="zh-CN"/>
              </w:rPr>
              <w:t>对未单独收集、存放开发建设过程中剥离的表土等行为的行政处罚</w:t>
            </w:r>
          </w:p>
        </w:tc>
        <w:tc>
          <w:tcPr>
            <w:tcW w:w="1094" w:type="dxa"/>
            <w:shd w:val="clear" w:color="auto" w:fill="auto"/>
            <w:vAlign w:val="center"/>
          </w:tcPr>
          <w:p w14:paraId="545EEA8E">
            <w:pPr>
              <w:keepNext w:val="0"/>
              <w:keepLines w:val="0"/>
              <w:pageBreakBefore w:val="0"/>
              <w:widowControl w:val="0"/>
              <w:kinsoku/>
              <w:wordWrap/>
              <w:overflowPunct/>
              <w:topLinePunct w:val="0"/>
              <w:autoSpaceDE/>
              <w:autoSpaceDN/>
              <w:bidi w:val="0"/>
              <w:spacing w:before="68" w:line="320" w:lineRule="exact"/>
              <w:ind w:left="0" w:leftChars="0" w:firstLine="0" w:firstLineChars="0"/>
              <w:jc w:val="center"/>
              <w:rPr>
                <w:rFonts w:hint="eastAsia" w:ascii="仿宋_GB2312" w:hAnsi="仿宋_GB2312" w:eastAsia="仿宋_GB2312" w:cs="仿宋_GB2312"/>
                <w:spacing w:val="-8"/>
                <w:kern w:val="2"/>
                <w:sz w:val="24"/>
                <w:szCs w:val="24"/>
                <w:lang w:val="en-US" w:eastAsia="zh-CN" w:bidi="ar-SA"/>
              </w:rPr>
            </w:pPr>
            <w:r>
              <w:rPr>
                <w:rFonts w:hint="eastAsia" w:ascii="仿宋_GB2312" w:hAnsi="仿宋_GB2312" w:eastAsia="仿宋_GB2312" w:cs="仿宋_GB2312"/>
                <w:spacing w:val="-8"/>
                <w:sz w:val="24"/>
                <w:szCs w:val="24"/>
                <w:lang w:val="en-US" w:eastAsia="zh-CN"/>
              </w:rPr>
              <w:t>行政处罚</w:t>
            </w:r>
          </w:p>
        </w:tc>
        <w:tc>
          <w:tcPr>
            <w:tcW w:w="8317" w:type="dxa"/>
            <w:shd w:val="clear" w:color="auto" w:fill="auto"/>
            <w:vAlign w:val="top"/>
          </w:tcPr>
          <w:p w14:paraId="790E56C8">
            <w:pPr>
              <w:keepNext w:val="0"/>
              <w:keepLines w:val="0"/>
              <w:pageBreakBefore w:val="0"/>
              <w:widowControl w:val="0"/>
              <w:suppressLineNumbers w:val="0"/>
              <w:kinsoku/>
              <w:wordWrap/>
              <w:overflowPunct/>
              <w:topLinePunct w:val="0"/>
              <w:autoSpaceDE/>
              <w:autoSpaceDN/>
              <w:bidi w:val="0"/>
              <w:adjustRightInd/>
              <w:snapToGrid/>
              <w:spacing w:after="0" w:afterLines="-2147483648" w:line="320" w:lineRule="exact"/>
              <w:ind w:left="240" w:leftChars="100" w:firstLine="420" w:firstLineChars="200"/>
              <w:jc w:val="both"/>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中华人民共和国土壤污染防治法》第九十一条违反本法规定，有下列行为之一的，由地方人民政府生态环境主管部门责令改正，处十万元以上五十万元以下的罚款；情节严重的，处五十万元以上一百万元以下的罚款；有违法所得的，没收违法所得；对直接负责的主管人员和其他直接责任人员处五千元以上二万元以下的罚款：（一）未单独收集、存放开发建设过程中剥离的表土的；（二）实施风险管控、修复活动对土壤、周边环境造成新的污染的；（三）转运污染土壤，未将运输时间、方式、线路和污染土壤数量、去向、最终处置措施等提前报所在地和接收地生态环境主管部门的；（四）未达到土壤污染风险评估报告确定的风险管控、修复目标的建设用地地块，开工建设与风险管控、修复无关的项目的。</w:t>
            </w:r>
          </w:p>
        </w:tc>
        <w:tc>
          <w:tcPr>
            <w:tcW w:w="1129" w:type="dxa"/>
            <w:shd w:val="clear" w:color="auto" w:fill="auto"/>
            <w:vAlign w:val="top"/>
          </w:tcPr>
          <w:p w14:paraId="2EE5AF44">
            <w:pPr>
              <w:keepNext w:val="0"/>
              <w:keepLines w:val="0"/>
              <w:pageBreakBefore w:val="0"/>
              <w:widowControl w:val="0"/>
              <w:kinsoku/>
              <w:wordWrap/>
              <w:overflowPunct/>
              <w:topLinePunct w:val="0"/>
              <w:autoSpaceDE/>
              <w:autoSpaceDN/>
              <w:bidi w:val="0"/>
              <w:spacing w:before="69" w:line="320" w:lineRule="exact"/>
              <w:ind w:left="49" w:leftChars="0" w:right="26" w:rightChars="0" w:firstLine="404" w:firstLineChars="200"/>
              <w:rPr>
                <w:rFonts w:ascii="宋体" w:hAnsi="宋体" w:eastAsia="宋体" w:cs="宋体"/>
                <w:spacing w:val="-4"/>
                <w:sz w:val="21"/>
                <w:szCs w:val="21"/>
              </w:rPr>
            </w:pPr>
          </w:p>
        </w:tc>
        <w:tc>
          <w:tcPr>
            <w:tcW w:w="990" w:type="dxa"/>
            <w:gridSpan w:val="2"/>
            <w:shd w:val="clear" w:color="auto" w:fill="auto"/>
            <w:vAlign w:val="top"/>
          </w:tcPr>
          <w:p w14:paraId="603607DD">
            <w:pPr>
              <w:keepNext w:val="0"/>
              <w:keepLines w:val="0"/>
              <w:pageBreakBefore w:val="0"/>
              <w:widowControl w:val="0"/>
              <w:kinsoku/>
              <w:wordWrap/>
              <w:overflowPunct/>
              <w:topLinePunct w:val="0"/>
              <w:autoSpaceDE/>
              <w:autoSpaceDN/>
              <w:bidi w:val="0"/>
              <w:spacing w:before="69" w:line="320" w:lineRule="exact"/>
              <w:ind w:left="204" w:leftChars="0" w:right="59" w:rightChars="0" w:firstLine="404" w:firstLineChars="200"/>
              <w:rPr>
                <w:rFonts w:ascii="宋体" w:hAnsi="宋体" w:eastAsia="宋体" w:cs="宋体"/>
                <w:spacing w:val="-4"/>
                <w:sz w:val="21"/>
                <w:szCs w:val="21"/>
              </w:rPr>
            </w:pPr>
          </w:p>
        </w:tc>
      </w:tr>
      <w:tr w14:paraId="4A2DAC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6" w:hRule="atLeast"/>
        </w:trPr>
        <w:tc>
          <w:tcPr>
            <w:tcW w:w="557" w:type="dxa"/>
            <w:shd w:val="clear" w:color="auto" w:fill="auto"/>
            <w:vAlign w:val="center"/>
          </w:tcPr>
          <w:p w14:paraId="6834E224">
            <w:pPr>
              <w:keepNext w:val="0"/>
              <w:keepLines w:val="0"/>
              <w:pageBreakBefore w:val="0"/>
              <w:widowControl w:val="0"/>
              <w:kinsoku/>
              <w:wordWrap/>
              <w:overflowPunct/>
              <w:topLinePunct w:val="0"/>
              <w:autoSpaceDE/>
              <w:autoSpaceDN/>
              <w:bidi w:val="0"/>
              <w:spacing w:before="68" w:line="320" w:lineRule="exact"/>
              <w:ind w:left="0" w:leftChars="0" w:firstLine="0" w:firstLineChars="0"/>
              <w:jc w:val="center"/>
              <w:rPr>
                <w:rFonts w:hint="eastAsia" w:ascii="仿宋_GB2312" w:hAnsi="仿宋_GB2312" w:eastAsia="仿宋_GB2312" w:cs="仿宋_GB2312"/>
                <w:spacing w:val="-8"/>
                <w:sz w:val="24"/>
                <w:szCs w:val="24"/>
                <w:lang w:val="en-US" w:eastAsia="zh-CN"/>
              </w:rPr>
            </w:pPr>
            <w:r>
              <w:rPr>
                <w:rFonts w:hint="eastAsia" w:ascii="仿宋_GB2312" w:hAnsi="仿宋_GB2312" w:eastAsia="仿宋_GB2312" w:cs="仿宋_GB2312"/>
                <w:spacing w:val="-8"/>
                <w:sz w:val="24"/>
                <w:szCs w:val="24"/>
                <w:lang w:val="en-US" w:eastAsia="zh-CN"/>
              </w:rPr>
              <w:t>77</w:t>
            </w:r>
          </w:p>
        </w:tc>
        <w:tc>
          <w:tcPr>
            <w:tcW w:w="2355" w:type="dxa"/>
            <w:shd w:val="clear" w:color="auto" w:fill="auto"/>
            <w:vAlign w:val="center"/>
          </w:tcPr>
          <w:p w14:paraId="1CBD902A">
            <w:pPr>
              <w:keepNext w:val="0"/>
              <w:keepLines w:val="0"/>
              <w:pageBreakBefore w:val="0"/>
              <w:widowControl w:val="0"/>
              <w:kinsoku/>
              <w:wordWrap/>
              <w:overflowPunct/>
              <w:topLinePunct w:val="0"/>
              <w:autoSpaceDE/>
              <w:autoSpaceDN/>
              <w:bidi w:val="0"/>
              <w:spacing w:before="68" w:line="320" w:lineRule="exact"/>
              <w:ind w:left="240" w:leftChars="100" w:right="127" w:rightChars="53" w:firstLine="0" w:firstLineChars="0"/>
              <w:jc w:val="center"/>
              <w:rPr>
                <w:rFonts w:hint="eastAsia" w:ascii="宋体" w:hAnsi="宋体" w:eastAsia="宋体" w:cs="宋体"/>
                <w:spacing w:val="-8"/>
                <w:kern w:val="2"/>
                <w:sz w:val="21"/>
                <w:szCs w:val="21"/>
                <w:lang w:val="en-US" w:eastAsia="zh-CN" w:bidi="ar-SA"/>
              </w:rPr>
            </w:pPr>
            <w:r>
              <w:rPr>
                <w:rFonts w:hint="eastAsia" w:ascii="宋体" w:hAnsi="宋体" w:eastAsia="宋体" w:cs="宋体"/>
                <w:spacing w:val="-8"/>
                <w:sz w:val="21"/>
                <w:szCs w:val="21"/>
                <w:lang w:val="en-US" w:eastAsia="zh-CN"/>
              </w:rPr>
              <w:t>对未按照规定实施后期管理行为的行政处罚</w:t>
            </w:r>
          </w:p>
        </w:tc>
        <w:tc>
          <w:tcPr>
            <w:tcW w:w="1094" w:type="dxa"/>
            <w:shd w:val="clear" w:color="auto" w:fill="auto"/>
            <w:vAlign w:val="center"/>
          </w:tcPr>
          <w:p w14:paraId="1BD53944">
            <w:pPr>
              <w:keepNext w:val="0"/>
              <w:keepLines w:val="0"/>
              <w:pageBreakBefore w:val="0"/>
              <w:widowControl w:val="0"/>
              <w:kinsoku/>
              <w:wordWrap/>
              <w:overflowPunct/>
              <w:topLinePunct w:val="0"/>
              <w:autoSpaceDE/>
              <w:autoSpaceDN/>
              <w:bidi w:val="0"/>
              <w:spacing w:before="68" w:line="320" w:lineRule="exact"/>
              <w:ind w:left="0" w:leftChars="0" w:firstLine="0" w:firstLineChars="0"/>
              <w:jc w:val="center"/>
              <w:rPr>
                <w:rFonts w:hint="eastAsia" w:ascii="仿宋_GB2312" w:hAnsi="仿宋_GB2312" w:eastAsia="仿宋_GB2312" w:cs="仿宋_GB2312"/>
                <w:spacing w:val="-8"/>
                <w:kern w:val="2"/>
                <w:sz w:val="24"/>
                <w:szCs w:val="24"/>
                <w:lang w:val="en-US" w:eastAsia="zh-CN" w:bidi="ar-SA"/>
              </w:rPr>
            </w:pPr>
            <w:r>
              <w:rPr>
                <w:rFonts w:hint="eastAsia" w:ascii="仿宋_GB2312" w:hAnsi="仿宋_GB2312" w:eastAsia="仿宋_GB2312" w:cs="仿宋_GB2312"/>
                <w:spacing w:val="-8"/>
                <w:sz w:val="24"/>
                <w:szCs w:val="24"/>
                <w:lang w:val="en-US" w:eastAsia="zh-CN"/>
              </w:rPr>
              <w:t>行政处罚</w:t>
            </w:r>
          </w:p>
        </w:tc>
        <w:tc>
          <w:tcPr>
            <w:tcW w:w="8317" w:type="dxa"/>
            <w:shd w:val="clear" w:color="auto" w:fill="auto"/>
            <w:vAlign w:val="top"/>
          </w:tcPr>
          <w:p w14:paraId="656C16BE">
            <w:pPr>
              <w:keepNext w:val="0"/>
              <w:keepLines w:val="0"/>
              <w:pageBreakBefore w:val="0"/>
              <w:widowControl w:val="0"/>
              <w:suppressLineNumbers w:val="0"/>
              <w:kinsoku/>
              <w:wordWrap/>
              <w:overflowPunct/>
              <w:topLinePunct w:val="0"/>
              <w:autoSpaceDE/>
              <w:autoSpaceDN/>
              <w:bidi w:val="0"/>
              <w:adjustRightInd/>
              <w:snapToGrid/>
              <w:spacing w:after="0" w:afterLines="-2147483648" w:line="320" w:lineRule="exact"/>
              <w:ind w:left="240" w:leftChars="100" w:firstLine="420" w:firstLineChars="200"/>
              <w:jc w:val="both"/>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中华人民共和国土壤污染防治法》第九十二条违反本法规定，土壤污染责任人或者土地使用权人未按照规定实施后期管理的，由地方人民政府生态环境主管部门或者其他负有土壤污染防治监督管理职责的部门责令改正，处一万元以上五万元以下的罚款；情节严重的，处五万元以上五十万元以下的罚款。（《农业综合行政执法事项指导目录（2020年版）》第218项明确农用地污染后期管理的行政处罚主体为农业农村部门，此处的范围为建设用地）</w:t>
            </w:r>
          </w:p>
        </w:tc>
        <w:tc>
          <w:tcPr>
            <w:tcW w:w="1129" w:type="dxa"/>
            <w:shd w:val="clear" w:color="auto" w:fill="auto"/>
            <w:vAlign w:val="top"/>
          </w:tcPr>
          <w:p w14:paraId="7B1299EF">
            <w:pPr>
              <w:keepNext w:val="0"/>
              <w:keepLines w:val="0"/>
              <w:pageBreakBefore w:val="0"/>
              <w:widowControl w:val="0"/>
              <w:kinsoku/>
              <w:wordWrap/>
              <w:overflowPunct/>
              <w:topLinePunct w:val="0"/>
              <w:autoSpaceDE/>
              <w:autoSpaceDN/>
              <w:bidi w:val="0"/>
              <w:spacing w:before="69" w:line="320" w:lineRule="exact"/>
              <w:ind w:left="49" w:leftChars="0" w:right="26" w:rightChars="0" w:firstLine="404" w:firstLineChars="200"/>
              <w:rPr>
                <w:rFonts w:ascii="宋体" w:hAnsi="宋体" w:eastAsia="宋体" w:cs="宋体"/>
                <w:spacing w:val="-4"/>
                <w:sz w:val="21"/>
                <w:szCs w:val="21"/>
              </w:rPr>
            </w:pPr>
          </w:p>
        </w:tc>
        <w:tc>
          <w:tcPr>
            <w:tcW w:w="990" w:type="dxa"/>
            <w:gridSpan w:val="2"/>
            <w:shd w:val="clear" w:color="auto" w:fill="auto"/>
            <w:vAlign w:val="top"/>
          </w:tcPr>
          <w:p w14:paraId="5B55440E">
            <w:pPr>
              <w:keepNext w:val="0"/>
              <w:keepLines w:val="0"/>
              <w:pageBreakBefore w:val="0"/>
              <w:widowControl w:val="0"/>
              <w:kinsoku/>
              <w:wordWrap/>
              <w:overflowPunct/>
              <w:topLinePunct w:val="0"/>
              <w:autoSpaceDE/>
              <w:autoSpaceDN/>
              <w:bidi w:val="0"/>
              <w:spacing w:before="69" w:line="320" w:lineRule="exact"/>
              <w:ind w:left="204" w:leftChars="0" w:right="59" w:rightChars="0" w:firstLine="404" w:firstLineChars="200"/>
              <w:rPr>
                <w:rFonts w:ascii="宋体" w:hAnsi="宋体" w:eastAsia="宋体" w:cs="宋体"/>
                <w:spacing w:val="-4"/>
                <w:sz w:val="21"/>
                <w:szCs w:val="21"/>
              </w:rPr>
            </w:pPr>
          </w:p>
        </w:tc>
      </w:tr>
      <w:tr w14:paraId="02FFFE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6" w:hRule="atLeast"/>
        </w:trPr>
        <w:tc>
          <w:tcPr>
            <w:tcW w:w="557" w:type="dxa"/>
            <w:shd w:val="clear" w:color="auto" w:fill="auto"/>
            <w:vAlign w:val="center"/>
          </w:tcPr>
          <w:p w14:paraId="2EADAE95">
            <w:pPr>
              <w:keepNext w:val="0"/>
              <w:keepLines w:val="0"/>
              <w:pageBreakBefore w:val="0"/>
              <w:widowControl w:val="0"/>
              <w:kinsoku/>
              <w:wordWrap/>
              <w:overflowPunct/>
              <w:topLinePunct w:val="0"/>
              <w:autoSpaceDE/>
              <w:autoSpaceDN/>
              <w:bidi w:val="0"/>
              <w:spacing w:before="68" w:line="320" w:lineRule="exact"/>
              <w:ind w:left="0" w:leftChars="0" w:firstLine="0" w:firstLineChars="0"/>
              <w:jc w:val="center"/>
              <w:rPr>
                <w:rFonts w:hint="eastAsia" w:ascii="仿宋_GB2312" w:hAnsi="仿宋_GB2312" w:eastAsia="仿宋_GB2312" w:cs="仿宋_GB2312"/>
                <w:spacing w:val="-8"/>
                <w:sz w:val="24"/>
                <w:szCs w:val="24"/>
                <w:lang w:val="en-US" w:eastAsia="zh-CN"/>
              </w:rPr>
            </w:pPr>
            <w:r>
              <w:rPr>
                <w:rFonts w:hint="eastAsia" w:ascii="仿宋_GB2312" w:hAnsi="仿宋_GB2312" w:eastAsia="仿宋_GB2312" w:cs="仿宋_GB2312"/>
                <w:spacing w:val="-8"/>
                <w:sz w:val="24"/>
                <w:szCs w:val="24"/>
                <w:lang w:val="en-US" w:eastAsia="zh-CN"/>
              </w:rPr>
              <w:t>78</w:t>
            </w:r>
          </w:p>
        </w:tc>
        <w:tc>
          <w:tcPr>
            <w:tcW w:w="2355" w:type="dxa"/>
            <w:shd w:val="clear" w:color="auto" w:fill="auto"/>
            <w:vAlign w:val="center"/>
          </w:tcPr>
          <w:p w14:paraId="23298AE3">
            <w:pPr>
              <w:keepNext w:val="0"/>
              <w:keepLines w:val="0"/>
              <w:pageBreakBefore w:val="0"/>
              <w:widowControl w:val="0"/>
              <w:kinsoku/>
              <w:wordWrap/>
              <w:overflowPunct/>
              <w:topLinePunct w:val="0"/>
              <w:autoSpaceDE/>
              <w:autoSpaceDN/>
              <w:bidi w:val="0"/>
              <w:spacing w:before="68" w:line="320" w:lineRule="exact"/>
              <w:ind w:left="240" w:leftChars="100" w:right="127" w:rightChars="53" w:firstLine="0" w:firstLineChars="0"/>
              <w:jc w:val="center"/>
              <w:rPr>
                <w:rFonts w:hint="eastAsia" w:ascii="宋体" w:hAnsi="宋体" w:eastAsia="宋体" w:cs="宋体"/>
                <w:spacing w:val="-8"/>
                <w:kern w:val="2"/>
                <w:sz w:val="21"/>
                <w:szCs w:val="21"/>
                <w:lang w:val="en-US" w:eastAsia="zh-CN" w:bidi="ar-SA"/>
              </w:rPr>
            </w:pPr>
            <w:r>
              <w:rPr>
                <w:rFonts w:hint="eastAsia" w:ascii="宋体" w:hAnsi="宋体" w:eastAsia="宋体" w:cs="宋体"/>
                <w:spacing w:val="-8"/>
                <w:sz w:val="21"/>
                <w:szCs w:val="21"/>
                <w:lang w:val="en-US" w:eastAsia="zh-CN"/>
              </w:rPr>
              <w:t>对拒不配合检查，或者在接受检查时弄虚作假行为的行政处罚</w:t>
            </w:r>
          </w:p>
        </w:tc>
        <w:tc>
          <w:tcPr>
            <w:tcW w:w="1094" w:type="dxa"/>
            <w:shd w:val="clear" w:color="auto" w:fill="auto"/>
            <w:vAlign w:val="center"/>
          </w:tcPr>
          <w:p w14:paraId="563C5576">
            <w:pPr>
              <w:keepNext w:val="0"/>
              <w:keepLines w:val="0"/>
              <w:pageBreakBefore w:val="0"/>
              <w:widowControl w:val="0"/>
              <w:kinsoku/>
              <w:wordWrap/>
              <w:overflowPunct/>
              <w:topLinePunct w:val="0"/>
              <w:autoSpaceDE/>
              <w:autoSpaceDN/>
              <w:bidi w:val="0"/>
              <w:spacing w:before="68" w:line="320" w:lineRule="exact"/>
              <w:ind w:left="0" w:leftChars="0" w:firstLine="0" w:firstLineChars="0"/>
              <w:jc w:val="center"/>
              <w:rPr>
                <w:rFonts w:hint="eastAsia" w:ascii="仿宋_GB2312" w:hAnsi="仿宋_GB2312" w:eastAsia="仿宋_GB2312" w:cs="仿宋_GB2312"/>
                <w:spacing w:val="-8"/>
                <w:kern w:val="2"/>
                <w:sz w:val="24"/>
                <w:szCs w:val="24"/>
                <w:lang w:val="en-US" w:eastAsia="zh-CN" w:bidi="ar-SA"/>
              </w:rPr>
            </w:pPr>
            <w:r>
              <w:rPr>
                <w:rFonts w:hint="eastAsia" w:ascii="仿宋_GB2312" w:hAnsi="仿宋_GB2312" w:eastAsia="仿宋_GB2312" w:cs="仿宋_GB2312"/>
                <w:spacing w:val="-8"/>
                <w:sz w:val="24"/>
                <w:szCs w:val="24"/>
                <w:lang w:val="en-US" w:eastAsia="zh-CN"/>
              </w:rPr>
              <w:t>行政处罚</w:t>
            </w:r>
          </w:p>
        </w:tc>
        <w:tc>
          <w:tcPr>
            <w:tcW w:w="8317" w:type="dxa"/>
            <w:shd w:val="clear" w:color="auto" w:fill="auto"/>
            <w:vAlign w:val="top"/>
          </w:tcPr>
          <w:p w14:paraId="3657AB0A">
            <w:pPr>
              <w:keepNext w:val="0"/>
              <w:keepLines w:val="0"/>
              <w:pageBreakBefore w:val="0"/>
              <w:widowControl w:val="0"/>
              <w:suppressLineNumbers w:val="0"/>
              <w:kinsoku/>
              <w:wordWrap/>
              <w:overflowPunct/>
              <w:topLinePunct w:val="0"/>
              <w:autoSpaceDE/>
              <w:autoSpaceDN/>
              <w:bidi w:val="0"/>
              <w:adjustRightInd/>
              <w:snapToGrid/>
              <w:spacing w:after="0" w:afterLines="-2147483648" w:line="320" w:lineRule="exact"/>
              <w:ind w:left="240" w:leftChars="100" w:firstLine="420" w:firstLineChars="200"/>
              <w:jc w:val="both"/>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中华人民共和国土壤污染防治法》第九十三条违反本法规定，被检查者拒不配合检查，或者在接受检查时弄虚作假的，由地方人民政府生态环境主管部门或者其他负有土壤污染防治监督管理职责的部门责令改正，处二万元以上二十万元以下的罚款；对直接负责的主管人员和其他直接责任人员处五千元以上二万元以下的罚款。（《农业综合行政执法事项指导目录（2020年版）》第219项明确农用地污染监督管理拒绝检查和弄虚作假的行政处罚主体为农业农村部门，此处的范围为建设用地）</w:t>
            </w:r>
          </w:p>
        </w:tc>
        <w:tc>
          <w:tcPr>
            <w:tcW w:w="1129" w:type="dxa"/>
            <w:shd w:val="clear" w:color="auto" w:fill="auto"/>
            <w:vAlign w:val="top"/>
          </w:tcPr>
          <w:p w14:paraId="1CDF9C5C">
            <w:pPr>
              <w:keepNext w:val="0"/>
              <w:keepLines w:val="0"/>
              <w:pageBreakBefore w:val="0"/>
              <w:widowControl w:val="0"/>
              <w:kinsoku/>
              <w:wordWrap/>
              <w:overflowPunct/>
              <w:topLinePunct w:val="0"/>
              <w:autoSpaceDE/>
              <w:autoSpaceDN/>
              <w:bidi w:val="0"/>
              <w:spacing w:before="69" w:line="320" w:lineRule="exact"/>
              <w:ind w:left="49" w:leftChars="0" w:right="26" w:rightChars="0" w:firstLine="404" w:firstLineChars="200"/>
              <w:rPr>
                <w:rFonts w:ascii="宋体" w:hAnsi="宋体" w:eastAsia="宋体" w:cs="宋体"/>
                <w:spacing w:val="-4"/>
                <w:sz w:val="21"/>
                <w:szCs w:val="21"/>
              </w:rPr>
            </w:pPr>
          </w:p>
        </w:tc>
        <w:tc>
          <w:tcPr>
            <w:tcW w:w="990" w:type="dxa"/>
            <w:gridSpan w:val="2"/>
            <w:shd w:val="clear" w:color="auto" w:fill="auto"/>
            <w:vAlign w:val="top"/>
          </w:tcPr>
          <w:p w14:paraId="58830EF7">
            <w:pPr>
              <w:keepNext w:val="0"/>
              <w:keepLines w:val="0"/>
              <w:pageBreakBefore w:val="0"/>
              <w:widowControl w:val="0"/>
              <w:kinsoku/>
              <w:wordWrap/>
              <w:overflowPunct/>
              <w:topLinePunct w:val="0"/>
              <w:autoSpaceDE/>
              <w:autoSpaceDN/>
              <w:bidi w:val="0"/>
              <w:spacing w:before="69" w:line="320" w:lineRule="exact"/>
              <w:ind w:left="204" w:leftChars="0" w:right="59" w:rightChars="0" w:firstLine="404" w:firstLineChars="200"/>
              <w:rPr>
                <w:rFonts w:ascii="宋体" w:hAnsi="宋体" w:eastAsia="宋体" w:cs="宋体"/>
                <w:spacing w:val="-4"/>
                <w:sz w:val="21"/>
                <w:szCs w:val="21"/>
              </w:rPr>
            </w:pPr>
          </w:p>
        </w:tc>
      </w:tr>
      <w:tr w14:paraId="0C82AA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6" w:hRule="atLeast"/>
        </w:trPr>
        <w:tc>
          <w:tcPr>
            <w:tcW w:w="557" w:type="dxa"/>
            <w:shd w:val="clear" w:color="auto" w:fill="auto"/>
            <w:vAlign w:val="center"/>
          </w:tcPr>
          <w:p w14:paraId="09054642">
            <w:pPr>
              <w:keepNext w:val="0"/>
              <w:keepLines w:val="0"/>
              <w:pageBreakBefore w:val="0"/>
              <w:widowControl w:val="0"/>
              <w:kinsoku/>
              <w:wordWrap/>
              <w:overflowPunct/>
              <w:topLinePunct w:val="0"/>
              <w:autoSpaceDE/>
              <w:autoSpaceDN/>
              <w:bidi w:val="0"/>
              <w:spacing w:before="68" w:line="320" w:lineRule="exact"/>
              <w:ind w:left="0" w:leftChars="0" w:firstLine="0" w:firstLineChars="0"/>
              <w:jc w:val="center"/>
              <w:rPr>
                <w:rFonts w:hint="eastAsia" w:ascii="仿宋_GB2312" w:hAnsi="仿宋_GB2312" w:eastAsia="仿宋_GB2312" w:cs="仿宋_GB2312"/>
                <w:spacing w:val="-8"/>
                <w:sz w:val="24"/>
                <w:szCs w:val="24"/>
                <w:lang w:val="en-US" w:eastAsia="zh-CN"/>
              </w:rPr>
            </w:pPr>
            <w:r>
              <w:rPr>
                <w:rFonts w:hint="eastAsia" w:ascii="仿宋_GB2312" w:hAnsi="仿宋_GB2312" w:eastAsia="仿宋_GB2312" w:cs="仿宋_GB2312"/>
                <w:spacing w:val="-8"/>
                <w:sz w:val="24"/>
                <w:szCs w:val="24"/>
                <w:lang w:val="en-US" w:eastAsia="zh-CN"/>
              </w:rPr>
              <w:t>79</w:t>
            </w:r>
          </w:p>
        </w:tc>
        <w:tc>
          <w:tcPr>
            <w:tcW w:w="2355" w:type="dxa"/>
            <w:shd w:val="clear" w:color="auto" w:fill="auto"/>
            <w:vAlign w:val="center"/>
          </w:tcPr>
          <w:p w14:paraId="43AB2948">
            <w:pPr>
              <w:keepNext w:val="0"/>
              <w:keepLines w:val="0"/>
              <w:pageBreakBefore w:val="0"/>
              <w:widowControl w:val="0"/>
              <w:kinsoku/>
              <w:wordWrap/>
              <w:overflowPunct/>
              <w:topLinePunct w:val="0"/>
              <w:autoSpaceDE/>
              <w:autoSpaceDN/>
              <w:bidi w:val="0"/>
              <w:spacing w:before="68" w:line="320" w:lineRule="exact"/>
              <w:ind w:left="240" w:leftChars="100" w:right="127" w:rightChars="53" w:firstLine="0" w:firstLineChars="0"/>
              <w:jc w:val="center"/>
              <w:rPr>
                <w:rFonts w:hint="eastAsia" w:ascii="宋体" w:hAnsi="宋体" w:eastAsia="宋体" w:cs="宋体"/>
                <w:spacing w:val="-8"/>
                <w:kern w:val="2"/>
                <w:sz w:val="21"/>
                <w:szCs w:val="21"/>
                <w:lang w:val="en-US" w:eastAsia="zh-CN" w:bidi="ar-SA"/>
              </w:rPr>
            </w:pPr>
            <w:r>
              <w:rPr>
                <w:rFonts w:hint="eastAsia" w:ascii="宋体" w:hAnsi="宋体" w:eastAsia="宋体" w:cs="宋体"/>
                <w:spacing w:val="-8"/>
                <w:sz w:val="21"/>
                <w:szCs w:val="21"/>
                <w:lang w:val="en-US" w:eastAsia="zh-CN"/>
              </w:rPr>
              <w:t>对未按照规定进行土壤污染状况调查等行为的行政处罚</w:t>
            </w:r>
          </w:p>
        </w:tc>
        <w:tc>
          <w:tcPr>
            <w:tcW w:w="1094" w:type="dxa"/>
            <w:shd w:val="clear" w:color="auto" w:fill="auto"/>
            <w:vAlign w:val="center"/>
          </w:tcPr>
          <w:p w14:paraId="7E301310">
            <w:pPr>
              <w:keepNext w:val="0"/>
              <w:keepLines w:val="0"/>
              <w:pageBreakBefore w:val="0"/>
              <w:widowControl w:val="0"/>
              <w:kinsoku/>
              <w:wordWrap/>
              <w:overflowPunct/>
              <w:topLinePunct w:val="0"/>
              <w:autoSpaceDE/>
              <w:autoSpaceDN/>
              <w:bidi w:val="0"/>
              <w:spacing w:before="68" w:line="320" w:lineRule="exact"/>
              <w:ind w:left="0" w:leftChars="0" w:firstLine="0" w:firstLineChars="0"/>
              <w:jc w:val="center"/>
              <w:rPr>
                <w:rFonts w:hint="eastAsia" w:ascii="仿宋_GB2312" w:hAnsi="仿宋_GB2312" w:eastAsia="仿宋_GB2312" w:cs="仿宋_GB2312"/>
                <w:spacing w:val="-8"/>
                <w:kern w:val="2"/>
                <w:sz w:val="24"/>
                <w:szCs w:val="24"/>
                <w:lang w:val="en-US" w:eastAsia="zh-CN" w:bidi="ar-SA"/>
              </w:rPr>
            </w:pPr>
            <w:r>
              <w:rPr>
                <w:rFonts w:hint="eastAsia" w:ascii="仿宋_GB2312" w:hAnsi="仿宋_GB2312" w:eastAsia="仿宋_GB2312" w:cs="仿宋_GB2312"/>
                <w:spacing w:val="-8"/>
                <w:sz w:val="24"/>
                <w:szCs w:val="24"/>
                <w:lang w:val="en-US" w:eastAsia="zh-CN"/>
              </w:rPr>
              <w:t>行政处罚</w:t>
            </w:r>
          </w:p>
        </w:tc>
        <w:tc>
          <w:tcPr>
            <w:tcW w:w="8317" w:type="dxa"/>
            <w:shd w:val="clear" w:color="auto" w:fill="auto"/>
            <w:vAlign w:val="top"/>
          </w:tcPr>
          <w:p w14:paraId="3652F5E6">
            <w:pPr>
              <w:keepNext w:val="0"/>
              <w:keepLines w:val="0"/>
              <w:pageBreakBefore w:val="0"/>
              <w:widowControl w:val="0"/>
              <w:suppressLineNumbers w:val="0"/>
              <w:kinsoku/>
              <w:wordWrap/>
              <w:overflowPunct/>
              <w:topLinePunct w:val="0"/>
              <w:autoSpaceDE/>
              <w:autoSpaceDN/>
              <w:bidi w:val="0"/>
              <w:adjustRightInd/>
              <w:snapToGrid/>
              <w:spacing w:after="0" w:afterLines="-2147483648" w:line="320" w:lineRule="exact"/>
              <w:ind w:left="240" w:leftChars="100" w:firstLine="420" w:firstLineChars="200"/>
              <w:jc w:val="both"/>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中华人民共和国土壤污染防治法》第九十四条违反本法规定，土壤污染责任人或者土地使用权人有下列行为之一的，由地方人民政府生态环境主管部门或者其他负有土壤污染防治监督管理职责的部门责令改正，处二万元以上二十万元以下的罚款；拒不改正的，处二十万元以上一百万元以下的罚款，并委托他人代为履行，所需费用由土壤污染责任人或者土地使用权人承担；对直接负责的主管人员和其他直接责任人员处五千元以上二万元以下的罚款：（一）未按照规定进行土壤污染状况调查的；（二）未按照规定进行土壤污染风险评估的；（三）未按照规定采取风险管控措施的；（四）未按照规定实施修复的；（五）风险管控、修复活动完成后，未另行委托有关单位对风险管控效果、修复效果进行评估的。土壤污染责任人或者土地使用权人有前款第三项、第四项规定行为之一，情节严重的，地方人民政府生态环境主管部门或者其他负有土壤污染防治监督管理职责的部门可以将案件移送公安机关，对直接负责的主管人员和其他直接责任人员处五日以上十五日以下的拘留。</w:t>
            </w:r>
          </w:p>
          <w:p w14:paraId="7195C593">
            <w:pPr>
              <w:keepNext w:val="0"/>
              <w:keepLines w:val="0"/>
              <w:pageBreakBefore w:val="0"/>
              <w:widowControl w:val="0"/>
              <w:suppressLineNumbers w:val="0"/>
              <w:kinsoku/>
              <w:wordWrap/>
              <w:overflowPunct/>
              <w:topLinePunct w:val="0"/>
              <w:autoSpaceDE/>
              <w:autoSpaceDN/>
              <w:bidi w:val="0"/>
              <w:adjustRightInd/>
              <w:snapToGrid/>
              <w:spacing w:after="0" w:afterLines="-2147483648" w:line="320" w:lineRule="exact"/>
              <w:ind w:left="240" w:leftChars="100" w:firstLine="420" w:firstLineChars="200"/>
              <w:jc w:val="both"/>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陕西省固体废物污染环境防治条例（2019年修正）》第六十二条违反本条例第二十条规定，未按规定要求进行场地环境风险调查评估或者场地修复的，由县级以上生态环境行政主管部门责令限期改正，逾期未改正的，处五万元以上二十万元以下罚款。3.《陕西省煤炭石油天然气开发生态环境保护条例（2019年修订）》第四十六条违反本条例第三十一条规定，石油、天然气开发单位未按要求开展土壤污染状况调查、风险评估，实施风险管控和修复的，由县级以上生态环境行政主管部门或农业农村、自然资源、住房和城乡建设、林业等行政主管部门责令改正，处二万元以上二十万元以下的罚款；拒不改正的，处二十万元以上一百万元以下的罚款，并委托他人代为履行，所需费用由土壤污染责任人或者土地使用权人承担；对直接负责的主管人员和其他直接责任人员处五千元以上二万元以下的罚款。（《农业综合行政执法事项指导目录（2020年版）》第220项明确农用地污染风险管控等（三）（四）（五）项的行政处罚主体为农业农村部门，此处生态环境部门对（三）（四）（五）项执法的范围为建设用地）</w:t>
            </w:r>
          </w:p>
        </w:tc>
        <w:tc>
          <w:tcPr>
            <w:tcW w:w="1129" w:type="dxa"/>
            <w:shd w:val="clear" w:color="auto" w:fill="auto"/>
            <w:vAlign w:val="top"/>
          </w:tcPr>
          <w:p w14:paraId="06DF4707">
            <w:pPr>
              <w:keepNext w:val="0"/>
              <w:keepLines w:val="0"/>
              <w:pageBreakBefore w:val="0"/>
              <w:widowControl w:val="0"/>
              <w:kinsoku/>
              <w:wordWrap/>
              <w:overflowPunct/>
              <w:topLinePunct w:val="0"/>
              <w:autoSpaceDE/>
              <w:autoSpaceDN/>
              <w:bidi w:val="0"/>
              <w:spacing w:before="69" w:line="320" w:lineRule="exact"/>
              <w:ind w:left="49" w:leftChars="0" w:right="26" w:rightChars="0" w:firstLine="404" w:firstLineChars="200"/>
              <w:rPr>
                <w:rFonts w:ascii="宋体" w:hAnsi="宋体" w:eastAsia="宋体" w:cs="宋体"/>
                <w:spacing w:val="-4"/>
                <w:sz w:val="21"/>
                <w:szCs w:val="21"/>
              </w:rPr>
            </w:pPr>
          </w:p>
        </w:tc>
        <w:tc>
          <w:tcPr>
            <w:tcW w:w="990" w:type="dxa"/>
            <w:gridSpan w:val="2"/>
            <w:shd w:val="clear" w:color="auto" w:fill="auto"/>
            <w:vAlign w:val="top"/>
          </w:tcPr>
          <w:p w14:paraId="6151B47E">
            <w:pPr>
              <w:keepNext w:val="0"/>
              <w:keepLines w:val="0"/>
              <w:pageBreakBefore w:val="0"/>
              <w:widowControl w:val="0"/>
              <w:kinsoku/>
              <w:wordWrap/>
              <w:overflowPunct/>
              <w:topLinePunct w:val="0"/>
              <w:autoSpaceDE/>
              <w:autoSpaceDN/>
              <w:bidi w:val="0"/>
              <w:spacing w:before="69" w:line="320" w:lineRule="exact"/>
              <w:ind w:left="204" w:leftChars="0" w:right="59" w:rightChars="0" w:firstLine="404" w:firstLineChars="200"/>
              <w:rPr>
                <w:rFonts w:ascii="宋体" w:hAnsi="宋体" w:eastAsia="宋体" w:cs="宋体"/>
                <w:spacing w:val="-4"/>
                <w:sz w:val="21"/>
                <w:szCs w:val="21"/>
              </w:rPr>
            </w:pPr>
          </w:p>
        </w:tc>
      </w:tr>
      <w:tr w14:paraId="022137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6" w:hRule="atLeast"/>
        </w:trPr>
        <w:tc>
          <w:tcPr>
            <w:tcW w:w="557" w:type="dxa"/>
            <w:shd w:val="clear" w:color="auto" w:fill="auto"/>
            <w:vAlign w:val="center"/>
          </w:tcPr>
          <w:p w14:paraId="152CCF8A">
            <w:pPr>
              <w:keepNext w:val="0"/>
              <w:keepLines w:val="0"/>
              <w:pageBreakBefore w:val="0"/>
              <w:widowControl w:val="0"/>
              <w:kinsoku/>
              <w:wordWrap/>
              <w:overflowPunct/>
              <w:topLinePunct w:val="0"/>
              <w:autoSpaceDE/>
              <w:autoSpaceDN/>
              <w:bidi w:val="0"/>
              <w:spacing w:before="68" w:line="320" w:lineRule="exact"/>
              <w:ind w:left="0" w:leftChars="0" w:firstLine="0" w:firstLineChars="0"/>
              <w:jc w:val="center"/>
              <w:rPr>
                <w:rFonts w:hint="eastAsia" w:ascii="仿宋_GB2312" w:hAnsi="仿宋_GB2312" w:eastAsia="仿宋_GB2312" w:cs="仿宋_GB2312"/>
                <w:spacing w:val="-8"/>
                <w:sz w:val="24"/>
                <w:szCs w:val="24"/>
                <w:lang w:val="en-US" w:eastAsia="zh-CN"/>
              </w:rPr>
            </w:pPr>
            <w:r>
              <w:rPr>
                <w:rFonts w:hint="eastAsia" w:ascii="仿宋_GB2312" w:hAnsi="仿宋_GB2312" w:eastAsia="仿宋_GB2312" w:cs="仿宋_GB2312"/>
                <w:spacing w:val="-8"/>
                <w:sz w:val="24"/>
                <w:szCs w:val="24"/>
                <w:lang w:val="en-US" w:eastAsia="zh-CN"/>
              </w:rPr>
              <w:t>80</w:t>
            </w:r>
          </w:p>
        </w:tc>
        <w:tc>
          <w:tcPr>
            <w:tcW w:w="2355" w:type="dxa"/>
            <w:shd w:val="clear" w:color="auto" w:fill="auto"/>
            <w:vAlign w:val="center"/>
          </w:tcPr>
          <w:p w14:paraId="70E1AF96">
            <w:pPr>
              <w:keepNext w:val="0"/>
              <w:keepLines w:val="0"/>
              <w:pageBreakBefore w:val="0"/>
              <w:widowControl w:val="0"/>
              <w:kinsoku/>
              <w:wordWrap/>
              <w:overflowPunct/>
              <w:topLinePunct w:val="0"/>
              <w:autoSpaceDE/>
              <w:autoSpaceDN/>
              <w:bidi w:val="0"/>
              <w:spacing w:before="68" w:line="320" w:lineRule="exact"/>
              <w:ind w:left="240" w:leftChars="100" w:right="127" w:rightChars="53" w:firstLine="0" w:firstLineChars="0"/>
              <w:jc w:val="center"/>
              <w:rPr>
                <w:rFonts w:hint="eastAsia" w:ascii="宋体" w:hAnsi="宋体" w:eastAsia="宋体" w:cs="宋体"/>
                <w:spacing w:val="-8"/>
                <w:kern w:val="2"/>
                <w:sz w:val="21"/>
                <w:szCs w:val="21"/>
                <w:lang w:val="en-US" w:eastAsia="zh-CN" w:bidi="ar-SA"/>
              </w:rPr>
            </w:pPr>
            <w:r>
              <w:rPr>
                <w:rFonts w:hint="eastAsia" w:ascii="宋体" w:hAnsi="宋体" w:eastAsia="宋体" w:cs="宋体"/>
                <w:spacing w:val="-8"/>
                <w:sz w:val="21"/>
                <w:szCs w:val="21"/>
                <w:lang w:val="en-US" w:eastAsia="zh-CN"/>
              </w:rPr>
              <w:t>对未按照规定进行土壤污染状况调查等行为的行政强制</w:t>
            </w:r>
          </w:p>
        </w:tc>
        <w:tc>
          <w:tcPr>
            <w:tcW w:w="1094" w:type="dxa"/>
            <w:shd w:val="clear" w:color="auto" w:fill="auto"/>
            <w:vAlign w:val="center"/>
          </w:tcPr>
          <w:p w14:paraId="71168A2A">
            <w:pPr>
              <w:keepNext w:val="0"/>
              <w:keepLines w:val="0"/>
              <w:pageBreakBefore w:val="0"/>
              <w:widowControl w:val="0"/>
              <w:kinsoku/>
              <w:wordWrap/>
              <w:overflowPunct/>
              <w:topLinePunct w:val="0"/>
              <w:autoSpaceDE/>
              <w:autoSpaceDN/>
              <w:bidi w:val="0"/>
              <w:spacing w:before="68" w:line="320" w:lineRule="exact"/>
              <w:ind w:left="0" w:leftChars="0" w:firstLine="0" w:firstLineChars="0"/>
              <w:jc w:val="center"/>
              <w:rPr>
                <w:rFonts w:hint="eastAsia" w:ascii="仿宋_GB2312" w:hAnsi="仿宋_GB2312" w:eastAsia="仿宋_GB2312" w:cs="仿宋_GB2312"/>
                <w:spacing w:val="-8"/>
                <w:kern w:val="2"/>
                <w:sz w:val="24"/>
                <w:szCs w:val="24"/>
                <w:lang w:val="en-US" w:eastAsia="zh-CN" w:bidi="ar-SA"/>
              </w:rPr>
            </w:pPr>
            <w:r>
              <w:rPr>
                <w:rFonts w:hint="eastAsia" w:ascii="仿宋_GB2312" w:hAnsi="仿宋_GB2312" w:eastAsia="仿宋_GB2312" w:cs="仿宋_GB2312"/>
                <w:spacing w:val="-8"/>
                <w:sz w:val="24"/>
                <w:szCs w:val="24"/>
                <w:lang w:val="en-US" w:eastAsia="zh-CN"/>
              </w:rPr>
              <w:t>行政强制</w:t>
            </w:r>
          </w:p>
        </w:tc>
        <w:tc>
          <w:tcPr>
            <w:tcW w:w="8317" w:type="dxa"/>
            <w:shd w:val="clear" w:color="auto" w:fill="auto"/>
            <w:vAlign w:val="top"/>
          </w:tcPr>
          <w:p w14:paraId="41269C1A">
            <w:pPr>
              <w:keepNext w:val="0"/>
              <w:keepLines w:val="0"/>
              <w:pageBreakBefore w:val="0"/>
              <w:widowControl w:val="0"/>
              <w:suppressLineNumbers w:val="0"/>
              <w:kinsoku/>
              <w:wordWrap/>
              <w:overflowPunct/>
              <w:topLinePunct w:val="0"/>
              <w:autoSpaceDE/>
              <w:autoSpaceDN/>
              <w:bidi w:val="0"/>
              <w:adjustRightInd/>
              <w:snapToGrid/>
              <w:spacing w:after="0" w:afterLines="-2147483648" w:line="320" w:lineRule="exact"/>
              <w:ind w:left="240" w:leftChars="100" w:firstLine="420" w:firstLineChars="200"/>
              <w:jc w:val="both"/>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中华人民共和国土壤污染防治法》第九十四条违反本法规定，土壤污染责任人或者土地使用权人有下列行为之一的，由地方人民政府生态环境主管部门或者其他负有土壤污染防治监督管理职责的部门责令改正，处二万元以上二十万元以下的罚款；拒不改正的，处二十万元以上一百万元以下的罚款，并委托他人代为履行，所需费用由土壤污染责任人或者土地使用权人承担；对直接负责的主管人员和其他直接责任人员处五千元以上二万元以下的罚款：（一）未按照规定进行土壤污染状况调查的；（二）未按照规定进行土壤污染风险评估的；（三）未按照规定采取风险管控措施的；（三）未按照规定实施修复的；（四）风险管控、修复活动完成后，未另行委托有关单位对风险管控效果、修复效果进行评估的。土壤污染责任人或者土地使用权人有前款第三项、第四项规定行为之一，情节严重的，地方人民政府生态环境主管部门或者其他负有土壤污染防治监督管理职责的部门可以将案件移送公安机关，对直接负责的主管人员和其他直接责任人员处五日以上十五日以下的拘留。2.《陕西省煤炭石油天然气开发生态环境保护条例（2019年修订）》第四十六条违反本条例第三十一条规定，石油、天然气开发单位未按要求开展土壤污染状况调查、风险评估，实施风险管控和修复的，由县级以上生态环境行政主管部门或农业农村、自然资源、住房和城乡建设、林业等行政主管部门责令改正，处二万元以上二十万元以下的罚款；拒不改正的，处二十万元以上一百万元以下的罚款，并委托他人代为履行，所需费用由土壤污染责任人或者土地使用权人承担；对直接负责的主管人员和其他直接责任人员处五千元以上二万元以下的罚款。（《农业综合行政执法事项指导目录（2020年版）》第220项明确农用地污染风险管控等（三）（四）（五）项的行政处罚主体为农业农村部门，此处生态环境部门对（三）（四）（五）项执法的范围为建设用地）</w:t>
            </w:r>
          </w:p>
        </w:tc>
        <w:tc>
          <w:tcPr>
            <w:tcW w:w="1129" w:type="dxa"/>
            <w:shd w:val="clear" w:color="auto" w:fill="auto"/>
            <w:vAlign w:val="top"/>
          </w:tcPr>
          <w:p w14:paraId="21B3E6DF">
            <w:pPr>
              <w:keepNext w:val="0"/>
              <w:keepLines w:val="0"/>
              <w:pageBreakBefore w:val="0"/>
              <w:widowControl w:val="0"/>
              <w:kinsoku/>
              <w:wordWrap/>
              <w:overflowPunct/>
              <w:topLinePunct w:val="0"/>
              <w:autoSpaceDE/>
              <w:autoSpaceDN/>
              <w:bidi w:val="0"/>
              <w:spacing w:before="69" w:line="320" w:lineRule="exact"/>
              <w:ind w:left="49" w:leftChars="0" w:right="26" w:rightChars="0" w:firstLine="404" w:firstLineChars="200"/>
              <w:rPr>
                <w:rFonts w:ascii="宋体" w:hAnsi="宋体" w:eastAsia="宋体" w:cs="宋体"/>
                <w:spacing w:val="-4"/>
                <w:sz w:val="21"/>
                <w:szCs w:val="21"/>
              </w:rPr>
            </w:pPr>
          </w:p>
        </w:tc>
        <w:tc>
          <w:tcPr>
            <w:tcW w:w="990" w:type="dxa"/>
            <w:gridSpan w:val="2"/>
            <w:shd w:val="clear" w:color="auto" w:fill="auto"/>
            <w:vAlign w:val="top"/>
          </w:tcPr>
          <w:p w14:paraId="31B947FB">
            <w:pPr>
              <w:keepNext w:val="0"/>
              <w:keepLines w:val="0"/>
              <w:pageBreakBefore w:val="0"/>
              <w:widowControl w:val="0"/>
              <w:kinsoku/>
              <w:wordWrap/>
              <w:overflowPunct/>
              <w:topLinePunct w:val="0"/>
              <w:autoSpaceDE/>
              <w:autoSpaceDN/>
              <w:bidi w:val="0"/>
              <w:spacing w:before="69" w:line="320" w:lineRule="exact"/>
              <w:ind w:left="204" w:leftChars="0" w:right="59" w:rightChars="0" w:firstLine="404" w:firstLineChars="200"/>
              <w:rPr>
                <w:rFonts w:ascii="宋体" w:hAnsi="宋体" w:eastAsia="宋体" w:cs="宋体"/>
                <w:spacing w:val="-4"/>
                <w:sz w:val="21"/>
                <w:szCs w:val="21"/>
              </w:rPr>
            </w:pPr>
          </w:p>
        </w:tc>
      </w:tr>
      <w:tr w14:paraId="7C4CCC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6" w:hRule="atLeast"/>
        </w:trPr>
        <w:tc>
          <w:tcPr>
            <w:tcW w:w="557" w:type="dxa"/>
            <w:shd w:val="clear" w:color="auto" w:fill="auto"/>
            <w:vAlign w:val="center"/>
          </w:tcPr>
          <w:p w14:paraId="635B4212">
            <w:pPr>
              <w:keepNext w:val="0"/>
              <w:keepLines w:val="0"/>
              <w:pageBreakBefore w:val="0"/>
              <w:widowControl w:val="0"/>
              <w:kinsoku/>
              <w:wordWrap/>
              <w:overflowPunct/>
              <w:topLinePunct w:val="0"/>
              <w:autoSpaceDE/>
              <w:autoSpaceDN/>
              <w:bidi w:val="0"/>
              <w:spacing w:before="68" w:line="320" w:lineRule="exact"/>
              <w:ind w:left="0" w:leftChars="0" w:firstLine="0" w:firstLineChars="0"/>
              <w:jc w:val="center"/>
              <w:rPr>
                <w:rFonts w:hint="eastAsia" w:ascii="仿宋_GB2312" w:hAnsi="仿宋_GB2312" w:eastAsia="仿宋_GB2312" w:cs="仿宋_GB2312"/>
                <w:spacing w:val="-8"/>
                <w:sz w:val="24"/>
                <w:szCs w:val="24"/>
                <w:lang w:val="en-US" w:eastAsia="zh-CN"/>
              </w:rPr>
            </w:pPr>
            <w:r>
              <w:rPr>
                <w:rFonts w:hint="eastAsia" w:ascii="仿宋_GB2312" w:hAnsi="仿宋_GB2312" w:eastAsia="仿宋_GB2312" w:cs="仿宋_GB2312"/>
                <w:spacing w:val="-8"/>
                <w:sz w:val="24"/>
                <w:szCs w:val="24"/>
                <w:lang w:val="en-US" w:eastAsia="zh-CN"/>
              </w:rPr>
              <w:t>81</w:t>
            </w:r>
          </w:p>
        </w:tc>
        <w:tc>
          <w:tcPr>
            <w:tcW w:w="2355" w:type="dxa"/>
            <w:shd w:val="clear" w:color="auto" w:fill="auto"/>
            <w:vAlign w:val="center"/>
          </w:tcPr>
          <w:p w14:paraId="1757E186">
            <w:pPr>
              <w:keepNext w:val="0"/>
              <w:keepLines w:val="0"/>
              <w:pageBreakBefore w:val="0"/>
              <w:widowControl w:val="0"/>
              <w:kinsoku/>
              <w:wordWrap/>
              <w:overflowPunct/>
              <w:topLinePunct w:val="0"/>
              <w:autoSpaceDE/>
              <w:autoSpaceDN/>
              <w:bidi w:val="0"/>
              <w:spacing w:before="68" w:line="320" w:lineRule="exact"/>
              <w:ind w:left="240" w:leftChars="100" w:right="127" w:rightChars="53" w:firstLine="0" w:firstLineChars="0"/>
              <w:jc w:val="center"/>
              <w:rPr>
                <w:rFonts w:hint="eastAsia" w:ascii="宋体" w:hAnsi="宋体" w:eastAsia="宋体" w:cs="宋体"/>
                <w:spacing w:val="-8"/>
                <w:kern w:val="2"/>
                <w:sz w:val="21"/>
                <w:szCs w:val="21"/>
                <w:lang w:val="en-US" w:eastAsia="zh-CN" w:bidi="ar-SA"/>
              </w:rPr>
            </w:pPr>
            <w:r>
              <w:rPr>
                <w:rFonts w:hint="eastAsia" w:ascii="宋体" w:hAnsi="宋体" w:eastAsia="宋体" w:cs="宋体"/>
                <w:spacing w:val="-8"/>
                <w:sz w:val="21"/>
                <w:szCs w:val="21"/>
                <w:lang w:val="en-US" w:eastAsia="zh-CN"/>
              </w:rPr>
              <w:t>对土壤污染重点监管单位未按照规定将土壤污染防治工作方案报地方人民政府生态环境主管部门备案等行为的行政处罚</w:t>
            </w:r>
          </w:p>
        </w:tc>
        <w:tc>
          <w:tcPr>
            <w:tcW w:w="1094" w:type="dxa"/>
            <w:shd w:val="clear" w:color="auto" w:fill="auto"/>
            <w:vAlign w:val="center"/>
          </w:tcPr>
          <w:p w14:paraId="17BE627B">
            <w:pPr>
              <w:keepNext w:val="0"/>
              <w:keepLines w:val="0"/>
              <w:pageBreakBefore w:val="0"/>
              <w:widowControl w:val="0"/>
              <w:kinsoku/>
              <w:wordWrap/>
              <w:overflowPunct/>
              <w:topLinePunct w:val="0"/>
              <w:autoSpaceDE/>
              <w:autoSpaceDN/>
              <w:bidi w:val="0"/>
              <w:spacing w:before="68" w:line="320" w:lineRule="exact"/>
              <w:ind w:left="0" w:leftChars="0" w:firstLine="0" w:firstLineChars="0"/>
              <w:jc w:val="center"/>
              <w:rPr>
                <w:rFonts w:hint="eastAsia" w:ascii="仿宋_GB2312" w:hAnsi="仿宋_GB2312" w:eastAsia="仿宋_GB2312" w:cs="仿宋_GB2312"/>
                <w:spacing w:val="-8"/>
                <w:kern w:val="2"/>
                <w:sz w:val="24"/>
                <w:szCs w:val="24"/>
                <w:lang w:val="en-US" w:eastAsia="zh-CN" w:bidi="ar-SA"/>
              </w:rPr>
            </w:pPr>
            <w:r>
              <w:rPr>
                <w:rFonts w:hint="eastAsia" w:ascii="仿宋_GB2312" w:hAnsi="仿宋_GB2312" w:eastAsia="仿宋_GB2312" w:cs="仿宋_GB2312"/>
                <w:spacing w:val="-8"/>
                <w:sz w:val="24"/>
                <w:szCs w:val="24"/>
                <w:lang w:val="en-US" w:eastAsia="zh-CN"/>
              </w:rPr>
              <w:t>行政处罚</w:t>
            </w:r>
          </w:p>
        </w:tc>
        <w:tc>
          <w:tcPr>
            <w:tcW w:w="8317" w:type="dxa"/>
            <w:shd w:val="clear" w:color="auto" w:fill="auto"/>
            <w:vAlign w:val="top"/>
          </w:tcPr>
          <w:p w14:paraId="4E2EAD8E">
            <w:pPr>
              <w:keepNext w:val="0"/>
              <w:keepLines w:val="0"/>
              <w:pageBreakBefore w:val="0"/>
              <w:widowControl w:val="0"/>
              <w:suppressLineNumbers w:val="0"/>
              <w:kinsoku/>
              <w:wordWrap/>
              <w:overflowPunct/>
              <w:topLinePunct w:val="0"/>
              <w:autoSpaceDE/>
              <w:autoSpaceDN/>
              <w:bidi w:val="0"/>
              <w:adjustRightInd/>
              <w:snapToGrid/>
              <w:spacing w:after="0" w:afterLines="-2147483648" w:line="320" w:lineRule="exact"/>
              <w:ind w:left="240" w:leftChars="100" w:firstLine="420" w:firstLineChars="200"/>
              <w:jc w:val="both"/>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中华人民共和国土壤污染防治法》第九十五条违反本法规定，有下列行为之一的，由地方人民政府有关部门责令改正；拒不改正的，处一万元以上五万元以下的罚款：（一）土壤污染重点监管单位未按照规定将土壤污染防治工作方案报地方人民政府生态环境、工业和信息化主管部门备案的；（二）土壤污染责任人或者土地使用权人未按照规定将修复方案、效果评估报告报地方人民政府生态环境、农业农村、林业草原主管部门备案的；（三）土地使用权人未按照规定将土壤污染状况调查报告报地方人民政府生态环境主管部门备案的。（《农业综合行政执法事项指导目录（2020年版）》第221项明确第（二）项农用地污染修复方案、效果评估报告未向农业农村部门备案的行政处罚主体为农业农村部门，此处的生态环境部门的执法范围为建设用地）</w:t>
            </w:r>
          </w:p>
        </w:tc>
        <w:tc>
          <w:tcPr>
            <w:tcW w:w="1129" w:type="dxa"/>
            <w:shd w:val="clear" w:color="auto" w:fill="auto"/>
            <w:vAlign w:val="top"/>
          </w:tcPr>
          <w:p w14:paraId="336F9587">
            <w:pPr>
              <w:keepNext w:val="0"/>
              <w:keepLines w:val="0"/>
              <w:pageBreakBefore w:val="0"/>
              <w:widowControl w:val="0"/>
              <w:kinsoku/>
              <w:wordWrap/>
              <w:overflowPunct/>
              <w:topLinePunct w:val="0"/>
              <w:autoSpaceDE/>
              <w:autoSpaceDN/>
              <w:bidi w:val="0"/>
              <w:spacing w:before="69" w:line="320" w:lineRule="exact"/>
              <w:ind w:left="49" w:leftChars="0" w:right="26" w:rightChars="0" w:firstLine="404" w:firstLineChars="200"/>
              <w:rPr>
                <w:rFonts w:ascii="宋体" w:hAnsi="宋体" w:eastAsia="宋体" w:cs="宋体"/>
                <w:spacing w:val="-4"/>
                <w:sz w:val="21"/>
                <w:szCs w:val="21"/>
              </w:rPr>
            </w:pPr>
          </w:p>
        </w:tc>
        <w:tc>
          <w:tcPr>
            <w:tcW w:w="990" w:type="dxa"/>
            <w:gridSpan w:val="2"/>
            <w:shd w:val="clear" w:color="auto" w:fill="auto"/>
            <w:vAlign w:val="top"/>
          </w:tcPr>
          <w:p w14:paraId="74895B05">
            <w:pPr>
              <w:keepNext w:val="0"/>
              <w:keepLines w:val="0"/>
              <w:pageBreakBefore w:val="0"/>
              <w:widowControl w:val="0"/>
              <w:kinsoku/>
              <w:wordWrap/>
              <w:overflowPunct/>
              <w:topLinePunct w:val="0"/>
              <w:autoSpaceDE/>
              <w:autoSpaceDN/>
              <w:bidi w:val="0"/>
              <w:spacing w:before="69" w:line="320" w:lineRule="exact"/>
              <w:ind w:left="204" w:leftChars="0" w:right="59" w:rightChars="0" w:firstLine="404" w:firstLineChars="200"/>
              <w:rPr>
                <w:rFonts w:ascii="宋体" w:hAnsi="宋体" w:eastAsia="宋体" w:cs="宋体"/>
                <w:spacing w:val="-4"/>
                <w:sz w:val="21"/>
                <w:szCs w:val="21"/>
              </w:rPr>
            </w:pPr>
          </w:p>
        </w:tc>
      </w:tr>
      <w:tr w14:paraId="0FCEA5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6" w:hRule="atLeast"/>
        </w:trPr>
        <w:tc>
          <w:tcPr>
            <w:tcW w:w="557" w:type="dxa"/>
            <w:shd w:val="clear" w:color="auto" w:fill="auto"/>
            <w:vAlign w:val="center"/>
          </w:tcPr>
          <w:p w14:paraId="22C3C4E2">
            <w:pPr>
              <w:keepNext w:val="0"/>
              <w:keepLines w:val="0"/>
              <w:pageBreakBefore w:val="0"/>
              <w:widowControl w:val="0"/>
              <w:kinsoku/>
              <w:wordWrap/>
              <w:overflowPunct/>
              <w:topLinePunct w:val="0"/>
              <w:autoSpaceDE/>
              <w:autoSpaceDN/>
              <w:bidi w:val="0"/>
              <w:spacing w:before="68" w:line="320" w:lineRule="exact"/>
              <w:ind w:left="0" w:leftChars="0" w:firstLine="0" w:firstLineChars="0"/>
              <w:jc w:val="center"/>
              <w:rPr>
                <w:rFonts w:hint="eastAsia" w:ascii="仿宋_GB2312" w:hAnsi="仿宋_GB2312" w:eastAsia="仿宋_GB2312" w:cs="仿宋_GB2312"/>
                <w:spacing w:val="-8"/>
                <w:sz w:val="24"/>
                <w:szCs w:val="24"/>
                <w:lang w:val="en-US" w:eastAsia="zh-CN"/>
              </w:rPr>
            </w:pPr>
            <w:r>
              <w:rPr>
                <w:rFonts w:hint="eastAsia" w:ascii="仿宋_GB2312" w:hAnsi="仿宋_GB2312" w:eastAsia="仿宋_GB2312" w:cs="仿宋_GB2312"/>
                <w:spacing w:val="-8"/>
                <w:sz w:val="24"/>
                <w:szCs w:val="24"/>
                <w:lang w:val="en-US" w:eastAsia="zh-CN"/>
              </w:rPr>
              <w:t>82</w:t>
            </w:r>
          </w:p>
        </w:tc>
        <w:tc>
          <w:tcPr>
            <w:tcW w:w="2355" w:type="dxa"/>
            <w:shd w:val="clear" w:color="auto" w:fill="auto"/>
            <w:vAlign w:val="center"/>
          </w:tcPr>
          <w:p w14:paraId="5130BDBA">
            <w:pPr>
              <w:keepNext w:val="0"/>
              <w:keepLines w:val="0"/>
              <w:pageBreakBefore w:val="0"/>
              <w:widowControl w:val="0"/>
              <w:kinsoku/>
              <w:wordWrap/>
              <w:overflowPunct/>
              <w:topLinePunct w:val="0"/>
              <w:autoSpaceDE/>
              <w:autoSpaceDN/>
              <w:bidi w:val="0"/>
              <w:spacing w:before="68" w:line="320" w:lineRule="exact"/>
              <w:ind w:left="240" w:leftChars="100" w:right="127" w:rightChars="53" w:firstLine="0" w:firstLineChars="0"/>
              <w:jc w:val="center"/>
              <w:rPr>
                <w:rFonts w:hint="eastAsia" w:ascii="宋体" w:hAnsi="宋体" w:eastAsia="宋体" w:cs="宋体"/>
                <w:spacing w:val="-8"/>
                <w:kern w:val="2"/>
                <w:sz w:val="21"/>
                <w:szCs w:val="21"/>
                <w:lang w:val="en-US" w:eastAsia="zh-CN" w:bidi="ar-SA"/>
              </w:rPr>
            </w:pPr>
            <w:r>
              <w:rPr>
                <w:rFonts w:hint="eastAsia" w:ascii="宋体" w:hAnsi="宋体" w:eastAsia="宋体" w:cs="宋体"/>
                <w:spacing w:val="-8"/>
                <w:sz w:val="21"/>
                <w:szCs w:val="21"/>
                <w:lang w:val="en-US" w:eastAsia="zh-CN"/>
              </w:rPr>
              <w:t>对新建电厂兴建永久性储灰场对环境造成污染等行为的行政处罚</w:t>
            </w:r>
          </w:p>
        </w:tc>
        <w:tc>
          <w:tcPr>
            <w:tcW w:w="1094" w:type="dxa"/>
            <w:shd w:val="clear" w:color="auto" w:fill="auto"/>
            <w:vAlign w:val="center"/>
          </w:tcPr>
          <w:p w14:paraId="278B274E">
            <w:pPr>
              <w:keepNext w:val="0"/>
              <w:keepLines w:val="0"/>
              <w:pageBreakBefore w:val="0"/>
              <w:widowControl w:val="0"/>
              <w:kinsoku/>
              <w:wordWrap/>
              <w:overflowPunct/>
              <w:topLinePunct w:val="0"/>
              <w:autoSpaceDE/>
              <w:autoSpaceDN/>
              <w:bidi w:val="0"/>
              <w:spacing w:before="68" w:line="320" w:lineRule="exact"/>
              <w:ind w:left="0" w:leftChars="0" w:firstLine="0" w:firstLineChars="0"/>
              <w:jc w:val="center"/>
              <w:rPr>
                <w:rFonts w:hint="eastAsia" w:ascii="仿宋_GB2312" w:hAnsi="仿宋_GB2312" w:eastAsia="仿宋_GB2312" w:cs="仿宋_GB2312"/>
                <w:spacing w:val="-8"/>
                <w:kern w:val="2"/>
                <w:sz w:val="24"/>
                <w:szCs w:val="24"/>
                <w:lang w:val="en-US" w:eastAsia="zh-CN" w:bidi="ar-SA"/>
              </w:rPr>
            </w:pPr>
            <w:r>
              <w:rPr>
                <w:rFonts w:hint="eastAsia" w:ascii="仿宋_GB2312" w:hAnsi="仿宋_GB2312" w:eastAsia="仿宋_GB2312" w:cs="仿宋_GB2312"/>
                <w:spacing w:val="-8"/>
                <w:sz w:val="24"/>
                <w:szCs w:val="24"/>
                <w:lang w:val="en-US" w:eastAsia="zh-CN"/>
              </w:rPr>
              <w:t>行政处罚</w:t>
            </w:r>
          </w:p>
        </w:tc>
        <w:tc>
          <w:tcPr>
            <w:tcW w:w="8317" w:type="dxa"/>
            <w:shd w:val="clear" w:color="auto" w:fill="auto"/>
            <w:vAlign w:val="top"/>
          </w:tcPr>
          <w:p w14:paraId="746C513C">
            <w:pPr>
              <w:keepNext w:val="0"/>
              <w:keepLines w:val="0"/>
              <w:pageBreakBefore w:val="0"/>
              <w:widowControl w:val="0"/>
              <w:suppressLineNumbers w:val="0"/>
              <w:kinsoku/>
              <w:wordWrap/>
              <w:overflowPunct/>
              <w:topLinePunct w:val="0"/>
              <w:autoSpaceDE/>
              <w:autoSpaceDN/>
              <w:bidi w:val="0"/>
              <w:adjustRightInd/>
              <w:snapToGrid/>
              <w:spacing w:after="0" w:afterLines="-2147483648" w:line="320" w:lineRule="exact"/>
              <w:ind w:left="240" w:leftChars="100" w:firstLine="420" w:firstLineChars="200"/>
              <w:jc w:val="both"/>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粉煤灰综合利用管理办法》第十一条新建电厂应综合考虑周边粉煤灰利用能力，以及节约土地、防止环境污染，避免建设永久性粉煤灰堆场（库），确需建设的，原则上占地规模按不超过3年储灰量设计，且粉煤灰堆场（库）选址、设计、建设及运行管理应当符合《一般工业固体废物贮存、处置场污染控制标准》（GB18599-2001）等相关要求。</w:t>
            </w:r>
          </w:p>
          <w:p w14:paraId="4B5B197E">
            <w:pPr>
              <w:keepNext w:val="0"/>
              <w:keepLines w:val="0"/>
              <w:pageBreakBefore w:val="0"/>
              <w:widowControl w:val="0"/>
              <w:suppressLineNumbers w:val="0"/>
              <w:kinsoku/>
              <w:wordWrap/>
              <w:overflowPunct/>
              <w:topLinePunct w:val="0"/>
              <w:autoSpaceDE/>
              <w:autoSpaceDN/>
              <w:bidi w:val="0"/>
              <w:adjustRightInd/>
              <w:snapToGrid/>
              <w:spacing w:after="0" w:afterLines="-2147483648" w:line="320" w:lineRule="exact"/>
              <w:ind w:left="240" w:leftChars="100" w:firstLine="420" w:firstLineChars="200"/>
              <w:jc w:val="both"/>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第二十三条新建电厂兴建永久性储灰场违反第十一条规定的，由国土资源等部门监督其限期整改。对环境造成污染的，由环境保护部门依法予以处罚。</w:t>
            </w:r>
          </w:p>
        </w:tc>
        <w:tc>
          <w:tcPr>
            <w:tcW w:w="1129" w:type="dxa"/>
            <w:shd w:val="clear" w:color="auto" w:fill="auto"/>
            <w:vAlign w:val="top"/>
          </w:tcPr>
          <w:p w14:paraId="7C49E759">
            <w:pPr>
              <w:keepNext w:val="0"/>
              <w:keepLines w:val="0"/>
              <w:pageBreakBefore w:val="0"/>
              <w:widowControl w:val="0"/>
              <w:kinsoku/>
              <w:wordWrap/>
              <w:overflowPunct/>
              <w:topLinePunct w:val="0"/>
              <w:autoSpaceDE/>
              <w:autoSpaceDN/>
              <w:bidi w:val="0"/>
              <w:spacing w:before="69" w:line="320" w:lineRule="exact"/>
              <w:ind w:left="49" w:leftChars="0" w:right="26" w:rightChars="0" w:firstLine="404" w:firstLineChars="200"/>
              <w:rPr>
                <w:rFonts w:ascii="宋体" w:hAnsi="宋体" w:eastAsia="宋体" w:cs="宋体"/>
                <w:spacing w:val="-4"/>
                <w:sz w:val="21"/>
                <w:szCs w:val="21"/>
              </w:rPr>
            </w:pPr>
          </w:p>
        </w:tc>
        <w:tc>
          <w:tcPr>
            <w:tcW w:w="990" w:type="dxa"/>
            <w:gridSpan w:val="2"/>
            <w:shd w:val="clear" w:color="auto" w:fill="auto"/>
            <w:vAlign w:val="top"/>
          </w:tcPr>
          <w:p w14:paraId="42A36183">
            <w:pPr>
              <w:keepNext w:val="0"/>
              <w:keepLines w:val="0"/>
              <w:pageBreakBefore w:val="0"/>
              <w:widowControl w:val="0"/>
              <w:kinsoku/>
              <w:wordWrap/>
              <w:overflowPunct/>
              <w:topLinePunct w:val="0"/>
              <w:autoSpaceDE/>
              <w:autoSpaceDN/>
              <w:bidi w:val="0"/>
              <w:spacing w:before="69" w:line="320" w:lineRule="exact"/>
              <w:ind w:left="204" w:leftChars="0" w:right="59" w:rightChars="0" w:firstLine="404" w:firstLineChars="200"/>
              <w:rPr>
                <w:rFonts w:ascii="宋体" w:hAnsi="宋体" w:eastAsia="宋体" w:cs="宋体"/>
                <w:spacing w:val="-4"/>
                <w:sz w:val="21"/>
                <w:szCs w:val="21"/>
              </w:rPr>
            </w:pPr>
          </w:p>
        </w:tc>
      </w:tr>
      <w:tr w14:paraId="72A597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6" w:hRule="atLeast"/>
        </w:trPr>
        <w:tc>
          <w:tcPr>
            <w:tcW w:w="557" w:type="dxa"/>
            <w:shd w:val="clear" w:color="auto" w:fill="auto"/>
            <w:vAlign w:val="center"/>
          </w:tcPr>
          <w:p w14:paraId="7630201A">
            <w:pPr>
              <w:keepNext w:val="0"/>
              <w:keepLines w:val="0"/>
              <w:pageBreakBefore w:val="0"/>
              <w:widowControl w:val="0"/>
              <w:kinsoku/>
              <w:wordWrap/>
              <w:overflowPunct/>
              <w:topLinePunct w:val="0"/>
              <w:autoSpaceDE/>
              <w:autoSpaceDN/>
              <w:bidi w:val="0"/>
              <w:spacing w:before="68" w:line="320" w:lineRule="exact"/>
              <w:ind w:left="0" w:leftChars="0" w:firstLine="0" w:firstLineChars="0"/>
              <w:jc w:val="center"/>
              <w:rPr>
                <w:rFonts w:hint="eastAsia" w:ascii="仿宋_GB2312" w:hAnsi="仿宋_GB2312" w:eastAsia="仿宋_GB2312" w:cs="仿宋_GB2312"/>
                <w:spacing w:val="-8"/>
                <w:sz w:val="24"/>
                <w:szCs w:val="24"/>
                <w:lang w:val="en-US" w:eastAsia="zh-CN"/>
              </w:rPr>
            </w:pPr>
            <w:r>
              <w:rPr>
                <w:rFonts w:hint="eastAsia" w:ascii="仿宋_GB2312" w:hAnsi="仿宋_GB2312" w:eastAsia="仿宋_GB2312" w:cs="仿宋_GB2312"/>
                <w:spacing w:val="-8"/>
                <w:sz w:val="24"/>
                <w:szCs w:val="24"/>
                <w:lang w:val="en-US" w:eastAsia="zh-CN"/>
              </w:rPr>
              <w:t>83</w:t>
            </w:r>
          </w:p>
        </w:tc>
        <w:tc>
          <w:tcPr>
            <w:tcW w:w="2355" w:type="dxa"/>
            <w:shd w:val="clear" w:color="auto" w:fill="auto"/>
            <w:vAlign w:val="center"/>
          </w:tcPr>
          <w:p w14:paraId="0C1D02D1">
            <w:pPr>
              <w:keepNext w:val="0"/>
              <w:keepLines w:val="0"/>
              <w:pageBreakBefore w:val="0"/>
              <w:widowControl w:val="0"/>
              <w:kinsoku/>
              <w:wordWrap/>
              <w:overflowPunct/>
              <w:topLinePunct w:val="0"/>
              <w:autoSpaceDE/>
              <w:autoSpaceDN/>
              <w:bidi w:val="0"/>
              <w:spacing w:before="68" w:line="320" w:lineRule="exact"/>
              <w:ind w:left="240" w:leftChars="100" w:right="127" w:rightChars="53" w:firstLine="0" w:firstLineChars="0"/>
              <w:jc w:val="center"/>
              <w:rPr>
                <w:rFonts w:hint="eastAsia" w:ascii="宋体" w:hAnsi="宋体" w:eastAsia="宋体" w:cs="宋体"/>
                <w:spacing w:val="-8"/>
                <w:kern w:val="2"/>
                <w:sz w:val="21"/>
                <w:szCs w:val="21"/>
                <w:lang w:val="en-US" w:eastAsia="zh-CN" w:bidi="ar-SA"/>
              </w:rPr>
            </w:pPr>
            <w:r>
              <w:rPr>
                <w:rFonts w:hint="eastAsia" w:ascii="宋体" w:hAnsi="宋体" w:eastAsia="宋体" w:cs="宋体"/>
                <w:spacing w:val="-8"/>
                <w:sz w:val="21"/>
                <w:szCs w:val="21"/>
                <w:lang w:val="en-US" w:eastAsia="zh-CN"/>
              </w:rPr>
              <w:t>对不设置危险废物识别标志等行为的行政处罚</w:t>
            </w:r>
          </w:p>
        </w:tc>
        <w:tc>
          <w:tcPr>
            <w:tcW w:w="1094" w:type="dxa"/>
            <w:shd w:val="clear" w:color="auto" w:fill="auto"/>
            <w:vAlign w:val="center"/>
          </w:tcPr>
          <w:p w14:paraId="41D2C9FB">
            <w:pPr>
              <w:keepNext w:val="0"/>
              <w:keepLines w:val="0"/>
              <w:pageBreakBefore w:val="0"/>
              <w:widowControl w:val="0"/>
              <w:kinsoku/>
              <w:wordWrap/>
              <w:overflowPunct/>
              <w:topLinePunct w:val="0"/>
              <w:autoSpaceDE/>
              <w:autoSpaceDN/>
              <w:bidi w:val="0"/>
              <w:spacing w:before="68" w:line="320" w:lineRule="exact"/>
              <w:ind w:left="0" w:leftChars="0" w:firstLine="0" w:firstLineChars="0"/>
              <w:jc w:val="center"/>
              <w:rPr>
                <w:rFonts w:hint="eastAsia" w:ascii="仿宋_GB2312" w:hAnsi="仿宋_GB2312" w:eastAsia="仿宋_GB2312" w:cs="仿宋_GB2312"/>
                <w:spacing w:val="-8"/>
                <w:kern w:val="2"/>
                <w:sz w:val="24"/>
                <w:szCs w:val="24"/>
                <w:lang w:val="en-US" w:eastAsia="zh-CN" w:bidi="ar-SA"/>
              </w:rPr>
            </w:pPr>
            <w:r>
              <w:rPr>
                <w:rFonts w:hint="eastAsia" w:ascii="仿宋_GB2312" w:hAnsi="仿宋_GB2312" w:eastAsia="仿宋_GB2312" w:cs="仿宋_GB2312"/>
                <w:spacing w:val="-8"/>
                <w:sz w:val="24"/>
                <w:szCs w:val="24"/>
                <w:lang w:val="en-US" w:eastAsia="zh-CN"/>
              </w:rPr>
              <w:t>行政处罚</w:t>
            </w:r>
          </w:p>
        </w:tc>
        <w:tc>
          <w:tcPr>
            <w:tcW w:w="8317" w:type="dxa"/>
            <w:shd w:val="clear" w:color="auto" w:fill="auto"/>
            <w:vAlign w:val="top"/>
          </w:tcPr>
          <w:p w14:paraId="1EC5A2B9">
            <w:pPr>
              <w:keepNext w:val="0"/>
              <w:keepLines w:val="0"/>
              <w:pageBreakBefore w:val="0"/>
              <w:widowControl w:val="0"/>
              <w:suppressLineNumbers w:val="0"/>
              <w:kinsoku/>
              <w:wordWrap/>
              <w:overflowPunct/>
              <w:topLinePunct w:val="0"/>
              <w:autoSpaceDE/>
              <w:autoSpaceDN/>
              <w:bidi w:val="0"/>
              <w:adjustRightInd/>
              <w:snapToGrid/>
              <w:spacing w:after="0" w:afterLines="-2147483648" w:line="320" w:lineRule="exact"/>
              <w:ind w:left="240" w:leftChars="100" w:firstLine="420" w:firstLineChars="200"/>
              <w:jc w:val="both"/>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中华人民共和国固体废物污染环境防治法》第一百一十二条违反本法规定，有下列行为之一，由生态环境主管部门责令改正，处以罚款，没收违法所得；情节严重的，报经有批准权的人民政府批准，可以责令停业或者关闭：（一）未按照规定设置危险废物识别标志的；（二）未按照国家有关规定制定危险废物管理计划或者申报危险废物有关资料的；（三）擅自倾倒、堆放危险废物的；（四）将危险废物提供或者委托给无许可证的单位或者其他生产经营者从事经营活动的；（五）未按照国家有关规定填写、运行危险废物转移联单或者未经批准擅自转移危险废物的；（六）未按照国家环境保护标准贮存、利用、处置危险废物或者将危险废物混入非危险废物中贮存的；（七）未经安全性处置，混合收集、贮存、运输、处置具有不相容性质的危险废物的；（八）将危险废物与旅客在同一运输工具上载运的；（九）未经消除污染处理，将收集、贮存、运输、处置危险废物的场所、设施、设备和容器、包装物及其他物品转作他用的；（十）未采取相应防范措施，造成危险废物扬散、流失、渗漏或者其他环境污染的；（十一）在运输过程中沿途丢弃、遗撒危险废物的；（十二）未制定危险废物意外事故防范措施和应急预案的；（十三）未按照国家有关规定建立危险废物管理台账并如实记录的。有前款第一项、第二项、第五项、第六项、第七项、第八项、第九项、第十二项、第十三项行为之一，处十万元以上一百万元以下的罚款；有前款第三项、第四项、第十项、第十一项行为之一，处所需处置费用三倍以上五倍以下的罚款，所需处置费用不足二十万元的，按二十万元计算。</w:t>
            </w:r>
          </w:p>
        </w:tc>
        <w:tc>
          <w:tcPr>
            <w:tcW w:w="1129" w:type="dxa"/>
            <w:shd w:val="clear" w:color="auto" w:fill="auto"/>
            <w:vAlign w:val="top"/>
          </w:tcPr>
          <w:p w14:paraId="5AB5B144">
            <w:pPr>
              <w:keepNext w:val="0"/>
              <w:keepLines w:val="0"/>
              <w:pageBreakBefore w:val="0"/>
              <w:widowControl w:val="0"/>
              <w:kinsoku/>
              <w:wordWrap/>
              <w:overflowPunct/>
              <w:topLinePunct w:val="0"/>
              <w:autoSpaceDE/>
              <w:autoSpaceDN/>
              <w:bidi w:val="0"/>
              <w:spacing w:before="69" w:line="320" w:lineRule="exact"/>
              <w:ind w:left="49" w:leftChars="0" w:right="26" w:rightChars="0" w:firstLine="404" w:firstLineChars="200"/>
              <w:rPr>
                <w:rFonts w:ascii="宋体" w:hAnsi="宋体" w:eastAsia="宋体" w:cs="宋体"/>
                <w:spacing w:val="-4"/>
                <w:sz w:val="21"/>
                <w:szCs w:val="21"/>
              </w:rPr>
            </w:pPr>
          </w:p>
        </w:tc>
        <w:tc>
          <w:tcPr>
            <w:tcW w:w="990" w:type="dxa"/>
            <w:gridSpan w:val="2"/>
            <w:shd w:val="clear" w:color="auto" w:fill="auto"/>
            <w:vAlign w:val="top"/>
          </w:tcPr>
          <w:p w14:paraId="1820C97C">
            <w:pPr>
              <w:keepNext w:val="0"/>
              <w:keepLines w:val="0"/>
              <w:pageBreakBefore w:val="0"/>
              <w:widowControl w:val="0"/>
              <w:kinsoku/>
              <w:wordWrap/>
              <w:overflowPunct/>
              <w:topLinePunct w:val="0"/>
              <w:autoSpaceDE/>
              <w:autoSpaceDN/>
              <w:bidi w:val="0"/>
              <w:spacing w:before="69" w:line="320" w:lineRule="exact"/>
              <w:ind w:left="204" w:leftChars="0" w:right="59" w:rightChars="0" w:firstLine="404" w:firstLineChars="200"/>
              <w:rPr>
                <w:rFonts w:ascii="宋体" w:hAnsi="宋体" w:eastAsia="宋体" w:cs="宋体"/>
                <w:spacing w:val="-4"/>
                <w:sz w:val="21"/>
                <w:szCs w:val="21"/>
              </w:rPr>
            </w:pPr>
          </w:p>
        </w:tc>
      </w:tr>
      <w:tr w14:paraId="593A7B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6" w:hRule="atLeast"/>
        </w:trPr>
        <w:tc>
          <w:tcPr>
            <w:tcW w:w="557" w:type="dxa"/>
            <w:shd w:val="clear" w:color="auto" w:fill="auto"/>
            <w:vAlign w:val="center"/>
          </w:tcPr>
          <w:p w14:paraId="15126438">
            <w:pPr>
              <w:keepNext w:val="0"/>
              <w:keepLines w:val="0"/>
              <w:pageBreakBefore w:val="0"/>
              <w:widowControl w:val="0"/>
              <w:kinsoku/>
              <w:wordWrap/>
              <w:overflowPunct/>
              <w:topLinePunct w:val="0"/>
              <w:autoSpaceDE/>
              <w:autoSpaceDN/>
              <w:bidi w:val="0"/>
              <w:spacing w:before="68" w:line="320" w:lineRule="exact"/>
              <w:ind w:left="0" w:leftChars="0" w:firstLine="0" w:firstLineChars="0"/>
              <w:jc w:val="center"/>
              <w:rPr>
                <w:rFonts w:hint="eastAsia" w:ascii="仿宋_GB2312" w:hAnsi="仿宋_GB2312" w:eastAsia="仿宋_GB2312" w:cs="仿宋_GB2312"/>
                <w:spacing w:val="-8"/>
                <w:sz w:val="24"/>
                <w:szCs w:val="24"/>
                <w:lang w:val="en-US" w:eastAsia="zh-CN"/>
              </w:rPr>
            </w:pPr>
            <w:r>
              <w:rPr>
                <w:rFonts w:hint="eastAsia" w:ascii="仿宋_GB2312" w:hAnsi="仿宋_GB2312" w:eastAsia="仿宋_GB2312" w:cs="仿宋_GB2312"/>
                <w:spacing w:val="-8"/>
                <w:sz w:val="24"/>
                <w:szCs w:val="24"/>
                <w:lang w:val="en-US" w:eastAsia="zh-CN"/>
              </w:rPr>
              <w:t>84</w:t>
            </w:r>
          </w:p>
        </w:tc>
        <w:tc>
          <w:tcPr>
            <w:tcW w:w="2355" w:type="dxa"/>
            <w:shd w:val="clear" w:color="auto" w:fill="auto"/>
            <w:vAlign w:val="center"/>
          </w:tcPr>
          <w:p w14:paraId="3EB1B3DF">
            <w:pPr>
              <w:keepNext w:val="0"/>
              <w:keepLines w:val="0"/>
              <w:pageBreakBefore w:val="0"/>
              <w:widowControl w:val="0"/>
              <w:kinsoku/>
              <w:wordWrap/>
              <w:overflowPunct/>
              <w:topLinePunct w:val="0"/>
              <w:autoSpaceDE/>
              <w:autoSpaceDN/>
              <w:bidi w:val="0"/>
              <w:spacing w:before="68" w:line="320" w:lineRule="exact"/>
              <w:ind w:left="240" w:leftChars="100" w:right="127" w:rightChars="53" w:firstLine="0" w:firstLineChars="0"/>
              <w:jc w:val="center"/>
              <w:rPr>
                <w:rFonts w:hint="eastAsia" w:ascii="宋体" w:hAnsi="宋体" w:eastAsia="宋体" w:cs="宋体"/>
                <w:spacing w:val="-8"/>
                <w:kern w:val="2"/>
                <w:sz w:val="21"/>
                <w:szCs w:val="21"/>
                <w:lang w:val="en-US" w:eastAsia="zh-CN" w:bidi="ar-SA"/>
              </w:rPr>
            </w:pPr>
            <w:r>
              <w:rPr>
                <w:rFonts w:hint="eastAsia" w:ascii="宋体" w:hAnsi="宋体" w:eastAsia="宋体" w:cs="宋体"/>
                <w:spacing w:val="-8"/>
                <w:sz w:val="21"/>
                <w:szCs w:val="21"/>
                <w:lang w:val="en-US" w:eastAsia="zh-CN"/>
              </w:rPr>
              <w:t>对危险废物产生者不处置其产生的危险废物又不承担依法应当承担的处置费用行为的行政处罚</w:t>
            </w:r>
          </w:p>
        </w:tc>
        <w:tc>
          <w:tcPr>
            <w:tcW w:w="1094" w:type="dxa"/>
            <w:shd w:val="clear" w:color="auto" w:fill="auto"/>
            <w:vAlign w:val="center"/>
          </w:tcPr>
          <w:p w14:paraId="08CCE18D">
            <w:pPr>
              <w:keepNext w:val="0"/>
              <w:keepLines w:val="0"/>
              <w:pageBreakBefore w:val="0"/>
              <w:widowControl w:val="0"/>
              <w:kinsoku/>
              <w:wordWrap/>
              <w:overflowPunct/>
              <w:topLinePunct w:val="0"/>
              <w:autoSpaceDE/>
              <w:autoSpaceDN/>
              <w:bidi w:val="0"/>
              <w:spacing w:before="68" w:line="320" w:lineRule="exact"/>
              <w:ind w:left="0" w:leftChars="0" w:firstLine="0" w:firstLineChars="0"/>
              <w:jc w:val="center"/>
              <w:rPr>
                <w:rFonts w:hint="eastAsia" w:ascii="仿宋_GB2312" w:hAnsi="仿宋_GB2312" w:eastAsia="仿宋_GB2312" w:cs="仿宋_GB2312"/>
                <w:spacing w:val="-8"/>
                <w:kern w:val="2"/>
                <w:sz w:val="24"/>
                <w:szCs w:val="24"/>
                <w:lang w:val="en-US" w:eastAsia="zh-CN" w:bidi="ar-SA"/>
              </w:rPr>
            </w:pPr>
            <w:r>
              <w:rPr>
                <w:rFonts w:hint="eastAsia" w:ascii="仿宋_GB2312" w:hAnsi="仿宋_GB2312" w:eastAsia="仿宋_GB2312" w:cs="仿宋_GB2312"/>
                <w:spacing w:val="-8"/>
                <w:sz w:val="24"/>
                <w:szCs w:val="24"/>
                <w:lang w:val="en-US" w:eastAsia="zh-CN"/>
              </w:rPr>
              <w:t>行政处罚</w:t>
            </w:r>
          </w:p>
        </w:tc>
        <w:tc>
          <w:tcPr>
            <w:tcW w:w="8317" w:type="dxa"/>
            <w:shd w:val="clear" w:color="auto" w:fill="auto"/>
            <w:vAlign w:val="top"/>
          </w:tcPr>
          <w:p w14:paraId="2C19D39B">
            <w:pPr>
              <w:keepNext w:val="0"/>
              <w:keepLines w:val="0"/>
              <w:pageBreakBefore w:val="0"/>
              <w:widowControl w:val="0"/>
              <w:suppressLineNumbers w:val="0"/>
              <w:kinsoku/>
              <w:wordWrap/>
              <w:overflowPunct/>
              <w:topLinePunct w:val="0"/>
              <w:autoSpaceDE/>
              <w:autoSpaceDN/>
              <w:bidi w:val="0"/>
              <w:adjustRightInd/>
              <w:snapToGrid/>
              <w:spacing w:after="0" w:afterLines="-2147483648" w:line="320" w:lineRule="exact"/>
              <w:ind w:left="240" w:leftChars="100" w:firstLine="420" w:firstLineChars="200"/>
              <w:jc w:val="both"/>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中华人民共和国固体废物污染环境防治法》第一百一十三条违反本法规定，危险废物产生者未按照规定处置其产生的危险废物被责令改正后拒不改正的，由生态环境主管部门组织代为处置，处置费用由危险废物产生者承担；拒不承担代为处置费用的，处代为处置费用一倍以上三倍以下的罚款。</w:t>
            </w:r>
          </w:p>
        </w:tc>
        <w:tc>
          <w:tcPr>
            <w:tcW w:w="1129" w:type="dxa"/>
            <w:shd w:val="clear" w:color="auto" w:fill="auto"/>
            <w:vAlign w:val="top"/>
          </w:tcPr>
          <w:p w14:paraId="6CAB1E47">
            <w:pPr>
              <w:keepNext w:val="0"/>
              <w:keepLines w:val="0"/>
              <w:pageBreakBefore w:val="0"/>
              <w:widowControl w:val="0"/>
              <w:kinsoku/>
              <w:wordWrap/>
              <w:overflowPunct/>
              <w:topLinePunct w:val="0"/>
              <w:autoSpaceDE/>
              <w:autoSpaceDN/>
              <w:bidi w:val="0"/>
              <w:spacing w:before="69" w:line="320" w:lineRule="exact"/>
              <w:ind w:left="49" w:leftChars="0" w:right="26" w:rightChars="0" w:firstLine="404" w:firstLineChars="200"/>
              <w:rPr>
                <w:rFonts w:ascii="宋体" w:hAnsi="宋体" w:eastAsia="宋体" w:cs="宋体"/>
                <w:spacing w:val="-4"/>
                <w:sz w:val="21"/>
                <w:szCs w:val="21"/>
              </w:rPr>
            </w:pPr>
          </w:p>
        </w:tc>
        <w:tc>
          <w:tcPr>
            <w:tcW w:w="990" w:type="dxa"/>
            <w:gridSpan w:val="2"/>
            <w:shd w:val="clear" w:color="auto" w:fill="auto"/>
            <w:vAlign w:val="top"/>
          </w:tcPr>
          <w:p w14:paraId="02D5EDDB">
            <w:pPr>
              <w:keepNext w:val="0"/>
              <w:keepLines w:val="0"/>
              <w:pageBreakBefore w:val="0"/>
              <w:widowControl w:val="0"/>
              <w:kinsoku/>
              <w:wordWrap/>
              <w:overflowPunct/>
              <w:topLinePunct w:val="0"/>
              <w:autoSpaceDE/>
              <w:autoSpaceDN/>
              <w:bidi w:val="0"/>
              <w:spacing w:before="69" w:line="320" w:lineRule="exact"/>
              <w:ind w:left="204" w:leftChars="0" w:right="59" w:rightChars="0" w:firstLine="404" w:firstLineChars="200"/>
              <w:rPr>
                <w:rFonts w:ascii="宋体" w:hAnsi="宋体" w:eastAsia="宋体" w:cs="宋体"/>
                <w:spacing w:val="-4"/>
                <w:sz w:val="21"/>
                <w:szCs w:val="21"/>
              </w:rPr>
            </w:pPr>
          </w:p>
        </w:tc>
      </w:tr>
      <w:tr w14:paraId="30878A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6" w:hRule="atLeast"/>
        </w:trPr>
        <w:tc>
          <w:tcPr>
            <w:tcW w:w="557" w:type="dxa"/>
            <w:shd w:val="clear" w:color="auto" w:fill="auto"/>
            <w:vAlign w:val="center"/>
          </w:tcPr>
          <w:p w14:paraId="2DF401D5">
            <w:pPr>
              <w:keepNext w:val="0"/>
              <w:keepLines w:val="0"/>
              <w:pageBreakBefore w:val="0"/>
              <w:widowControl w:val="0"/>
              <w:kinsoku/>
              <w:wordWrap/>
              <w:overflowPunct/>
              <w:topLinePunct w:val="0"/>
              <w:autoSpaceDE/>
              <w:autoSpaceDN/>
              <w:bidi w:val="0"/>
              <w:spacing w:before="68" w:line="320" w:lineRule="exact"/>
              <w:ind w:left="0" w:leftChars="0" w:firstLine="0" w:firstLineChars="0"/>
              <w:jc w:val="center"/>
              <w:rPr>
                <w:rFonts w:hint="eastAsia" w:ascii="仿宋_GB2312" w:hAnsi="仿宋_GB2312" w:eastAsia="仿宋_GB2312" w:cs="仿宋_GB2312"/>
                <w:spacing w:val="-8"/>
                <w:sz w:val="24"/>
                <w:szCs w:val="24"/>
                <w:lang w:val="en-US" w:eastAsia="zh-CN"/>
              </w:rPr>
            </w:pPr>
            <w:r>
              <w:rPr>
                <w:rFonts w:hint="eastAsia" w:ascii="仿宋_GB2312" w:hAnsi="仿宋_GB2312" w:eastAsia="仿宋_GB2312" w:cs="仿宋_GB2312"/>
                <w:spacing w:val="-8"/>
                <w:sz w:val="24"/>
                <w:szCs w:val="24"/>
                <w:lang w:val="en-US" w:eastAsia="zh-CN"/>
              </w:rPr>
              <w:t>85</w:t>
            </w:r>
          </w:p>
        </w:tc>
        <w:tc>
          <w:tcPr>
            <w:tcW w:w="2355" w:type="dxa"/>
            <w:shd w:val="clear" w:color="auto" w:fill="auto"/>
            <w:vAlign w:val="center"/>
          </w:tcPr>
          <w:p w14:paraId="0AA0934F">
            <w:pPr>
              <w:keepNext w:val="0"/>
              <w:keepLines w:val="0"/>
              <w:pageBreakBefore w:val="0"/>
              <w:widowControl w:val="0"/>
              <w:kinsoku/>
              <w:wordWrap/>
              <w:overflowPunct/>
              <w:topLinePunct w:val="0"/>
              <w:autoSpaceDE/>
              <w:autoSpaceDN/>
              <w:bidi w:val="0"/>
              <w:spacing w:before="68" w:line="320" w:lineRule="exact"/>
              <w:ind w:left="240" w:leftChars="100" w:right="127" w:rightChars="53" w:firstLine="0" w:firstLineChars="0"/>
              <w:jc w:val="center"/>
              <w:rPr>
                <w:rFonts w:hint="eastAsia" w:ascii="宋体" w:hAnsi="宋体" w:eastAsia="宋体" w:cs="宋体"/>
                <w:spacing w:val="-8"/>
                <w:kern w:val="2"/>
                <w:sz w:val="21"/>
                <w:szCs w:val="21"/>
                <w:lang w:val="en-US" w:eastAsia="zh-CN" w:bidi="ar-SA"/>
              </w:rPr>
            </w:pPr>
            <w:r>
              <w:rPr>
                <w:rFonts w:hint="eastAsia" w:ascii="宋体" w:hAnsi="宋体" w:eastAsia="宋体" w:cs="宋体"/>
                <w:spacing w:val="-8"/>
                <w:sz w:val="21"/>
                <w:szCs w:val="21"/>
                <w:lang w:val="en-US" w:eastAsia="zh-CN"/>
              </w:rPr>
              <w:t>对造成固体废物污染环境事故行为的行政处罚</w:t>
            </w:r>
          </w:p>
        </w:tc>
        <w:tc>
          <w:tcPr>
            <w:tcW w:w="1094" w:type="dxa"/>
            <w:shd w:val="clear" w:color="auto" w:fill="auto"/>
            <w:vAlign w:val="center"/>
          </w:tcPr>
          <w:p w14:paraId="009A4F82">
            <w:pPr>
              <w:keepNext w:val="0"/>
              <w:keepLines w:val="0"/>
              <w:pageBreakBefore w:val="0"/>
              <w:widowControl w:val="0"/>
              <w:kinsoku/>
              <w:wordWrap/>
              <w:overflowPunct/>
              <w:topLinePunct w:val="0"/>
              <w:autoSpaceDE/>
              <w:autoSpaceDN/>
              <w:bidi w:val="0"/>
              <w:spacing w:before="68" w:line="320" w:lineRule="exact"/>
              <w:ind w:left="0" w:leftChars="0" w:firstLine="0" w:firstLineChars="0"/>
              <w:jc w:val="center"/>
              <w:rPr>
                <w:rFonts w:hint="eastAsia" w:ascii="仿宋_GB2312" w:hAnsi="仿宋_GB2312" w:eastAsia="仿宋_GB2312" w:cs="仿宋_GB2312"/>
                <w:spacing w:val="-8"/>
                <w:kern w:val="2"/>
                <w:sz w:val="24"/>
                <w:szCs w:val="24"/>
                <w:lang w:val="en-US" w:eastAsia="zh-CN" w:bidi="ar-SA"/>
              </w:rPr>
            </w:pPr>
            <w:r>
              <w:rPr>
                <w:rFonts w:hint="eastAsia" w:ascii="仿宋_GB2312" w:hAnsi="仿宋_GB2312" w:eastAsia="仿宋_GB2312" w:cs="仿宋_GB2312"/>
                <w:spacing w:val="-8"/>
                <w:sz w:val="24"/>
                <w:szCs w:val="24"/>
                <w:lang w:val="en-US" w:eastAsia="zh-CN"/>
              </w:rPr>
              <w:t>行政处罚</w:t>
            </w:r>
          </w:p>
        </w:tc>
        <w:tc>
          <w:tcPr>
            <w:tcW w:w="8317" w:type="dxa"/>
            <w:shd w:val="clear" w:color="auto" w:fill="auto"/>
            <w:vAlign w:val="top"/>
          </w:tcPr>
          <w:p w14:paraId="4C41E690">
            <w:pPr>
              <w:keepNext w:val="0"/>
              <w:keepLines w:val="0"/>
              <w:pageBreakBefore w:val="0"/>
              <w:widowControl w:val="0"/>
              <w:suppressLineNumbers w:val="0"/>
              <w:kinsoku/>
              <w:wordWrap/>
              <w:overflowPunct/>
              <w:topLinePunct w:val="0"/>
              <w:autoSpaceDE/>
              <w:autoSpaceDN/>
              <w:bidi w:val="0"/>
              <w:adjustRightInd/>
              <w:snapToGrid/>
              <w:spacing w:after="0" w:afterLines="-2147483648" w:line="320" w:lineRule="exact"/>
              <w:ind w:left="240" w:leftChars="100" w:firstLine="420" w:firstLineChars="200"/>
              <w:jc w:val="both"/>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中华人民共和国固体废物污染环境防治法》第一百一十八条违反本法规定，造成固体废物污染环境事故的，除依法承担赔偿责任外，由生态环境主管部门依照本条第二款的规定处以罚款，责令限期采取治理措施；造成重大或者特大固体废物污染环境事故的，还可以报经有批准权的人民政府批准，责令关闭。造成一般或者较大固体废物污染环境事故的，按照事故造成的直接经济损失的一倍以上三倍以下计算罚款；造成重大或者特大固体废物污染环境事故的，按照事故造成的直接经济损失的三倍以上五倍以下计算罚款，并对法定代表人、主要负责人、直接负责的主管人员和其他责任人员处上一年度从本单位取得的收入百分之五十以下的罚款。</w:t>
            </w:r>
          </w:p>
          <w:p w14:paraId="595DB2E3">
            <w:pPr>
              <w:keepNext w:val="0"/>
              <w:keepLines w:val="0"/>
              <w:pageBreakBefore w:val="0"/>
              <w:widowControl w:val="0"/>
              <w:suppressLineNumbers w:val="0"/>
              <w:kinsoku/>
              <w:wordWrap/>
              <w:overflowPunct/>
              <w:topLinePunct w:val="0"/>
              <w:autoSpaceDE/>
              <w:autoSpaceDN/>
              <w:bidi w:val="0"/>
              <w:adjustRightInd/>
              <w:snapToGrid/>
              <w:spacing w:after="0" w:afterLines="-2147483648" w:line="320" w:lineRule="exact"/>
              <w:ind w:left="240" w:leftChars="100" w:firstLine="420" w:firstLineChars="200"/>
              <w:jc w:val="both"/>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突发环境事件调查处理办法》第十八条突发环境事件调查过程中发现突发环境事件发生单位涉及环境违法行为的，调查组应当及时向相关环境保护主管部门提出处罚建议。相关环境保护主管部门应当依法对事发单位及责任人员予以行政处罚；涉嫌构成犯罪的，依法移送司法机关追究刑事责任。发现其他违法行为的，环境保护主管部门应当及时向有关部门移送。发现国家行政机关及其工作人员、突发环境事件发生单位中由国家行政机关任命的人员涉嫌违法违纪的，环境保护主管部门应当依法及时向监察机关或者有关部门提出处分建议。</w:t>
            </w:r>
          </w:p>
        </w:tc>
        <w:tc>
          <w:tcPr>
            <w:tcW w:w="1129" w:type="dxa"/>
            <w:shd w:val="clear" w:color="auto" w:fill="auto"/>
            <w:vAlign w:val="top"/>
          </w:tcPr>
          <w:p w14:paraId="56E63785">
            <w:pPr>
              <w:keepNext w:val="0"/>
              <w:keepLines w:val="0"/>
              <w:pageBreakBefore w:val="0"/>
              <w:widowControl w:val="0"/>
              <w:kinsoku/>
              <w:wordWrap/>
              <w:overflowPunct/>
              <w:topLinePunct w:val="0"/>
              <w:autoSpaceDE/>
              <w:autoSpaceDN/>
              <w:bidi w:val="0"/>
              <w:spacing w:before="69" w:line="320" w:lineRule="exact"/>
              <w:ind w:left="49" w:leftChars="0" w:right="26" w:rightChars="0" w:firstLine="404" w:firstLineChars="200"/>
              <w:rPr>
                <w:rFonts w:ascii="宋体" w:hAnsi="宋体" w:eastAsia="宋体" w:cs="宋体"/>
                <w:spacing w:val="-4"/>
                <w:sz w:val="21"/>
                <w:szCs w:val="21"/>
              </w:rPr>
            </w:pPr>
          </w:p>
        </w:tc>
        <w:tc>
          <w:tcPr>
            <w:tcW w:w="990" w:type="dxa"/>
            <w:gridSpan w:val="2"/>
            <w:shd w:val="clear" w:color="auto" w:fill="auto"/>
            <w:vAlign w:val="top"/>
          </w:tcPr>
          <w:p w14:paraId="138FDCD9">
            <w:pPr>
              <w:keepNext w:val="0"/>
              <w:keepLines w:val="0"/>
              <w:pageBreakBefore w:val="0"/>
              <w:widowControl w:val="0"/>
              <w:kinsoku/>
              <w:wordWrap/>
              <w:overflowPunct/>
              <w:topLinePunct w:val="0"/>
              <w:autoSpaceDE/>
              <w:autoSpaceDN/>
              <w:bidi w:val="0"/>
              <w:spacing w:before="69" w:line="320" w:lineRule="exact"/>
              <w:ind w:left="204" w:leftChars="0" w:right="59" w:rightChars="0" w:firstLine="404" w:firstLineChars="200"/>
              <w:rPr>
                <w:rFonts w:ascii="宋体" w:hAnsi="宋体" w:eastAsia="宋体" w:cs="宋体"/>
                <w:spacing w:val="-4"/>
                <w:sz w:val="21"/>
                <w:szCs w:val="21"/>
              </w:rPr>
            </w:pPr>
          </w:p>
        </w:tc>
      </w:tr>
      <w:tr w14:paraId="0DDA2B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6" w:hRule="atLeast"/>
        </w:trPr>
        <w:tc>
          <w:tcPr>
            <w:tcW w:w="557" w:type="dxa"/>
            <w:shd w:val="clear" w:color="auto" w:fill="auto"/>
            <w:vAlign w:val="center"/>
          </w:tcPr>
          <w:p w14:paraId="53F83E3B">
            <w:pPr>
              <w:keepNext w:val="0"/>
              <w:keepLines w:val="0"/>
              <w:pageBreakBefore w:val="0"/>
              <w:widowControl w:val="0"/>
              <w:kinsoku/>
              <w:wordWrap/>
              <w:overflowPunct/>
              <w:topLinePunct w:val="0"/>
              <w:autoSpaceDE/>
              <w:autoSpaceDN/>
              <w:bidi w:val="0"/>
              <w:spacing w:before="68" w:line="320" w:lineRule="exact"/>
              <w:ind w:left="0" w:leftChars="0" w:firstLine="0" w:firstLineChars="0"/>
              <w:jc w:val="center"/>
              <w:rPr>
                <w:rFonts w:hint="eastAsia" w:ascii="仿宋_GB2312" w:hAnsi="仿宋_GB2312" w:eastAsia="仿宋_GB2312" w:cs="仿宋_GB2312"/>
                <w:spacing w:val="-8"/>
                <w:sz w:val="24"/>
                <w:szCs w:val="24"/>
                <w:lang w:val="en-US" w:eastAsia="zh-CN"/>
              </w:rPr>
            </w:pPr>
            <w:r>
              <w:rPr>
                <w:rFonts w:hint="eastAsia" w:ascii="仿宋_GB2312" w:hAnsi="仿宋_GB2312" w:eastAsia="仿宋_GB2312" w:cs="仿宋_GB2312"/>
                <w:spacing w:val="-8"/>
                <w:sz w:val="24"/>
                <w:szCs w:val="24"/>
                <w:lang w:val="en-US" w:eastAsia="zh-CN"/>
              </w:rPr>
              <w:t>86</w:t>
            </w:r>
          </w:p>
        </w:tc>
        <w:tc>
          <w:tcPr>
            <w:tcW w:w="2355" w:type="dxa"/>
            <w:shd w:val="clear" w:color="auto" w:fill="auto"/>
            <w:vAlign w:val="center"/>
          </w:tcPr>
          <w:p w14:paraId="0758007A">
            <w:pPr>
              <w:keepNext w:val="0"/>
              <w:keepLines w:val="0"/>
              <w:pageBreakBefore w:val="0"/>
              <w:widowControl w:val="0"/>
              <w:kinsoku/>
              <w:wordWrap/>
              <w:overflowPunct/>
              <w:topLinePunct w:val="0"/>
              <w:autoSpaceDE/>
              <w:autoSpaceDN/>
              <w:bidi w:val="0"/>
              <w:spacing w:before="68" w:line="320" w:lineRule="exact"/>
              <w:ind w:left="240" w:leftChars="100" w:right="127" w:rightChars="53" w:firstLine="0" w:firstLineChars="0"/>
              <w:jc w:val="center"/>
              <w:rPr>
                <w:rFonts w:hint="eastAsia" w:ascii="宋体" w:hAnsi="宋体" w:eastAsia="宋体" w:cs="宋体"/>
                <w:spacing w:val="-8"/>
                <w:kern w:val="2"/>
                <w:sz w:val="21"/>
                <w:szCs w:val="21"/>
                <w:lang w:val="en-US" w:eastAsia="zh-CN" w:bidi="ar-SA"/>
              </w:rPr>
            </w:pPr>
            <w:r>
              <w:rPr>
                <w:rFonts w:hint="eastAsia" w:ascii="宋体" w:hAnsi="宋体" w:eastAsia="宋体" w:cs="宋体"/>
                <w:spacing w:val="-8"/>
                <w:sz w:val="21"/>
                <w:szCs w:val="21"/>
                <w:lang w:val="en-US" w:eastAsia="zh-CN"/>
              </w:rPr>
              <w:t>对不处置危险废物的单位的行政强制</w:t>
            </w:r>
          </w:p>
        </w:tc>
        <w:tc>
          <w:tcPr>
            <w:tcW w:w="1094" w:type="dxa"/>
            <w:shd w:val="clear" w:color="auto" w:fill="auto"/>
            <w:vAlign w:val="center"/>
          </w:tcPr>
          <w:p w14:paraId="707CF26A">
            <w:pPr>
              <w:keepNext w:val="0"/>
              <w:keepLines w:val="0"/>
              <w:pageBreakBefore w:val="0"/>
              <w:widowControl w:val="0"/>
              <w:kinsoku/>
              <w:wordWrap/>
              <w:overflowPunct/>
              <w:topLinePunct w:val="0"/>
              <w:autoSpaceDE/>
              <w:autoSpaceDN/>
              <w:bidi w:val="0"/>
              <w:spacing w:before="68" w:line="320" w:lineRule="exact"/>
              <w:ind w:left="0" w:leftChars="0" w:firstLine="0" w:firstLineChars="0"/>
              <w:jc w:val="center"/>
              <w:rPr>
                <w:rFonts w:hint="eastAsia" w:ascii="仿宋_GB2312" w:hAnsi="仿宋_GB2312" w:eastAsia="仿宋_GB2312" w:cs="仿宋_GB2312"/>
                <w:spacing w:val="-8"/>
                <w:kern w:val="2"/>
                <w:sz w:val="24"/>
                <w:szCs w:val="24"/>
                <w:lang w:val="en-US" w:eastAsia="zh-CN" w:bidi="ar-SA"/>
              </w:rPr>
            </w:pPr>
            <w:r>
              <w:rPr>
                <w:rFonts w:hint="eastAsia" w:ascii="仿宋_GB2312" w:hAnsi="仿宋_GB2312" w:eastAsia="仿宋_GB2312" w:cs="仿宋_GB2312"/>
                <w:spacing w:val="-8"/>
                <w:sz w:val="24"/>
                <w:szCs w:val="24"/>
                <w:lang w:val="en-US" w:eastAsia="zh-CN"/>
              </w:rPr>
              <w:t>行政强制</w:t>
            </w:r>
          </w:p>
        </w:tc>
        <w:tc>
          <w:tcPr>
            <w:tcW w:w="8317" w:type="dxa"/>
            <w:shd w:val="clear" w:color="auto" w:fill="auto"/>
            <w:vAlign w:val="top"/>
          </w:tcPr>
          <w:p w14:paraId="00AEAA2D">
            <w:pPr>
              <w:keepNext w:val="0"/>
              <w:keepLines w:val="0"/>
              <w:pageBreakBefore w:val="0"/>
              <w:widowControl w:val="0"/>
              <w:suppressLineNumbers w:val="0"/>
              <w:kinsoku/>
              <w:wordWrap/>
              <w:overflowPunct/>
              <w:topLinePunct w:val="0"/>
              <w:autoSpaceDE/>
              <w:autoSpaceDN/>
              <w:bidi w:val="0"/>
              <w:adjustRightInd/>
              <w:snapToGrid/>
              <w:spacing w:after="0" w:afterLines="-2147483648" w:line="320" w:lineRule="exact"/>
              <w:ind w:left="240" w:leftChars="100" w:firstLine="420" w:firstLineChars="200"/>
              <w:jc w:val="both"/>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中华人民共和国固体废物污染环境防治法》第一百一十三条违反本法规定，危险废物产生者未按照规定处置其产生的危险废物被责令改正后拒不改正的，由生态环境主管部门组织代为处置，处置费用由危险废物产生者承担；拒不承担代为处置费用的，处代为处置费用一倍以上三倍以下的罚款。</w:t>
            </w:r>
          </w:p>
        </w:tc>
        <w:tc>
          <w:tcPr>
            <w:tcW w:w="1129" w:type="dxa"/>
            <w:shd w:val="clear" w:color="auto" w:fill="auto"/>
            <w:vAlign w:val="top"/>
          </w:tcPr>
          <w:p w14:paraId="5302815F">
            <w:pPr>
              <w:keepNext w:val="0"/>
              <w:keepLines w:val="0"/>
              <w:pageBreakBefore w:val="0"/>
              <w:widowControl w:val="0"/>
              <w:kinsoku/>
              <w:wordWrap/>
              <w:overflowPunct/>
              <w:topLinePunct w:val="0"/>
              <w:autoSpaceDE/>
              <w:autoSpaceDN/>
              <w:bidi w:val="0"/>
              <w:spacing w:before="69" w:line="320" w:lineRule="exact"/>
              <w:ind w:left="49" w:leftChars="0" w:right="26" w:rightChars="0" w:firstLine="404" w:firstLineChars="200"/>
              <w:rPr>
                <w:rFonts w:ascii="宋体" w:hAnsi="宋体" w:eastAsia="宋体" w:cs="宋体"/>
                <w:spacing w:val="-4"/>
                <w:sz w:val="21"/>
                <w:szCs w:val="21"/>
              </w:rPr>
            </w:pPr>
          </w:p>
        </w:tc>
        <w:tc>
          <w:tcPr>
            <w:tcW w:w="990" w:type="dxa"/>
            <w:gridSpan w:val="2"/>
            <w:shd w:val="clear" w:color="auto" w:fill="auto"/>
            <w:vAlign w:val="top"/>
          </w:tcPr>
          <w:p w14:paraId="7F6A1701">
            <w:pPr>
              <w:keepNext w:val="0"/>
              <w:keepLines w:val="0"/>
              <w:pageBreakBefore w:val="0"/>
              <w:widowControl w:val="0"/>
              <w:kinsoku/>
              <w:wordWrap/>
              <w:overflowPunct/>
              <w:topLinePunct w:val="0"/>
              <w:autoSpaceDE/>
              <w:autoSpaceDN/>
              <w:bidi w:val="0"/>
              <w:spacing w:before="69" w:line="320" w:lineRule="exact"/>
              <w:ind w:left="204" w:leftChars="0" w:right="59" w:rightChars="0" w:firstLine="404" w:firstLineChars="200"/>
              <w:rPr>
                <w:rFonts w:ascii="宋体" w:hAnsi="宋体" w:eastAsia="宋体" w:cs="宋体"/>
                <w:spacing w:val="-4"/>
                <w:sz w:val="21"/>
                <w:szCs w:val="21"/>
              </w:rPr>
            </w:pPr>
          </w:p>
        </w:tc>
      </w:tr>
      <w:tr w14:paraId="57B02B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66" w:hRule="atLeast"/>
        </w:trPr>
        <w:tc>
          <w:tcPr>
            <w:tcW w:w="557" w:type="dxa"/>
            <w:shd w:val="clear" w:color="auto" w:fill="auto"/>
            <w:vAlign w:val="center"/>
          </w:tcPr>
          <w:p w14:paraId="162870EE">
            <w:pPr>
              <w:keepNext w:val="0"/>
              <w:keepLines w:val="0"/>
              <w:pageBreakBefore w:val="0"/>
              <w:widowControl w:val="0"/>
              <w:kinsoku/>
              <w:wordWrap/>
              <w:overflowPunct/>
              <w:topLinePunct w:val="0"/>
              <w:autoSpaceDE/>
              <w:autoSpaceDN/>
              <w:bidi w:val="0"/>
              <w:spacing w:before="68" w:line="320" w:lineRule="exact"/>
              <w:ind w:left="0" w:leftChars="0" w:firstLine="0" w:firstLineChars="0"/>
              <w:jc w:val="center"/>
              <w:rPr>
                <w:rFonts w:hint="eastAsia" w:ascii="仿宋_GB2312" w:hAnsi="仿宋_GB2312" w:eastAsia="仿宋_GB2312" w:cs="仿宋_GB2312"/>
                <w:spacing w:val="-8"/>
                <w:sz w:val="24"/>
                <w:szCs w:val="24"/>
                <w:lang w:val="en-US" w:eastAsia="zh-CN"/>
              </w:rPr>
            </w:pPr>
            <w:r>
              <w:rPr>
                <w:rFonts w:hint="eastAsia" w:ascii="仿宋_GB2312" w:hAnsi="仿宋_GB2312" w:eastAsia="仿宋_GB2312" w:cs="仿宋_GB2312"/>
                <w:spacing w:val="-8"/>
                <w:sz w:val="24"/>
                <w:szCs w:val="24"/>
                <w:lang w:val="en-US" w:eastAsia="zh-CN"/>
              </w:rPr>
              <w:t>87</w:t>
            </w:r>
          </w:p>
        </w:tc>
        <w:tc>
          <w:tcPr>
            <w:tcW w:w="2355" w:type="dxa"/>
            <w:shd w:val="clear" w:color="auto" w:fill="auto"/>
            <w:vAlign w:val="center"/>
          </w:tcPr>
          <w:p w14:paraId="12991E72">
            <w:pPr>
              <w:keepNext w:val="0"/>
              <w:keepLines w:val="0"/>
              <w:pageBreakBefore w:val="0"/>
              <w:widowControl w:val="0"/>
              <w:kinsoku/>
              <w:wordWrap/>
              <w:overflowPunct/>
              <w:topLinePunct w:val="0"/>
              <w:autoSpaceDE/>
              <w:autoSpaceDN/>
              <w:bidi w:val="0"/>
              <w:spacing w:before="68" w:line="320" w:lineRule="exact"/>
              <w:ind w:left="240" w:leftChars="100" w:right="127" w:rightChars="53" w:firstLine="0" w:firstLineChars="0"/>
              <w:jc w:val="center"/>
              <w:rPr>
                <w:rFonts w:hint="eastAsia" w:ascii="宋体" w:hAnsi="宋体" w:eastAsia="宋体" w:cs="宋体"/>
                <w:spacing w:val="-8"/>
                <w:kern w:val="2"/>
                <w:sz w:val="21"/>
                <w:szCs w:val="21"/>
                <w:lang w:val="en-US" w:eastAsia="zh-CN" w:bidi="ar-SA"/>
              </w:rPr>
            </w:pPr>
            <w:r>
              <w:rPr>
                <w:rFonts w:hint="eastAsia" w:ascii="宋体" w:hAnsi="宋体" w:eastAsia="宋体" w:cs="宋体"/>
                <w:spacing w:val="-8"/>
                <w:sz w:val="21"/>
                <w:szCs w:val="21"/>
                <w:lang w:val="en-US" w:eastAsia="zh-CN"/>
              </w:rPr>
              <w:t>对违法收集、贮存、运输、利用、处置的固体废物及设施、设备、场所、工具、物品的行政强制</w:t>
            </w:r>
          </w:p>
        </w:tc>
        <w:tc>
          <w:tcPr>
            <w:tcW w:w="1094" w:type="dxa"/>
            <w:shd w:val="clear" w:color="auto" w:fill="auto"/>
            <w:vAlign w:val="center"/>
          </w:tcPr>
          <w:p w14:paraId="306E9835">
            <w:pPr>
              <w:keepNext w:val="0"/>
              <w:keepLines w:val="0"/>
              <w:pageBreakBefore w:val="0"/>
              <w:widowControl w:val="0"/>
              <w:kinsoku/>
              <w:wordWrap/>
              <w:overflowPunct/>
              <w:topLinePunct w:val="0"/>
              <w:autoSpaceDE/>
              <w:autoSpaceDN/>
              <w:bidi w:val="0"/>
              <w:spacing w:before="68" w:line="320" w:lineRule="exact"/>
              <w:ind w:left="0" w:leftChars="0" w:firstLine="0" w:firstLineChars="0"/>
              <w:jc w:val="center"/>
              <w:rPr>
                <w:rFonts w:hint="eastAsia" w:ascii="仿宋_GB2312" w:hAnsi="仿宋_GB2312" w:eastAsia="仿宋_GB2312" w:cs="仿宋_GB2312"/>
                <w:spacing w:val="-8"/>
                <w:kern w:val="2"/>
                <w:sz w:val="24"/>
                <w:szCs w:val="24"/>
                <w:lang w:val="en-US" w:eastAsia="zh-CN" w:bidi="ar-SA"/>
              </w:rPr>
            </w:pPr>
            <w:r>
              <w:rPr>
                <w:rFonts w:hint="eastAsia" w:ascii="仿宋_GB2312" w:hAnsi="仿宋_GB2312" w:eastAsia="仿宋_GB2312" w:cs="仿宋_GB2312"/>
                <w:spacing w:val="-8"/>
                <w:sz w:val="24"/>
                <w:szCs w:val="24"/>
                <w:lang w:val="en-US" w:eastAsia="zh-CN"/>
              </w:rPr>
              <w:t>行政强制</w:t>
            </w:r>
          </w:p>
        </w:tc>
        <w:tc>
          <w:tcPr>
            <w:tcW w:w="8317" w:type="dxa"/>
            <w:shd w:val="clear" w:color="auto" w:fill="auto"/>
            <w:vAlign w:val="top"/>
          </w:tcPr>
          <w:p w14:paraId="554E8EE8">
            <w:pPr>
              <w:keepNext w:val="0"/>
              <w:keepLines w:val="0"/>
              <w:pageBreakBefore w:val="0"/>
              <w:widowControl w:val="0"/>
              <w:suppressLineNumbers w:val="0"/>
              <w:kinsoku/>
              <w:wordWrap/>
              <w:overflowPunct/>
              <w:topLinePunct w:val="0"/>
              <w:autoSpaceDE/>
              <w:autoSpaceDN/>
              <w:bidi w:val="0"/>
              <w:adjustRightInd/>
              <w:snapToGrid/>
              <w:spacing w:after="0" w:afterLines="-2147483648" w:line="320" w:lineRule="exact"/>
              <w:ind w:left="240" w:leftChars="100" w:firstLine="420" w:firstLineChars="200"/>
              <w:jc w:val="both"/>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中华人民共和国固体废物污染环境防治法》第二十七条有下列情形之一，生态环境主管部门和其他负有固体废物污染环境防治监督管理职责的部门，可以对违法收集、贮存、运输、利用、处置的固体废物及设施、设备、场所、工具、物品予以查封、扣押：（一）可能造成证据灭失、被隐匿或者非法转移的；（二）造成或者可能造成严重环境污染的。</w:t>
            </w:r>
          </w:p>
        </w:tc>
        <w:tc>
          <w:tcPr>
            <w:tcW w:w="1129" w:type="dxa"/>
            <w:shd w:val="clear" w:color="auto" w:fill="auto"/>
            <w:vAlign w:val="top"/>
          </w:tcPr>
          <w:p w14:paraId="0129BCD3">
            <w:pPr>
              <w:keepNext w:val="0"/>
              <w:keepLines w:val="0"/>
              <w:pageBreakBefore w:val="0"/>
              <w:widowControl w:val="0"/>
              <w:kinsoku/>
              <w:wordWrap/>
              <w:overflowPunct/>
              <w:topLinePunct w:val="0"/>
              <w:autoSpaceDE/>
              <w:autoSpaceDN/>
              <w:bidi w:val="0"/>
              <w:spacing w:before="69" w:line="320" w:lineRule="exact"/>
              <w:ind w:left="49" w:leftChars="0" w:right="26" w:rightChars="0" w:firstLine="404" w:firstLineChars="200"/>
              <w:rPr>
                <w:rFonts w:ascii="宋体" w:hAnsi="宋体" w:eastAsia="宋体" w:cs="宋体"/>
                <w:spacing w:val="-4"/>
                <w:sz w:val="21"/>
                <w:szCs w:val="21"/>
              </w:rPr>
            </w:pPr>
          </w:p>
        </w:tc>
        <w:tc>
          <w:tcPr>
            <w:tcW w:w="990" w:type="dxa"/>
            <w:gridSpan w:val="2"/>
            <w:shd w:val="clear" w:color="auto" w:fill="auto"/>
            <w:vAlign w:val="top"/>
          </w:tcPr>
          <w:p w14:paraId="7581484D">
            <w:pPr>
              <w:keepNext w:val="0"/>
              <w:keepLines w:val="0"/>
              <w:pageBreakBefore w:val="0"/>
              <w:widowControl w:val="0"/>
              <w:kinsoku/>
              <w:wordWrap/>
              <w:overflowPunct/>
              <w:topLinePunct w:val="0"/>
              <w:autoSpaceDE/>
              <w:autoSpaceDN/>
              <w:bidi w:val="0"/>
              <w:spacing w:before="69" w:line="320" w:lineRule="exact"/>
              <w:ind w:left="204" w:leftChars="0" w:right="59" w:rightChars="0" w:firstLine="404" w:firstLineChars="200"/>
              <w:rPr>
                <w:rFonts w:ascii="宋体" w:hAnsi="宋体" w:eastAsia="宋体" w:cs="宋体"/>
                <w:spacing w:val="-4"/>
                <w:sz w:val="21"/>
                <w:szCs w:val="21"/>
              </w:rPr>
            </w:pPr>
          </w:p>
        </w:tc>
      </w:tr>
      <w:tr w14:paraId="2B4EBE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6" w:hRule="atLeast"/>
        </w:trPr>
        <w:tc>
          <w:tcPr>
            <w:tcW w:w="557" w:type="dxa"/>
            <w:shd w:val="clear" w:color="auto" w:fill="auto"/>
            <w:vAlign w:val="center"/>
          </w:tcPr>
          <w:p w14:paraId="198696E2">
            <w:pPr>
              <w:keepNext w:val="0"/>
              <w:keepLines w:val="0"/>
              <w:pageBreakBefore w:val="0"/>
              <w:widowControl w:val="0"/>
              <w:kinsoku/>
              <w:wordWrap/>
              <w:overflowPunct/>
              <w:topLinePunct w:val="0"/>
              <w:autoSpaceDE/>
              <w:autoSpaceDN/>
              <w:bidi w:val="0"/>
              <w:spacing w:before="68" w:line="320" w:lineRule="exact"/>
              <w:ind w:left="0" w:leftChars="0" w:firstLine="0" w:firstLineChars="0"/>
              <w:jc w:val="center"/>
              <w:rPr>
                <w:rFonts w:hint="eastAsia" w:ascii="仿宋_GB2312" w:hAnsi="仿宋_GB2312" w:eastAsia="仿宋_GB2312" w:cs="仿宋_GB2312"/>
                <w:spacing w:val="-8"/>
                <w:sz w:val="24"/>
                <w:szCs w:val="24"/>
                <w:lang w:val="en-US" w:eastAsia="zh-CN"/>
              </w:rPr>
            </w:pPr>
            <w:r>
              <w:rPr>
                <w:rFonts w:hint="eastAsia" w:ascii="仿宋_GB2312" w:hAnsi="仿宋_GB2312" w:eastAsia="仿宋_GB2312" w:cs="仿宋_GB2312"/>
                <w:spacing w:val="-8"/>
                <w:sz w:val="24"/>
                <w:szCs w:val="24"/>
                <w:lang w:val="en-US" w:eastAsia="zh-CN"/>
              </w:rPr>
              <w:t>88</w:t>
            </w:r>
          </w:p>
        </w:tc>
        <w:tc>
          <w:tcPr>
            <w:tcW w:w="2355" w:type="dxa"/>
            <w:shd w:val="clear" w:color="auto" w:fill="auto"/>
            <w:vAlign w:val="center"/>
          </w:tcPr>
          <w:p w14:paraId="53373680">
            <w:pPr>
              <w:keepNext w:val="0"/>
              <w:keepLines w:val="0"/>
              <w:pageBreakBefore w:val="0"/>
              <w:widowControl w:val="0"/>
              <w:kinsoku/>
              <w:wordWrap/>
              <w:overflowPunct/>
              <w:topLinePunct w:val="0"/>
              <w:autoSpaceDE/>
              <w:autoSpaceDN/>
              <w:bidi w:val="0"/>
              <w:spacing w:before="68" w:line="320" w:lineRule="exact"/>
              <w:ind w:left="240" w:leftChars="100" w:right="127" w:rightChars="53" w:firstLine="0" w:firstLineChars="0"/>
              <w:jc w:val="center"/>
              <w:rPr>
                <w:rFonts w:hint="eastAsia" w:ascii="宋体" w:hAnsi="宋体" w:eastAsia="宋体" w:cs="宋体"/>
                <w:spacing w:val="-8"/>
                <w:kern w:val="2"/>
                <w:sz w:val="21"/>
                <w:szCs w:val="21"/>
                <w:lang w:val="en-US" w:eastAsia="zh-CN" w:bidi="ar-SA"/>
              </w:rPr>
            </w:pPr>
            <w:r>
              <w:rPr>
                <w:rFonts w:hint="eastAsia" w:ascii="宋体" w:hAnsi="宋体" w:eastAsia="宋体" w:cs="宋体"/>
                <w:spacing w:val="-8"/>
                <w:sz w:val="21"/>
                <w:szCs w:val="21"/>
                <w:lang w:val="en-US" w:eastAsia="zh-CN"/>
              </w:rPr>
              <w:t>无许可证或者未按照许可证规定从事收集、贮存、利用、处置危险废物经营活动行为的行政处罚</w:t>
            </w:r>
          </w:p>
        </w:tc>
        <w:tc>
          <w:tcPr>
            <w:tcW w:w="1094" w:type="dxa"/>
            <w:shd w:val="clear" w:color="auto" w:fill="auto"/>
            <w:vAlign w:val="center"/>
          </w:tcPr>
          <w:p w14:paraId="78CB0375">
            <w:pPr>
              <w:keepNext w:val="0"/>
              <w:keepLines w:val="0"/>
              <w:pageBreakBefore w:val="0"/>
              <w:widowControl w:val="0"/>
              <w:kinsoku/>
              <w:wordWrap/>
              <w:overflowPunct/>
              <w:topLinePunct w:val="0"/>
              <w:autoSpaceDE/>
              <w:autoSpaceDN/>
              <w:bidi w:val="0"/>
              <w:spacing w:before="68" w:line="320" w:lineRule="exact"/>
              <w:ind w:left="0" w:leftChars="0" w:firstLine="0" w:firstLineChars="0"/>
              <w:jc w:val="center"/>
              <w:rPr>
                <w:rFonts w:hint="eastAsia" w:ascii="仿宋_GB2312" w:hAnsi="仿宋_GB2312" w:eastAsia="仿宋_GB2312" w:cs="仿宋_GB2312"/>
                <w:spacing w:val="-8"/>
                <w:kern w:val="2"/>
                <w:sz w:val="24"/>
                <w:szCs w:val="24"/>
                <w:lang w:val="en-US" w:eastAsia="zh-CN" w:bidi="ar-SA"/>
              </w:rPr>
            </w:pPr>
            <w:r>
              <w:rPr>
                <w:rFonts w:hint="eastAsia" w:ascii="仿宋_GB2312" w:hAnsi="仿宋_GB2312" w:eastAsia="仿宋_GB2312" w:cs="仿宋_GB2312"/>
                <w:spacing w:val="-8"/>
                <w:sz w:val="24"/>
                <w:szCs w:val="24"/>
                <w:lang w:val="en-US" w:eastAsia="zh-CN"/>
              </w:rPr>
              <w:t>行政处罚</w:t>
            </w:r>
          </w:p>
        </w:tc>
        <w:tc>
          <w:tcPr>
            <w:tcW w:w="8317" w:type="dxa"/>
            <w:shd w:val="clear" w:color="auto" w:fill="auto"/>
            <w:vAlign w:val="top"/>
          </w:tcPr>
          <w:p w14:paraId="714DD3CF">
            <w:pPr>
              <w:keepNext w:val="0"/>
              <w:keepLines w:val="0"/>
              <w:pageBreakBefore w:val="0"/>
              <w:widowControl w:val="0"/>
              <w:suppressLineNumbers w:val="0"/>
              <w:kinsoku/>
              <w:wordWrap/>
              <w:overflowPunct/>
              <w:topLinePunct w:val="0"/>
              <w:autoSpaceDE/>
              <w:autoSpaceDN/>
              <w:bidi w:val="0"/>
              <w:adjustRightInd/>
              <w:snapToGrid/>
              <w:spacing w:after="0" w:afterLines="-2147483648" w:line="320" w:lineRule="exact"/>
              <w:ind w:left="240" w:leftChars="100" w:firstLine="420" w:firstLineChars="200"/>
              <w:jc w:val="both"/>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中华人民共和国固体废物污染环境防治法》第一百一十四条无许可证从事收集、贮存、利用、处置危险废物经营活动的，由生态环境主管部门责令改正，处一百万元以上五百万元以下的罚款，并报经有批准权的人民政府批准，责令停业或者关闭；对法定代表人、主要负责人、直接负责的主管人员和其他责任人员，处十万元以上一百万元以下的罚款。未按照许可证规定从事收集、贮存、利用、处置危险废物经营活动的，由生态环境主管部门责令改正，限制生产、停产整治，处五十万元以上二百万元以下的罚款；对法定代表人、主要负责人、直接负责的主管人员和其他责任人员，处五万元以上五十万元以下的罚款；情节严重的，报经有批准权的人民政府批准，责令停业或者关闭，还可以由发证机关吊销许可证。</w:t>
            </w:r>
          </w:p>
        </w:tc>
        <w:tc>
          <w:tcPr>
            <w:tcW w:w="1129" w:type="dxa"/>
            <w:shd w:val="clear" w:color="auto" w:fill="auto"/>
            <w:vAlign w:val="top"/>
          </w:tcPr>
          <w:p w14:paraId="5A163F95">
            <w:pPr>
              <w:keepNext w:val="0"/>
              <w:keepLines w:val="0"/>
              <w:pageBreakBefore w:val="0"/>
              <w:widowControl w:val="0"/>
              <w:kinsoku/>
              <w:wordWrap/>
              <w:overflowPunct/>
              <w:topLinePunct w:val="0"/>
              <w:autoSpaceDE/>
              <w:autoSpaceDN/>
              <w:bidi w:val="0"/>
              <w:spacing w:before="69" w:line="320" w:lineRule="exact"/>
              <w:ind w:left="49" w:leftChars="0" w:right="26" w:rightChars="0" w:firstLine="404" w:firstLineChars="200"/>
              <w:rPr>
                <w:rFonts w:ascii="宋体" w:hAnsi="宋体" w:eastAsia="宋体" w:cs="宋体"/>
                <w:spacing w:val="-4"/>
                <w:sz w:val="21"/>
                <w:szCs w:val="21"/>
              </w:rPr>
            </w:pPr>
          </w:p>
        </w:tc>
        <w:tc>
          <w:tcPr>
            <w:tcW w:w="990" w:type="dxa"/>
            <w:gridSpan w:val="2"/>
            <w:shd w:val="clear" w:color="auto" w:fill="auto"/>
            <w:vAlign w:val="top"/>
          </w:tcPr>
          <w:p w14:paraId="312D79F7">
            <w:pPr>
              <w:keepNext w:val="0"/>
              <w:keepLines w:val="0"/>
              <w:pageBreakBefore w:val="0"/>
              <w:widowControl w:val="0"/>
              <w:kinsoku/>
              <w:wordWrap/>
              <w:overflowPunct/>
              <w:topLinePunct w:val="0"/>
              <w:autoSpaceDE/>
              <w:autoSpaceDN/>
              <w:bidi w:val="0"/>
              <w:spacing w:before="69" w:line="320" w:lineRule="exact"/>
              <w:ind w:left="204" w:leftChars="0" w:right="59" w:rightChars="0" w:firstLine="404" w:firstLineChars="200"/>
              <w:rPr>
                <w:rFonts w:ascii="宋体" w:hAnsi="宋体" w:eastAsia="宋体" w:cs="宋体"/>
                <w:spacing w:val="-4"/>
                <w:sz w:val="21"/>
                <w:szCs w:val="21"/>
              </w:rPr>
            </w:pPr>
          </w:p>
        </w:tc>
      </w:tr>
      <w:tr w14:paraId="61350B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6" w:hRule="atLeast"/>
        </w:trPr>
        <w:tc>
          <w:tcPr>
            <w:tcW w:w="557" w:type="dxa"/>
            <w:shd w:val="clear" w:color="auto" w:fill="auto"/>
            <w:vAlign w:val="center"/>
          </w:tcPr>
          <w:p w14:paraId="6C5857B5">
            <w:pPr>
              <w:keepNext w:val="0"/>
              <w:keepLines w:val="0"/>
              <w:pageBreakBefore w:val="0"/>
              <w:widowControl w:val="0"/>
              <w:kinsoku/>
              <w:wordWrap/>
              <w:overflowPunct/>
              <w:topLinePunct w:val="0"/>
              <w:autoSpaceDE/>
              <w:autoSpaceDN/>
              <w:bidi w:val="0"/>
              <w:spacing w:before="68" w:line="320" w:lineRule="exact"/>
              <w:ind w:left="0" w:leftChars="0" w:firstLine="0" w:firstLineChars="0"/>
              <w:jc w:val="center"/>
              <w:rPr>
                <w:rFonts w:hint="eastAsia" w:ascii="仿宋_GB2312" w:hAnsi="仿宋_GB2312" w:eastAsia="仿宋_GB2312" w:cs="仿宋_GB2312"/>
                <w:spacing w:val="-8"/>
                <w:sz w:val="24"/>
                <w:szCs w:val="24"/>
                <w:lang w:val="en-US" w:eastAsia="zh-CN"/>
              </w:rPr>
            </w:pPr>
            <w:r>
              <w:rPr>
                <w:rFonts w:hint="eastAsia" w:ascii="仿宋_GB2312" w:hAnsi="仿宋_GB2312" w:eastAsia="仿宋_GB2312" w:cs="仿宋_GB2312"/>
                <w:spacing w:val="-8"/>
                <w:sz w:val="24"/>
                <w:szCs w:val="24"/>
                <w:lang w:val="en-US" w:eastAsia="zh-CN"/>
              </w:rPr>
              <w:t>89</w:t>
            </w:r>
          </w:p>
        </w:tc>
        <w:tc>
          <w:tcPr>
            <w:tcW w:w="2355" w:type="dxa"/>
            <w:shd w:val="clear" w:color="auto" w:fill="auto"/>
            <w:vAlign w:val="center"/>
          </w:tcPr>
          <w:p w14:paraId="2D0AB68B">
            <w:pPr>
              <w:keepNext w:val="0"/>
              <w:keepLines w:val="0"/>
              <w:pageBreakBefore w:val="0"/>
              <w:widowControl w:val="0"/>
              <w:kinsoku/>
              <w:wordWrap/>
              <w:overflowPunct/>
              <w:topLinePunct w:val="0"/>
              <w:autoSpaceDE/>
              <w:autoSpaceDN/>
              <w:bidi w:val="0"/>
              <w:spacing w:before="68" w:line="320" w:lineRule="exact"/>
              <w:ind w:left="240" w:leftChars="100" w:right="127" w:rightChars="53" w:firstLine="0" w:firstLineChars="0"/>
              <w:jc w:val="center"/>
              <w:rPr>
                <w:rFonts w:hint="eastAsia" w:ascii="宋体" w:hAnsi="宋体" w:eastAsia="宋体" w:cs="宋体"/>
                <w:spacing w:val="-8"/>
                <w:kern w:val="2"/>
                <w:sz w:val="21"/>
                <w:szCs w:val="21"/>
                <w:lang w:val="en-US" w:eastAsia="zh-CN" w:bidi="ar-SA"/>
              </w:rPr>
            </w:pPr>
            <w:r>
              <w:rPr>
                <w:rFonts w:hint="eastAsia" w:ascii="宋体" w:hAnsi="宋体" w:eastAsia="宋体" w:cs="宋体"/>
                <w:spacing w:val="-8"/>
                <w:sz w:val="21"/>
                <w:szCs w:val="21"/>
                <w:lang w:val="en-US" w:eastAsia="zh-CN"/>
              </w:rPr>
              <w:t>对未取得新化学物质登记证或者不按照登记证的规定生产或者进口新化学物质等行为的行政处罚</w:t>
            </w:r>
          </w:p>
        </w:tc>
        <w:tc>
          <w:tcPr>
            <w:tcW w:w="1094" w:type="dxa"/>
            <w:shd w:val="clear" w:color="auto" w:fill="auto"/>
            <w:vAlign w:val="center"/>
          </w:tcPr>
          <w:p w14:paraId="045A0F83">
            <w:pPr>
              <w:keepNext w:val="0"/>
              <w:keepLines w:val="0"/>
              <w:pageBreakBefore w:val="0"/>
              <w:widowControl w:val="0"/>
              <w:kinsoku/>
              <w:wordWrap/>
              <w:overflowPunct/>
              <w:topLinePunct w:val="0"/>
              <w:autoSpaceDE/>
              <w:autoSpaceDN/>
              <w:bidi w:val="0"/>
              <w:spacing w:before="68" w:line="320" w:lineRule="exact"/>
              <w:ind w:left="0" w:leftChars="0" w:firstLine="0" w:firstLineChars="0"/>
              <w:jc w:val="center"/>
              <w:rPr>
                <w:rFonts w:hint="eastAsia" w:ascii="仿宋_GB2312" w:hAnsi="仿宋_GB2312" w:eastAsia="仿宋_GB2312" w:cs="仿宋_GB2312"/>
                <w:spacing w:val="-8"/>
                <w:kern w:val="2"/>
                <w:sz w:val="24"/>
                <w:szCs w:val="24"/>
                <w:lang w:val="en-US" w:eastAsia="zh-CN" w:bidi="ar-SA"/>
              </w:rPr>
            </w:pPr>
            <w:r>
              <w:rPr>
                <w:rFonts w:hint="eastAsia" w:ascii="仿宋_GB2312" w:hAnsi="仿宋_GB2312" w:eastAsia="仿宋_GB2312" w:cs="仿宋_GB2312"/>
                <w:spacing w:val="-8"/>
                <w:sz w:val="24"/>
                <w:szCs w:val="24"/>
                <w:lang w:val="en-US" w:eastAsia="zh-CN"/>
              </w:rPr>
              <w:t>行政处罚</w:t>
            </w:r>
          </w:p>
        </w:tc>
        <w:tc>
          <w:tcPr>
            <w:tcW w:w="8317" w:type="dxa"/>
            <w:shd w:val="clear" w:color="auto" w:fill="auto"/>
            <w:vAlign w:val="top"/>
          </w:tcPr>
          <w:p w14:paraId="00D512FD">
            <w:pPr>
              <w:keepNext w:val="0"/>
              <w:keepLines w:val="0"/>
              <w:pageBreakBefore w:val="0"/>
              <w:widowControl w:val="0"/>
              <w:suppressLineNumbers w:val="0"/>
              <w:kinsoku/>
              <w:wordWrap/>
              <w:overflowPunct/>
              <w:topLinePunct w:val="0"/>
              <w:autoSpaceDE/>
              <w:autoSpaceDN/>
              <w:bidi w:val="0"/>
              <w:adjustRightInd/>
              <w:snapToGrid/>
              <w:spacing w:after="0" w:afterLines="-2147483648" w:line="320" w:lineRule="exact"/>
              <w:ind w:left="240" w:leftChars="100" w:firstLine="420" w:firstLineChars="200"/>
              <w:jc w:val="both"/>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新化学物质环境管理办法》第四十五条违反本办法规定，有下列行为之一的，由负有监督管理职责的地方环境保护部门责令改正，处一万元以上三万元以下罚款，并报环境保护部公告其违规行为，记载其不良记录：（一）拒绝或者阻碍环境保护部门监督检查，或者在接受监督检查时弄虚作假的；（二）未取得登记证或者不按照登记证的规定生产或者进口新化学物质的；（三）加工使用未取得登记证的新化学物质的；（四）未按登记证规定采取风险控制措施的；（五）将登记新化学物质转让给没有能力采取风险控制措施的加工使用者的。</w:t>
            </w:r>
          </w:p>
        </w:tc>
        <w:tc>
          <w:tcPr>
            <w:tcW w:w="1129" w:type="dxa"/>
            <w:shd w:val="clear" w:color="auto" w:fill="auto"/>
            <w:vAlign w:val="top"/>
          </w:tcPr>
          <w:p w14:paraId="34F6B137">
            <w:pPr>
              <w:keepNext w:val="0"/>
              <w:keepLines w:val="0"/>
              <w:pageBreakBefore w:val="0"/>
              <w:widowControl w:val="0"/>
              <w:kinsoku/>
              <w:wordWrap/>
              <w:overflowPunct/>
              <w:topLinePunct w:val="0"/>
              <w:autoSpaceDE/>
              <w:autoSpaceDN/>
              <w:bidi w:val="0"/>
              <w:spacing w:before="69" w:line="320" w:lineRule="exact"/>
              <w:ind w:left="49" w:leftChars="0" w:right="26" w:rightChars="0" w:firstLine="404" w:firstLineChars="200"/>
              <w:rPr>
                <w:rFonts w:ascii="宋体" w:hAnsi="宋体" w:eastAsia="宋体" w:cs="宋体"/>
                <w:spacing w:val="-4"/>
                <w:sz w:val="21"/>
                <w:szCs w:val="21"/>
              </w:rPr>
            </w:pPr>
          </w:p>
        </w:tc>
        <w:tc>
          <w:tcPr>
            <w:tcW w:w="990" w:type="dxa"/>
            <w:gridSpan w:val="2"/>
            <w:shd w:val="clear" w:color="auto" w:fill="auto"/>
            <w:vAlign w:val="top"/>
          </w:tcPr>
          <w:p w14:paraId="7EA00415">
            <w:pPr>
              <w:keepNext w:val="0"/>
              <w:keepLines w:val="0"/>
              <w:pageBreakBefore w:val="0"/>
              <w:widowControl w:val="0"/>
              <w:kinsoku/>
              <w:wordWrap/>
              <w:overflowPunct/>
              <w:topLinePunct w:val="0"/>
              <w:autoSpaceDE/>
              <w:autoSpaceDN/>
              <w:bidi w:val="0"/>
              <w:spacing w:before="69" w:line="320" w:lineRule="exact"/>
              <w:ind w:left="204" w:leftChars="0" w:right="59" w:rightChars="0" w:firstLine="404" w:firstLineChars="200"/>
              <w:rPr>
                <w:rFonts w:ascii="宋体" w:hAnsi="宋体" w:eastAsia="宋体" w:cs="宋体"/>
                <w:spacing w:val="-4"/>
                <w:sz w:val="21"/>
                <w:szCs w:val="21"/>
              </w:rPr>
            </w:pPr>
          </w:p>
        </w:tc>
      </w:tr>
      <w:tr w14:paraId="461BCD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6" w:hRule="atLeast"/>
        </w:trPr>
        <w:tc>
          <w:tcPr>
            <w:tcW w:w="557" w:type="dxa"/>
            <w:shd w:val="clear" w:color="auto" w:fill="auto"/>
            <w:vAlign w:val="center"/>
          </w:tcPr>
          <w:p w14:paraId="37FC2FF6">
            <w:pPr>
              <w:keepNext w:val="0"/>
              <w:keepLines w:val="0"/>
              <w:pageBreakBefore w:val="0"/>
              <w:widowControl w:val="0"/>
              <w:kinsoku/>
              <w:wordWrap/>
              <w:overflowPunct/>
              <w:topLinePunct w:val="0"/>
              <w:autoSpaceDE/>
              <w:autoSpaceDN/>
              <w:bidi w:val="0"/>
              <w:spacing w:before="68" w:line="320" w:lineRule="exact"/>
              <w:ind w:left="0" w:leftChars="0" w:firstLine="0" w:firstLineChars="0"/>
              <w:jc w:val="center"/>
              <w:rPr>
                <w:rFonts w:hint="eastAsia" w:ascii="仿宋_GB2312" w:hAnsi="仿宋_GB2312" w:eastAsia="仿宋_GB2312" w:cs="仿宋_GB2312"/>
                <w:spacing w:val="-8"/>
                <w:sz w:val="24"/>
                <w:szCs w:val="24"/>
                <w:lang w:val="en-US" w:eastAsia="zh-CN"/>
              </w:rPr>
            </w:pPr>
            <w:r>
              <w:rPr>
                <w:rFonts w:hint="eastAsia" w:ascii="仿宋_GB2312" w:hAnsi="仿宋_GB2312" w:eastAsia="仿宋_GB2312" w:cs="仿宋_GB2312"/>
                <w:spacing w:val="-8"/>
                <w:sz w:val="24"/>
                <w:szCs w:val="24"/>
                <w:lang w:val="en-US" w:eastAsia="zh-CN"/>
              </w:rPr>
              <w:t>90</w:t>
            </w:r>
          </w:p>
        </w:tc>
        <w:tc>
          <w:tcPr>
            <w:tcW w:w="2355" w:type="dxa"/>
            <w:shd w:val="clear" w:color="auto" w:fill="auto"/>
            <w:vAlign w:val="center"/>
          </w:tcPr>
          <w:p w14:paraId="6C81A135">
            <w:pPr>
              <w:keepNext w:val="0"/>
              <w:keepLines w:val="0"/>
              <w:pageBreakBefore w:val="0"/>
              <w:widowControl w:val="0"/>
              <w:kinsoku/>
              <w:wordWrap/>
              <w:overflowPunct/>
              <w:topLinePunct w:val="0"/>
              <w:autoSpaceDE/>
              <w:autoSpaceDN/>
              <w:bidi w:val="0"/>
              <w:spacing w:before="68" w:line="320" w:lineRule="exact"/>
              <w:ind w:left="240" w:leftChars="100" w:right="127" w:rightChars="53" w:firstLine="0" w:firstLineChars="0"/>
              <w:jc w:val="center"/>
              <w:rPr>
                <w:rFonts w:hint="eastAsia" w:ascii="宋体" w:hAnsi="宋体" w:eastAsia="宋体" w:cs="宋体"/>
                <w:spacing w:val="-8"/>
                <w:kern w:val="2"/>
                <w:sz w:val="21"/>
                <w:szCs w:val="21"/>
                <w:lang w:val="en-US" w:eastAsia="zh-CN" w:bidi="ar-SA"/>
              </w:rPr>
            </w:pPr>
            <w:r>
              <w:rPr>
                <w:rFonts w:hint="eastAsia" w:ascii="宋体" w:hAnsi="宋体" w:eastAsia="宋体" w:cs="宋体"/>
                <w:spacing w:val="-8"/>
                <w:sz w:val="21"/>
                <w:szCs w:val="21"/>
                <w:lang w:val="en-US" w:eastAsia="zh-CN"/>
              </w:rPr>
              <w:t>对未按规定保存新化学物质的申报材料等行为的行政处罚</w:t>
            </w:r>
          </w:p>
        </w:tc>
        <w:tc>
          <w:tcPr>
            <w:tcW w:w="1094" w:type="dxa"/>
            <w:shd w:val="clear" w:color="auto" w:fill="auto"/>
            <w:vAlign w:val="center"/>
          </w:tcPr>
          <w:p w14:paraId="757BDAB4">
            <w:pPr>
              <w:keepNext w:val="0"/>
              <w:keepLines w:val="0"/>
              <w:pageBreakBefore w:val="0"/>
              <w:widowControl w:val="0"/>
              <w:kinsoku/>
              <w:wordWrap/>
              <w:overflowPunct/>
              <w:topLinePunct w:val="0"/>
              <w:autoSpaceDE/>
              <w:autoSpaceDN/>
              <w:bidi w:val="0"/>
              <w:spacing w:before="68" w:line="320" w:lineRule="exact"/>
              <w:ind w:left="0" w:leftChars="0" w:firstLine="0" w:firstLineChars="0"/>
              <w:jc w:val="center"/>
              <w:rPr>
                <w:rFonts w:hint="eastAsia" w:ascii="仿宋_GB2312" w:hAnsi="仿宋_GB2312" w:eastAsia="仿宋_GB2312" w:cs="仿宋_GB2312"/>
                <w:spacing w:val="-8"/>
                <w:kern w:val="2"/>
                <w:sz w:val="24"/>
                <w:szCs w:val="24"/>
                <w:lang w:val="en-US" w:eastAsia="zh-CN" w:bidi="ar-SA"/>
              </w:rPr>
            </w:pPr>
            <w:r>
              <w:rPr>
                <w:rFonts w:hint="eastAsia" w:ascii="仿宋_GB2312" w:hAnsi="仿宋_GB2312" w:eastAsia="仿宋_GB2312" w:cs="仿宋_GB2312"/>
                <w:spacing w:val="-8"/>
                <w:sz w:val="24"/>
                <w:szCs w:val="24"/>
                <w:lang w:val="en-US" w:eastAsia="zh-CN"/>
              </w:rPr>
              <w:t>行政处罚</w:t>
            </w:r>
          </w:p>
        </w:tc>
        <w:tc>
          <w:tcPr>
            <w:tcW w:w="8317" w:type="dxa"/>
            <w:shd w:val="clear" w:color="auto" w:fill="auto"/>
            <w:vAlign w:val="top"/>
          </w:tcPr>
          <w:p w14:paraId="410017BA">
            <w:pPr>
              <w:keepNext w:val="0"/>
              <w:keepLines w:val="0"/>
              <w:pageBreakBefore w:val="0"/>
              <w:widowControl w:val="0"/>
              <w:suppressLineNumbers w:val="0"/>
              <w:kinsoku/>
              <w:wordWrap/>
              <w:overflowPunct/>
              <w:topLinePunct w:val="0"/>
              <w:autoSpaceDE/>
              <w:autoSpaceDN/>
              <w:bidi w:val="0"/>
              <w:adjustRightInd/>
              <w:snapToGrid/>
              <w:spacing w:after="0" w:afterLines="-2147483648" w:line="320" w:lineRule="exact"/>
              <w:ind w:left="240" w:leftChars="100" w:firstLine="420" w:firstLineChars="200"/>
              <w:jc w:val="both"/>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新化学物质环境管理办法》第四十六条违反本办法规定，有下列行为之一的，由负有监督管理职责的地方环境保护部门责令改正，处一万元以上三万元以下罚款：（一）未按规定向加工使用者传递风险控制信息的；（二）未按规定保存新化学物质的申报材料以及生产、进口活动实际情况等相关资料的；（三）将以科学研究以及工艺和产品的研究开发为目的生产或者进口的新化学物质用于其他目的或者未按规定管理的。</w:t>
            </w:r>
          </w:p>
        </w:tc>
        <w:tc>
          <w:tcPr>
            <w:tcW w:w="1129" w:type="dxa"/>
            <w:shd w:val="clear" w:color="auto" w:fill="auto"/>
            <w:vAlign w:val="top"/>
          </w:tcPr>
          <w:p w14:paraId="21654B4D">
            <w:pPr>
              <w:keepNext w:val="0"/>
              <w:keepLines w:val="0"/>
              <w:pageBreakBefore w:val="0"/>
              <w:widowControl w:val="0"/>
              <w:kinsoku/>
              <w:wordWrap/>
              <w:overflowPunct/>
              <w:topLinePunct w:val="0"/>
              <w:autoSpaceDE/>
              <w:autoSpaceDN/>
              <w:bidi w:val="0"/>
              <w:spacing w:before="69" w:line="320" w:lineRule="exact"/>
              <w:ind w:left="49" w:leftChars="0" w:right="26" w:rightChars="0" w:firstLine="404" w:firstLineChars="200"/>
              <w:rPr>
                <w:rFonts w:ascii="宋体" w:hAnsi="宋体" w:eastAsia="宋体" w:cs="宋体"/>
                <w:spacing w:val="-4"/>
                <w:sz w:val="21"/>
                <w:szCs w:val="21"/>
              </w:rPr>
            </w:pPr>
          </w:p>
        </w:tc>
        <w:tc>
          <w:tcPr>
            <w:tcW w:w="990" w:type="dxa"/>
            <w:gridSpan w:val="2"/>
            <w:shd w:val="clear" w:color="auto" w:fill="auto"/>
            <w:vAlign w:val="top"/>
          </w:tcPr>
          <w:p w14:paraId="0C82D206">
            <w:pPr>
              <w:keepNext w:val="0"/>
              <w:keepLines w:val="0"/>
              <w:pageBreakBefore w:val="0"/>
              <w:widowControl w:val="0"/>
              <w:kinsoku/>
              <w:wordWrap/>
              <w:overflowPunct/>
              <w:topLinePunct w:val="0"/>
              <w:autoSpaceDE/>
              <w:autoSpaceDN/>
              <w:bidi w:val="0"/>
              <w:spacing w:before="69" w:line="320" w:lineRule="exact"/>
              <w:ind w:left="204" w:leftChars="0" w:right="59" w:rightChars="0" w:firstLine="404" w:firstLineChars="200"/>
              <w:rPr>
                <w:rFonts w:ascii="宋体" w:hAnsi="宋体" w:eastAsia="宋体" w:cs="宋体"/>
                <w:spacing w:val="-4"/>
                <w:sz w:val="21"/>
                <w:szCs w:val="21"/>
              </w:rPr>
            </w:pPr>
          </w:p>
        </w:tc>
      </w:tr>
      <w:tr w14:paraId="77408B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6" w:hRule="atLeast"/>
        </w:trPr>
        <w:tc>
          <w:tcPr>
            <w:tcW w:w="557" w:type="dxa"/>
            <w:shd w:val="clear" w:color="auto" w:fill="auto"/>
            <w:vAlign w:val="center"/>
          </w:tcPr>
          <w:p w14:paraId="557B05DF">
            <w:pPr>
              <w:keepNext w:val="0"/>
              <w:keepLines w:val="0"/>
              <w:pageBreakBefore w:val="0"/>
              <w:widowControl w:val="0"/>
              <w:kinsoku/>
              <w:wordWrap/>
              <w:overflowPunct/>
              <w:topLinePunct w:val="0"/>
              <w:autoSpaceDE/>
              <w:autoSpaceDN/>
              <w:bidi w:val="0"/>
              <w:spacing w:before="68" w:line="320" w:lineRule="exact"/>
              <w:ind w:left="0" w:leftChars="0" w:firstLine="0" w:firstLineChars="0"/>
              <w:jc w:val="center"/>
              <w:rPr>
                <w:rFonts w:hint="eastAsia" w:ascii="仿宋_GB2312" w:hAnsi="仿宋_GB2312" w:eastAsia="仿宋_GB2312" w:cs="仿宋_GB2312"/>
                <w:spacing w:val="-8"/>
                <w:sz w:val="24"/>
                <w:szCs w:val="24"/>
                <w:lang w:val="en-US" w:eastAsia="zh-CN"/>
              </w:rPr>
            </w:pPr>
            <w:r>
              <w:rPr>
                <w:rFonts w:hint="eastAsia" w:ascii="仿宋_GB2312" w:hAnsi="仿宋_GB2312" w:eastAsia="仿宋_GB2312" w:cs="仿宋_GB2312"/>
                <w:spacing w:val="-8"/>
                <w:sz w:val="24"/>
                <w:szCs w:val="24"/>
                <w:lang w:val="en-US" w:eastAsia="zh-CN"/>
              </w:rPr>
              <w:t>91</w:t>
            </w:r>
          </w:p>
        </w:tc>
        <w:tc>
          <w:tcPr>
            <w:tcW w:w="2355" w:type="dxa"/>
            <w:shd w:val="clear" w:color="auto" w:fill="auto"/>
            <w:vAlign w:val="center"/>
          </w:tcPr>
          <w:p w14:paraId="7C2B083E">
            <w:pPr>
              <w:keepNext w:val="0"/>
              <w:keepLines w:val="0"/>
              <w:pageBreakBefore w:val="0"/>
              <w:widowControl w:val="0"/>
              <w:kinsoku/>
              <w:wordWrap/>
              <w:overflowPunct/>
              <w:topLinePunct w:val="0"/>
              <w:autoSpaceDE/>
              <w:autoSpaceDN/>
              <w:bidi w:val="0"/>
              <w:spacing w:before="68" w:line="320" w:lineRule="exact"/>
              <w:ind w:left="240" w:leftChars="100" w:right="127" w:rightChars="53" w:firstLine="0" w:firstLineChars="0"/>
              <w:jc w:val="center"/>
              <w:rPr>
                <w:rFonts w:hint="eastAsia" w:ascii="宋体" w:hAnsi="宋体" w:eastAsia="宋体" w:cs="宋体"/>
                <w:spacing w:val="-8"/>
                <w:kern w:val="2"/>
                <w:sz w:val="21"/>
                <w:szCs w:val="21"/>
                <w:lang w:val="en-US" w:eastAsia="zh-CN" w:bidi="ar-SA"/>
              </w:rPr>
            </w:pPr>
            <w:r>
              <w:rPr>
                <w:rFonts w:hint="eastAsia" w:ascii="宋体" w:hAnsi="宋体" w:eastAsia="宋体" w:cs="宋体"/>
                <w:spacing w:val="-8"/>
                <w:sz w:val="21"/>
                <w:szCs w:val="21"/>
                <w:lang w:val="en-US" w:eastAsia="zh-CN"/>
              </w:rPr>
              <w:t>对病原微生物实验室未建立污染防治管理的规章制度等行为的行政处罚</w:t>
            </w:r>
          </w:p>
        </w:tc>
        <w:tc>
          <w:tcPr>
            <w:tcW w:w="1094" w:type="dxa"/>
            <w:shd w:val="clear" w:color="auto" w:fill="auto"/>
            <w:vAlign w:val="center"/>
          </w:tcPr>
          <w:p w14:paraId="460E966D">
            <w:pPr>
              <w:keepNext w:val="0"/>
              <w:keepLines w:val="0"/>
              <w:pageBreakBefore w:val="0"/>
              <w:widowControl w:val="0"/>
              <w:kinsoku/>
              <w:wordWrap/>
              <w:overflowPunct/>
              <w:topLinePunct w:val="0"/>
              <w:autoSpaceDE/>
              <w:autoSpaceDN/>
              <w:bidi w:val="0"/>
              <w:spacing w:before="68" w:line="320" w:lineRule="exact"/>
              <w:ind w:left="0" w:leftChars="0" w:firstLine="0" w:firstLineChars="0"/>
              <w:jc w:val="center"/>
              <w:rPr>
                <w:rFonts w:hint="eastAsia" w:ascii="仿宋_GB2312" w:hAnsi="仿宋_GB2312" w:eastAsia="仿宋_GB2312" w:cs="仿宋_GB2312"/>
                <w:spacing w:val="-8"/>
                <w:kern w:val="2"/>
                <w:sz w:val="24"/>
                <w:szCs w:val="24"/>
                <w:lang w:val="en-US" w:eastAsia="zh-CN" w:bidi="ar-SA"/>
              </w:rPr>
            </w:pPr>
            <w:r>
              <w:rPr>
                <w:rFonts w:hint="eastAsia" w:ascii="仿宋_GB2312" w:hAnsi="仿宋_GB2312" w:eastAsia="仿宋_GB2312" w:cs="仿宋_GB2312"/>
                <w:spacing w:val="-8"/>
                <w:sz w:val="24"/>
                <w:szCs w:val="24"/>
                <w:lang w:val="en-US" w:eastAsia="zh-CN"/>
              </w:rPr>
              <w:t>行政处罚</w:t>
            </w:r>
          </w:p>
        </w:tc>
        <w:tc>
          <w:tcPr>
            <w:tcW w:w="8317" w:type="dxa"/>
            <w:shd w:val="clear" w:color="auto" w:fill="auto"/>
            <w:vAlign w:val="top"/>
          </w:tcPr>
          <w:p w14:paraId="711EA17F">
            <w:pPr>
              <w:keepNext w:val="0"/>
              <w:keepLines w:val="0"/>
              <w:pageBreakBefore w:val="0"/>
              <w:widowControl w:val="0"/>
              <w:suppressLineNumbers w:val="0"/>
              <w:kinsoku/>
              <w:wordWrap/>
              <w:overflowPunct/>
              <w:topLinePunct w:val="0"/>
              <w:autoSpaceDE/>
              <w:autoSpaceDN/>
              <w:bidi w:val="0"/>
              <w:adjustRightInd/>
              <w:snapToGrid/>
              <w:spacing w:after="0" w:afterLines="-2147483648" w:line="320" w:lineRule="exact"/>
              <w:ind w:left="240" w:leftChars="100" w:firstLine="420" w:firstLineChars="200"/>
              <w:jc w:val="both"/>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病原微生物实验室生物安全环境管理办法》第二十一条违反本办法有关规定，有下列情形之一的，由县级以上人民政府环境保护行政主管部门责令限期改正，给予警告；逾期不改正的，处1000元以下罚款：（一)未建立实验室污染防治管理的规章制度，或者未设置专（兼）职人员的；（二）未对产生的危险废物进行登记或者未保存登记资料的；（三）未制定环境污染应急预案的。违反本办法规定的其他行为，环境保护法律、行政法规已有处罚规定的，适用其规定。</w:t>
            </w:r>
          </w:p>
        </w:tc>
        <w:tc>
          <w:tcPr>
            <w:tcW w:w="1129" w:type="dxa"/>
            <w:shd w:val="clear" w:color="auto" w:fill="auto"/>
            <w:vAlign w:val="top"/>
          </w:tcPr>
          <w:p w14:paraId="407E465F">
            <w:pPr>
              <w:keepNext w:val="0"/>
              <w:keepLines w:val="0"/>
              <w:pageBreakBefore w:val="0"/>
              <w:widowControl w:val="0"/>
              <w:kinsoku/>
              <w:wordWrap/>
              <w:overflowPunct/>
              <w:topLinePunct w:val="0"/>
              <w:autoSpaceDE/>
              <w:autoSpaceDN/>
              <w:bidi w:val="0"/>
              <w:spacing w:before="69" w:line="320" w:lineRule="exact"/>
              <w:ind w:left="49" w:leftChars="0" w:right="26" w:rightChars="0" w:firstLine="404" w:firstLineChars="200"/>
              <w:rPr>
                <w:rFonts w:ascii="宋体" w:hAnsi="宋体" w:eastAsia="宋体" w:cs="宋体"/>
                <w:spacing w:val="-4"/>
                <w:sz w:val="21"/>
                <w:szCs w:val="21"/>
              </w:rPr>
            </w:pPr>
          </w:p>
        </w:tc>
        <w:tc>
          <w:tcPr>
            <w:tcW w:w="990" w:type="dxa"/>
            <w:gridSpan w:val="2"/>
            <w:shd w:val="clear" w:color="auto" w:fill="auto"/>
            <w:vAlign w:val="top"/>
          </w:tcPr>
          <w:p w14:paraId="70C231F8">
            <w:pPr>
              <w:keepNext w:val="0"/>
              <w:keepLines w:val="0"/>
              <w:pageBreakBefore w:val="0"/>
              <w:widowControl w:val="0"/>
              <w:kinsoku/>
              <w:wordWrap/>
              <w:overflowPunct/>
              <w:topLinePunct w:val="0"/>
              <w:autoSpaceDE/>
              <w:autoSpaceDN/>
              <w:bidi w:val="0"/>
              <w:spacing w:before="69" w:line="320" w:lineRule="exact"/>
              <w:ind w:left="204" w:leftChars="0" w:right="59" w:rightChars="0" w:firstLine="404" w:firstLineChars="200"/>
              <w:rPr>
                <w:rFonts w:ascii="宋体" w:hAnsi="宋体" w:eastAsia="宋体" w:cs="宋体"/>
                <w:spacing w:val="-4"/>
                <w:sz w:val="21"/>
                <w:szCs w:val="21"/>
              </w:rPr>
            </w:pPr>
          </w:p>
        </w:tc>
      </w:tr>
      <w:tr w14:paraId="7CE712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6" w:hRule="atLeast"/>
        </w:trPr>
        <w:tc>
          <w:tcPr>
            <w:tcW w:w="557" w:type="dxa"/>
            <w:shd w:val="clear" w:color="auto" w:fill="auto"/>
            <w:vAlign w:val="center"/>
          </w:tcPr>
          <w:p w14:paraId="5EE6E1DC">
            <w:pPr>
              <w:keepNext w:val="0"/>
              <w:keepLines w:val="0"/>
              <w:pageBreakBefore w:val="0"/>
              <w:widowControl w:val="0"/>
              <w:kinsoku/>
              <w:wordWrap/>
              <w:overflowPunct/>
              <w:topLinePunct w:val="0"/>
              <w:autoSpaceDE/>
              <w:autoSpaceDN/>
              <w:bidi w:val="0"/>
              <w:spacing w:before="68" w:line="320" w:lineRule="exact"/>
              <w:ind w:left="0" w:leftChars="0" w:firstLine="0" w:firstLineChars="0"/>
              <w:jc w:val="center"/>
              <w:rPr>
                <w:rFonts w:hint="eastAsia" w:ascii="仿宋_GB2312" w:hAnsi="仿宋_GB2312" w:eastAsia="仿宋_GB2312" w:cs="仿宋_GB2312"/>
                <w:spacing w:val="-8"/>
                <w:sz w:val="24"/>
                <w:szCs w:val="24"/>
                <w:lang w:val="en-US" w:eastAsia="zh-CN"/>
              </w:rPr>
            </w:pPr>
            <w:r>
              <w:rPr>
                <w:rFonts w:hint="eastAsia" w:ascii="仿宋_GB2312" w:hAnsi="仿宋_GB2312" w:eastAsia="仿宋_GB2312" w:cs="仿宋_GB2312"/>
                <w:spacing w:val="-8"/>
                <w:sz w:val="24"/>
                <w:szCs w:val="24"/>
                <w:lang w:val="en-US" w:eastAsia="zh-CN"/>
              </w:rPr>
              <w:t>92</w:t>
            </w:r>
          </w:p>
        </w:tc>
        <w:tc>
          <w:tcPr>
            <w:tcW w:w="2355" w:type="dxa"/>
            <w:shd w:val="clear" w:color="auto" w:fill="auto"/>
            <w:vAlign w:val="center"/>
          </w:tcPr>
          <w:p w14:paraId="21F7295E">
            <w:pPr>
              <w:keepNext w:val="0"/>
              <w:keepLines w:val="0"/>
              <w:pageBreakBefore w:val="0"/>
              <w:widowControl w:val="0"/>
              <w:kinsoku/>
              <w:wordWrap/>
              <w:overflowPunct/>
              <w:topLinePunct w:val="0"/>
              <w:autoSpaceDE/>
              <w:autoSpaceDN/>
              <w:bidi w:val="0"/>
              <w:spacing w:before="68" w:line="320" w:lineRule="exact"/>
              <w:ind w:left="240" w:leftChars="100" w:right="127" w:rightChars="53" w:firstLine="0" w:firstLineChars="0"/>
              <w:jc w:val="center"/>
              <w:rPr>
                <w:rFonts w:hint="eastAsia" w:ascii="宋体" w:hAnsi="宋体" w:eastAsia="宋体" w:cs="宋体"/>
                <w:spacing w:val="-8"/>
                <w:kern w:val="2"/>
                <w:sz w:val="21"/>
                <w:szCs w:val="21"/>
                <w:lang w:val="en-US" w:eastAsia="zh-CN" w:bidi="ar-SA"/>
              </w:rPr>
            </w:pPr>
            <w:r>
              <w:rPr>
                <w:rFonts w:hint="eastAsia" w:ascii="宋体" w:hAnsi="宋体" w:eastAsia="宋体" w:cs="宋体"/>
                <w:spacing w:val="-8"/>
                <w:sz w:val="21"/>
                <w:szCs w:val="21"/>
                <w:lang w:val="en-US" w:eastAsia="zh-CN"/>
              </w:rPr>
              <w:t>对无危险废物出口核准通知单或者不按照危险废物出口核准通知单出口危险废物行为的行政处罚</w:t>
            </w:r>
          </w:p>
        </w:tc>
        <w:tc>
          <w:tcPr>
            <w:tcW w:w="1094" w:type="dxa"/>
            <w:shd w:val="clear" w:color="auto" w:fill="auto"/>
            <w:vAlign w:val="center"/>
          </w:tcPr>
          <w:p w14:paraId="323626D2">
            <w:pPr>
              <w:keepNext w:val="0"/>
              <w:keepLines w:val="0"/>
              <w:pageBreakBefore w:val="0"/>
              <w:widowControl w:val="0"/>
              <w:kinsoku/>
              <w:wordWrap/>
              <w:overflowPunct/>
              <w:topLinePunct w:val="0"/>
              <w:autoSpaceDE/>
              <w:autoSpaceDN/>
              <w:bidi w:val="0"/>
              <w:spacing w:before="68" w:line="320" w:lineRule="exact"/>
              <w:ind w:left="0" w:leftChars="0" w:firstLine="0" w:firstLineChars="0"/>
              <w:jc w:val="center"/>
              <w:rPr>
                <w:rFonts w:hint="eastAsia" w:ascii="仿宋_GB2312" w:hAnsi="仿宋_GB2312" w:eastAsia="仿宋_GB2312" w:cs="仿宋_GB2312"/>
                <w:spacing w:val="-8"/>
                <w:kern w:val="2"/>
                <w:sz w:val="24"/>
                <w:szCs w:val="24"/>
                <w:lang w:val="en-US" w:eastAsia="zh-CN" w:bidi="ar-SA"/>
              </w:rPr>
            </w:pPr>
            <w:r>
              <w:rPr>
                <w:rFonts w:hint="eastAsia" w:ascii="仿宋_GB2312" w:hAnsi="仿宋_GB2312" w:eastAsia="仿宋_GB2312" w:cs="仿宋_GB2312"/>
                <w:spacing w:val="-8"/>
                <w:sz w:val="24"/>
                <w:szCs w:val="24"/>
                <w:lang w:val="en-US" w:eastAsia="zh-CN"/>
              </w:rPr>
              <w:t>行政处罚</w:t>
            </w:r>
          </w:p>
        </w:tc>
        <w:tc>
          <w:tcPr>
            <w:tcW w:w="8317" w:type="dxa"/>
            <w:shd w:val="clear" w:color="auto" w:fill="auto"/>
            <w:vAlign w:val="top"/>
          </w:tcPr>
          <w:p w14:paraId="4F244298">
            <w:pPr>
              <w:keepNext w:val="0"/>
              <w:keepLines w:val="0"/>
              <w:pageBreakBefore w:val="0"/>
              <w:widowControl w:val="0"/>
              <w:suppressLineNumbers w:val="0"/>
              <w:kinsoku/>
              <w:wordWrap/>
              <w:overflowPunct/>
              <w:topLinePunct w:val="0"/>
              <w:autoSpaceDE/>
              <w:autoSpaceDN/>
              <w:bidi w:val="0"/>
              <w:adjustRightInd/>
              <w:snapToGrid/>
              <w:spacing w:after="0" w:afterLines="-2147483648" w:line="320" w:lineRule="exact"/>
              <w:ind w:left="240" w:leftChars="100" w:firstLine="420" w:firstLineChars="200"/>
              <w:jc w:val="both"/>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危险废物出口核准管理办法》第三条产生、收集、贮存、处置、利用危险废物的单位，向中华人民共和国境外《巴塞尔公约》缔约方出口危险废物，必须取得危险废物出口核准。本办法所称危险废物，是指列入国家危险废物名录或者根据国家规定的危险废物鉴别标准和鉴别方法认定的具有危险特性的固体废物。《巴塞尔公约》规定的“危险废物”和“其他废物”，以及进口缔约方或者过境缔约方立法确定的“危险废物”，其出口核准管理也适用本办法。第二十一条第一款违反本办法规定，无危险废物出口核准通知单或者不按照危险废物出口核准通知单出口危险废物的，由县级以上人民政府环境保护行政主管部门责令改正，并处3万元以下的罚款。</w:t>
            </w:r>
          </w:p>
        </w:tc>
        <w:tc>
          <w:tcPr>
            <w:tcW w:w="1129" w:type="dxa"/>
            <w:shd w:val="clear" w:color="auto" w:fill="auto"/>
            <w:vAlign w:val="top"/>
          </w:tcPr>
          <w:p w14:paraId="4AE93B17">
            <w:pPr>
              <w:keepNext w:val="0"/>
              <w:keepLines w:val="0"/>
              <w:pageBreakBefore w:val="0"/>
              <w:widowControl w:val="0"/>
              <w:kinsoku/>
              <w:wordWrap/>
              <w:overflowPunct/>
              <w:topLinePunct w:val="0"/>
              <w:autoSpaceDE/>
              <w:autoSpaceDN/>
              <w:bidi w:val="0"/>
              <w:spacing w:before="69" w:line="320" w:lineRule="exact"/>
              <w:ind w:left="49" w:leftChars="0" w:right="26" w:rightChars="0" w:firstLine="404" w:firstLineChars="200"/>
              <w:rPr>
                <w:rFonts w:ascii="宋体" w:hAnsi="宋体" w:eastAsia="宋体" w:cs="宋体"/>
                <w:spacing w:val="-4"/>
                <w:sz w:val="21"/>
                <w:szCs w:val="21"/>
              </w:rPr>
            </w:pPr>
          </w:p>
        </w:tc>
        <w:tc>
          <w:tcPr>
            <w:tcW w:w="990" w:type="dxa"/>
            <w:gridSpan w:val="2"/>
            <w:shd w:val="clear" w:color="auto" w:fill="auto"/>
            <w:vAlign w:val="top"/>
          </w:tcPr>
          <w:p w14:paraId="5680985E">
            <w:pPr>
              <w:keepNext w:val="0"/>
              <w:keepLines w:val="0"/>
              <w:pageBreakBefore w:val="0"/>
              <w:widowControl w:val="0"/>
              <w:kinsoku/>
              <w:wordWrap/>
              <w:overflowPunct/>
              <w:topLinePunct w:val="0"/>
              <w:autoSpaceDE/>
              <w:autoSpaceDN/>
              <w:bidi w:val="0"/>
              <w:spacing w:before="69" w:line="320" w:lineRule="exact"/>
              <w:ind w:left="204" w:leftChars="0" w:right="59" w:rightChars="0" w:firstLine="404" w:firstLineChars="200"/>
              <w:rPr>
                <w:rFonts w:ascii="宋体" w:hAnsi="宋体" w:eastAsia="宋体" w:cs="宋体"/>
                <w:spacing w:val="-4"/>
                <w:sz w:val="21"/>
                <w:szCs w:val="21"/>
              </w:rPr>
            </w:pPr>
          </w:p>
        </w:tc>
      </w:tr>
      <w:tr w14:paraId="415F9D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6" w:hRule="atLeast"/>
        </w:trPr>
        <w:tc>
          <w:tcPr>
            <w:tcW w:w="557" w:type="dxa"/>
            <w:shd w:val="clear" w:color="auto" w:fill="auto"/>
            <w:vAlign w:val="center"/>
          </w:tcPr>
          <w:p w14:paraId="5702A8B7">
            <w:pPr>
              <w:keepNext w:val="0"/>
              <w:keepLines w:val="0"/>
              <w:pageBreakBefore w:val="0"/>
              <w:widowControl w:val="0"/>
              <w:kinsoku/>
              <w:wordWrap/>
              <w:overflowPunct/>
              <w:topLinePunct w:val="0"/>
              <w:autoSpaceDE/>
              <w:autoSpaceDN/>
              <w:bidi w:val="0"/>
              <w:spacing w:before="68" w:line="320" w:lineRule="exact"/>
              <w:ind w:left="0" w:leftChars="0" w:firstLine="0" w:firstLineChars="0"/>
              <w:jc w:val="center"/>
              <w:rPr>
                <w:rFonts w:hint="eastAsia" w:ascii="仿宋_GB2312" w:hAnsi="仿宋_GB2312" w:eastAsia="仿宋_GB2312" w:cs="仿宋_GB2312"/>
                <w:spacing w:val="-8"/>
                <w:sz w:val="24"/>
                <w:szCs w:val="24"/>
                <w:lang w:val="en-US" w:eastAsia="zh-CN"/>
              </w:rPr>
            </w:pPr>
            <w:r>
              <w:rPr>
                <w:rFonts w:hint="eastAsia" w:ascii="仿宋_GB2312" w:hAnsi="仿宋_GB2312" w:eastAsia="仿宋_GB2312" w:cs="仿宋_GB2312"/>
                <w:spacing w:val="-8"/>
                <w:sz w:val="24"/>
                <w:szCs w:val="24"/>
                <w:lang w:val="en-US" w:eastAsia="zh-CN"/>
              </w:rPr>
              <w:t>93</w:t>
            </w:r>
          </w:p>
        </w:tc>
        <w:tc>
          <w:tcPr>
            <w:tcW w:w="2355" w:type="dxa"/>
            <w:shd w:val="clear" w:color="auto" w:fill="auto"/>
            <w:vAlign w:val="center"/>
          </w:tcPr>
          <w:p w14:paraId="1DAD6DD9">
            <w:pPr>
              <w:keepNext w:val="0"/>
              <w:keepLines w:val="0"/>
              <w:pageBreakBefore w:val="0"/>
              <w:widowControl w:val="0"/>
              <w:kinsoku/>
              <w:wordWrap/>
              <w:overflowPunct/>
              <w:topLinePunct w:val="0"/>
              <w:autoSpaceDE/>
              <w:autoSpaceDN/>
              <w:bidi w:val="0"/>
              <w:spacing w:before="68" w:line="320" w:lineRule="exact"/>
              <w:ind w:left="240" w:leftChars="100" w:right="127" w:rightChars="53" w:firstLine="0" w:firstLineChars="0"/>
              <w:jc w:val="center"/>
              <w:rPr>
                <w:rFonts w:hint="eastAsia" w:ascii="宋体" w:hAnsi="宋体" w:eastAsia="宋体" w:cs="宋体"/>
                <w:spacing w:val="-8"/>
                <w:kern w:val="2"/>
                <w:sz w:val="21"/>
                <w:szCs w:val="21"/>
                <w:lang w:val="en-US" w:eastAsia="zh-CN" w:bidi="ar-SA"/>
              </w:rPr>
            </w:pPr>
            <w:r>
              <w:rPr>
                <w:rFonts w:hint="eastAsia" w:ascii="宋体" w:hAnsi="宋体" w:eastAsia="宋体" w:cs="宋体"/>
                <w:spacing w:val="-8"/>
                <w:sz w:val="21"/>
                <w:szCs w:val="21"/>
                <w:lang w:val="en-US" w:eastAsia="zh-CN"/>
              </w:rPr>
              <w:t>对未按规定申领、填写危险废物转移联单等行为的行政处罚</w:t>
            </w:r>
          </w:p>
        </w:tc>
        <w:tc>
          <w:tcPr>
            <w:tcW w:w="1094" w:type="dxa"/>
            <w:shd w:val="clear" w:color="auto" w:fill="auto"/>
            <w:vAlign w:val="center"/>
          </w:tcPr>
          <w:p w14:paraId="7F5F779C">
            <w:pPr>
              <w:keepNext w:val="0"/>
              <w:keepLines w:val="0"/>
              <w:pageBreakBefore w:val="0"/>
              <w:widowControl w:val="0"/>
              <w:kinsoku/>
              <w:wordWrap/>
              <w:overflowPunct/>
              <w:topLinePunct w:val="0"/>
              <w:autoSpaceDE/>
              <w:autoSpaceDN/>
              <w:bidi w:val="0"/>
              <w:spacing w:before="68" w:line="320" w:lineRule="exact"/>
              <w:ind w:left="0" w:leftChars="0" w:firstLine="0" w:firstLineChars="0"/>
              <w:jc w:val="center"/>
              <w:rPr>
                <w:rFonts w:hint="eastAsia" w:ascii="仿宋_GB2312" w:hAnsi="仿宋_GB2312" w:eastAsia="仿宋_GB2312" w:cs="仿宋_GB2312"/>
                <w:spacing w:val="-8"/>
                <w:kern w:val="2"/>
                <w:sz w:val="24"/>
                <w:szCs w:val="24"/>
                <w:lang w:val="en-US" w:eastAsia="zh-CN" w:bidi="ar-SA"/>
              </w:rPr>
            </w:pPr>
            <w:r>
              <w:rPr>
                <w:rFonts w:hint="eastAsia" w:ascii="仿宋_GB2312" w:hAnsi="仿宋_GB2312" w:eastAsia="仿宋_GB2312" w:cs="仿宋_GB2312"/>
                <w:spacing w:val="-8"/>
                <w:sz w:val="24"/>
                <w:szCs w:val="24"/>
                <w:lang w:val="en-US" w:eastAsia="zh-CN"/>
              </w:rPr>
              <w:t>行政处罚</w:t>
            </w:r>
          </w:p>
        </w:tc>
        <w:tc>
          <w:tcPr>
            <w:tcW w:w="8317" w:type="dxa"/>
            <w:shd w:val="clear" w:color="auto" w:fill="auto"/>
            <w:vAlign w:val="top"/>
          </w:tcPr>
          <w:p w14:paraId="3367E8B4">
            <w:pPr>
              <w:keepNext w:val="0"/>
              <w:keepLines w:val="0"/>
              <w:pageBreakBefore w:val="0"/>
              <w:widowControl w:val="0"/>
              <w:suppressLineNumbers w:val="0"/>
              <w:kinsoku/>
              <w:wordWrap/>
              <w:overflowPunct/>
              <w:topLinePunct w:val="0"/>
              <w:autoSpaceDE/>
              <w:autoSpaceDN/>
              <w:bidi w:val="0"/>
              <w:adjustRightInd/>
              <w:snapToGrid/>
              <w:spacing w:after="0" w:afterLines="-2147483648" w:line="320" w:lineRule="exact"/>
              <w:ind w:left="240" w:leftChars="100" w:firstLine="420" w:firstLineChars="200"/>
              <w:jc w:val="both"/>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中华人民共和国固体废物污染环境防治法》第一百一十二条违反本法规定，有下列行为之一，由生态环境主管部门责令改正，处以罚款，没收违法所得；情节严重的，报经有批准权的人民政府批准，可以责令停业或者关闭：（一）未按照规定设置危险废物识别标志的；（二）未按照国家有关规定制定危险废物管理计划或者申报危险废物有关资料的；（三）擅自倾倒、堆放危险废物的；（四）将危险废物提供或者委托给无许可证的单位或者其他生产经营者从事经营活动的；（五）未按照国家有关规定填写、运行危险废物转移联单或者未经批准擅自转移危险废物的；（六）未按照国家环境保护标准贮存、利用、处置危险废物或者将危险废物混入非危险废物中贮存的；（七）未经安全性处置，混合收集、贮存、运输、处置具有不相容性质的危险废物的；（八）将危险废物与旅客在同一运输工具上载运的；（九）未经消除污染处理，将收集、贮存、运输、处置危险废物的场所、设施、设备和容器、包装物及其他物品转作他用的；（十）未采取相应防范措施，造成危险废物扬散、流失、渗漏或者其他环境污染的；（十一）在运输过程中沿途丢弃、遗撒危险废物的；（十二）未制定危险废物意外事故防范措施和应急预案的；（十三）未按照国家有关规定建立危险废物管理台账并如实记录的。有前款第一项、第二项、第五项、第六项、第七项、第八项、第九项、第十二项、第十三项行为之一，处十万元以上一百万元以下的罚款；有前款第三项、第四项、第十项、第十一项行为之一，处所需处置费用三倍以上五倍以下的罚款，所需处置费用不足二十万元的，按二十万元计算。</w:t>
            </w:r>
          </w:p>
        </w:tc>
        <w:tc>
          <w:tcPr>
            <w:tcW w:w="1129" w:type="dxa"/>
            <w:shd w:val="clear" w:color="auto" w:fill="auto"/>
            <w:vAlign w:val="top"/>
          </w:tcPr>
          <w:p w14:paraId="7909104E">
            <w:pPr>
              <w:keepNext w:val="0"/>
              <w:keepLines w:val="0"/>
              <w:pageBreakBefore w:val="0"/>
              <w:widowControl w:val="0"/>
              <w:kinsoku/>
              <w:wordWrap/>
              <w:overflowPunct/>
              <w:topLinePunct w:val="0"/>
              <w:autoSpaceDE/>
              <w:autoSpaceDN/>
              <w:bidi w:val="0"/>
              <w:spacing w:before="69" w:line="320" w:lineRule="exact"/>
              <w:ind w:left="49" w:leftChars="0" w:right="26" w:rightChars="0" w:firstLine="404" w:firstLineChars="200"/>
              <w:rPr>
                <w:rFonts w:ascii="宋体" w:hAnsi="宋体" w:eastAsia="宋体" w:cs="宋体"/>
                <w:spacing w:val="-4"/>
                <w:sz w:val="21"/>
                <w:szCs w:val="21"/>
              </w:rPr>
            </w:pPr>
          </w:p>
        </w:tc>
        <w:tc>
          <w:tcPr>
            <w:tcW w:w="990" w:type="dxa"/>
            <w:gridSpan w:val="2"/>
            <w:shd w:val="clear" w:color="auto" w:fill="auto"/>
            <w:vAlign w:val="top"/>
          </w:tcPr>
          <w:p w14:paraId="168315D1">
            <w:pPr>
              <w:keepNext w:val="0"/>
              <w:keepLines w:val="0"/>
              <w:pageBreakBefore w:val="0"/>
              <w:widowControl w:val="0"/>
              <w:kinsoku/>
              <w:wordWrap/>
              <w:overflowPunct/>
              <w:topLinePunct w:val="0"/>
              <w:autoSpaceDE/>
              <w:autoSpaceDN/>
              <w:bidi w:val="0"/>
              <w:spacing w:before="69" w:line="320" w:lineRule="exact"/>
              <w:ind w:left="204" w:leftChars="0" w:right="59" w:rightChars="0" w:firstLine="404" w:firstLineChars="200"/>
              <w:rPr>
                <w:rFonts w:ascii="宋体" w:hAnsi="宋体" w:eastAsia="宋体" w:cs="宋体"/>
                <w:spacing w:val="-4"/>
                <w:sz w:val="21"/>
                <w:szCs w:val="21"/>
              </w:rPr>
            </w:pPr>
          </w:p>
        </w:tc>
      </w:tr>
      <w:tr w14:paraId="7B3871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6" w:hRule="atLeast"/>
        </w:trPr>
        <w:tc>
          <w:tcPr>
            <w:tcW w:w="557" w:type="dxa"/>
            <w:shd w:val="clear" w:color="auto" w:fill="auto"/>
            <w:vAlign w:val="center"/>
          </w:tcPr>
          <w:p w14:paraId="3BD03788">
            <w:pPr>
              <w:keepNext w:val="0"/>
              <w:keepLines w:val="0"/>
              <w:pageBreakBefore w:val="0"/>
              <w:widowControl w:val="0"/>
              <w:kinsoku/>
              <w:wordWrap/>
              <w:overflowPunct/>
              <w:topLinePunct w:val="0"/>
              <w:autoSpaceDE/>
              <w:autoSpaceDN/>
              <w:bidi w:val="0"/>
              <w:spacing w:before="68" w:line="320" w:lineRule="exact"/>
              <w:ind w:left="0" w:leftChars="0" w:firstLine="0" w:firstLineChars="0"/>
              <w:jc w:val="center"/>
              <w:rPr>
                <w:rFonts w:hint="eastAsia" w:ascii="仿宋_GB2312" w:hAnsi="仿宋_GB2312" w:eastAsia="仿宋_GB2312" w:cs="仿宋_GB2312"/>
                <w:spacing w:val="-8"/>
                <w:sz w:val="24"/>
                <w:szCs w:val="24"/>
                <w:lang w:val="en-US" w:eastAsia="zh-CN"/>
              </w:rPr>
            </w:pPr>
            <w:r>
              <w:rPr>
                <w:rFonts w:hint="eastAsia" w:ascii="仿宋_GB2312" w:hAnsi="仿宋_GB2312" w:eastAsia="仿宋_GB2312" w:cs="仿宋_GB2312"/>
                <w:spacing w:val="-8"/>
                <w:sz w:val="24"/>
                <w:szCs w:val="24"/>
                <w:lang w:val="en-US" w:eastAsia="zh-CN"/>
              </w:rPr>
              <w:t>94</w:t>
            </w:r>
          </w:p>
        </w:tc>
        <w:tc>
          <w:tcPr>
            <w:tcW w:w="2355" w:type="dxa"/>
            <w:shd w:val="clear" w:color="auto" w:fill="auto"/>
            <w:vAlign w:val="center"/>
          </w:tcPr>
          <w:p w14:paraId="05DF6A26">
            <w:pPr>
              <w:keepNext w:val="0"/>
              <w:keepLines w:val="0"/>
              <w:pageBreakBefore w:val="0"/>
              <w:widowControl w:val="0"/>
              <w:kinsoku/>
              <w:wordWrap/>
              <w:overflowPunct/>
              <w:topLinePunct w:val="0"/>
              <w:autoSpaceDE/>
              <w:autoSpaceDN/>
              <w:bidi w:val="0"/>
              <w:spacing w:before="68" w:line="320" w:lineRule="exact"/>
              <w:ind w:left="240" w:leftChars="100" w:right="127" w:rightChars="53" w:firstLine="0" w:firstLineChars="0"/>
              <w:jc w:val="center"/>
              <w:rPr>
                <w:rFonts w:hint="eastAsia" w:ascii="宋体" w:hAnsi="宋体" w:eastAsia="宋体" w:cs="宋体"/>
                <w:spacing w:val="-8"/>
                <w:kern w:val="2"/>
                <w:sz w:val="21"/>
                <w:szCs w:val="21"/>
                <w:lang w:val="en-US" w:eastAsia="zh-CN" w:bidi="ar-SA"/>
              </w:rPr>
            </w:pPr>
            <w:r>
              <w:rPr>
                <w:rFonts w:hint="eastAsia" w:ascii="宋体" w:hAnsi="宋体" w:eastAsia="宋体" w:cs="宋体"/>
                <w:spacing w:val="-8"/>
                <w:sz w:val="21"/>
                <w:szCs w:val="21"/>
                <w:lang w:val="en-US" w:eastAsia="zh-CN"/>
              </w:rPr>
              <w:t>未按照国家有关规定制定危险废物管理计划或者申报危险废物有关资料等行为的行政处罚</w:t>
            </w:r>
          </w:p>
        </w:tc>
        <w:tc>
          <w:tcPr>
            <w:tcW w:w="1094" w:type="dxa"/>
            <w:shd w:val="clear" w:color="auto" w:fill="auto"/>
            <w:vAlign w:val="center"/>
          </w:tcPr>
          <w:p w14:paraId="6D8F8CBB">
            <w:pPr>
              <w:keepNext w:val="0"/>
              <w:keepLines w:val="0"/>
              <w:pageBreakBefore w:val="0"/>
              <w:widowControl w:val="0"/>
              <w:kinsoku/>
              <w:wordWrap/>
              <w:overflowPunct/>
              <w:topLinePunct w:val="0"/>
              <w:autoSpaceDE/>
              <w:autoSpaceDN/>
              <w:bidi w:val="0"/>
              <w:spacing w:before="68" w:line="320" w:lineRule="exact"/>
              <w:ind w:left="0" w:leftChars="0" w:firstLine="0" w:firstLineChars="0"/>
              <w:jc w:val="center"/>
              <w:rPr>
                <w:rFonts w:hint="eastAsia" w:ascii="仿宋_GB2312" w:hAnsi="仿宋_GB2312" w:eastAsia="仿宋_GB2312" w:cs="仿宋_GB2312"/>
                <w:spacing w:val="-8"/>
                <w:kern w:val="2"/>
                <w:sz w:val="24"/>
                <w:szCs w:val="24"/>
                <w:lang w:val="en-US" w:eastAsia="zh-CN" w:bidi="ar-SA"/>
              </w:rPr>
            </w:pPr>
            <w:r>
              <w:rPr>
                <w:rFonts w:hint="eastAsia" w:ascii="仿宋_GB2312" w:hAnsi="仿宋_GB2312" w:eastAsia="仿宋_GB2312" w:cs="仿宋_GB2312"/>
                <w:spacing w:val="-8"/>
                <w:sz w:val="24"/>
                <w:szCs w:val="24"/>
                <w:lang w:val="en-US" w:eastAsia="zh-CN"/>
              </w:rPr>
              <w:t>行政处罚</w:t>
            </w:r>
          </w:p>
        </w:tc>
        <w:tc>
          <w:tcPr>
            <w:tcW w:w="8317" w:type="dxa"/>
            <w:shd w:val="clear" w:color="auto" w:fill="auto"/>
            <w:vAlign w:val="top"/>
          </w:tcPr>
          <w:p w14:paraId="341E15BE">
            <w:pPr>
              <w:keepNext w:val="0"/>
              <w:keepLines w:val="0"/>
              <w:pageBreakBefore w:val="0"/>
              <w:widowControl w:val="0"/>
              <w:suppressLineNumbers w:val="0"/>
              <w:kinsoku/>
              <w:wordWrap/>
              <w:overflowPunct/>
              <w:topLinePunct w:val="0"/>
              <w:autoSpaceDE/>
              <w:autoSpaceDN/>
              <w:bidi w:val="0"/>
              <w:adjustRightInd/>
              <w:snapToGrid/>
              <w:spacing w:after="0" w:afterLines="-2147483648" w:line="320" w:lineRule="exact"/>
              <w:ind w:left="240" w:leftChars="100" w:firstLine="420" w:firstLineChars="200"/>
              <w:jc w:val="both"/>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中华人民共和国固体废物污染环境防治法》第一百一十二条违反本法规定，有下列行为之一，由生态环境主管部门责令改正，处以罚款，没收违法所得；情节严重的，报经有批准权的人民政府批准，可以责令停业或者关闭：（二）未按照国家有关规定制定危险废物管理计划或者申报危险废物有关资料的；有前款第一项、第二项、第五项、第六项、第七项、第八项、第九项、第十二项、第十三项行为之一，处十万元以上一百万元以下的罚款；有前款第三项、第四项、第十项、第十一项行为之一，处所需处置费用三倍以上五倍以下的罚款，所需处置费用不足二十万元的，按二十万元计算。</w:t>
            </w:r>
          </w:p>
        </w:tc>
        <w:tc>
          <w:tcPr>
            <w:tcW w:w="1129" w:type="dxa"/>
            <w:shd w:val="clear" w:color="auto" w:fill="auto"/>
            <w:vAlign w:val="top"/>
          </w:tcPr>
          <w:p w14:paraId="57CE513F">
            <w:pPr>
              <w:keepNext w:val="0"/>
              <w:keepLines w:val="0"/>
              <w:pageBreakBefore w:val="0"/>
              <w:widowControl w:val="0"/>
              <w:kinsoku/>
              <w:wordWrap/>
              <w:overflowPunct/>
              <w:topLinePunct w:val="0"/>
              <w:autoSpaceDE/>
              <w:autoSpaceDN/>
              <w:bidi w:val="0"/>
              <w:spacing w:before="69" w:line="320" w:lineRule="exact"/>
              <w:ind w:left="49" w:leftChars="0" w:right="26" w:rightChars="0" w:firstLine="404" w:firstLineChars="200"/>
              <w:rPr>
                <w:rFonts w:ascii="宋体" w:hAnsi="宋体" w:eastAsia="宋体" w:cs="宋体"/>
                <w:spacing w:val="-4"/>
                <w:sz w:val="21"/>
                <w:szCs w:val="21"/>
              </w:rPr>
            </w:pPr>
          </w:p>
        </w:tc>
        <w:tc>
          <w:tcPr>
            <w:tcW w:w="990" w:type="dxa"/>
            <w:gridSpan w:val="2"/>
            <w:shd w:val="clear" w:color="auto" w:fill="auto"/>
            <w:vAlign w:val="top"/>
          </w:tcPr>
          <w:p w14:paraId="06207D35">
            <w:pPr>
              <w:keepNext w:val="0"/>
              <w:keepLines w:val="0"/>
              <w:pageBreakBefore w:val="0"/>
              <w:widowControl w:val="0"/>
              <w:kinsoku/>
              <w:wordWrap/>
              <w:overflowPunct/>
              <w:topLinePunct w:val="0"/>
              <w:autoSpaceDE/>
              <w:autoSpaceDN/>
              <w:bidi w:val="0"/>
              <w:spacing w:before="69" w:line="320" w:lineRule="exact"/>
              <w:ind w:left="204" w:leftChars="0" w:right="59" w:rightChars="0" w:firstLine="404" w:firstLineChars="200"/>
              <w:rPr>
                <w:rFonts w:ascii="宋体" w:hAnsi="宋体" w:eastAsia="宋体" w:cs="宋体"/>
                <w:spacing w:val="-4"/>
                <w:sz w:val="21"/>
                <w:szCs w:val="21"/>
              </w:rPr>
            </w:pPr>
          </w:p>
        </w:tc>
      </w:tr>
      <w:tr w14:paraId="548B7E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6" w:hRule="atLeast"/>
        </w:trPr>
        <w:tc>
          <w:tcPr>
            <w:tcW w:w="557" w:type="dxa"/>
            <w:shd w:val="clear" w:color="auto" w:fill="auto"/>
            <w:vAlign w:val="center"/>
          </w:tcPr>
          <w:p w14:paraId="1A1483A7">
            <w:pPr>
              <w:keepNext w:val="0"/>
              <w:keepLines w:val="0"/>
              <w:pageBreakBefore w:val="0"/>
              <w:widowControl w:val="0"/>
              <w:kinsoku/>
              <w:wordWrap/>
              <w:overflowPunct/>
              <w:topLinePunct w:val="0"/>
              <w:autoSpaceDE/>
              <w:autoSpaceDN/>
              <w:bidi w:val="0"/>
              <w:spacing w:before="68" w:line="320" w:lineRule="exact"/>
              <w:ind w:left="0" w:leftChars="0" w:firstLine="0" w:firstLineChars="0"/>
              <w:jc w:val="center"/>
              <w:rPr>
                <w:rFonts w:hint="eastAsia" w:ascii="仿宋_GB2312" w:hAnsi="仿宋_GB2312" w:eastAsia="仿宋_GB2312" w:cs="仿宋_GB2312"/>
                <w:spacing w:val="-8"/>
                <w:sz w:val="24"/>
                <w:szCs w:val="24"/>
                <w:lang w:val="en-US" w:eastAsia="zh-CN"/>
              </w:rPr>
            </w:pPr>
            <w:r>
              <w:rPr>
                <w:rFonts w:hint="eastAsia" w:ascii="仿宋_GB2312" w:hAnsi="仿宋_GB2312" w:eastAsia="仿宋_GB2312" w:cs="仿宋_GB2312"/>
                <w:spacing w:val="-8"/>
                <w:sz w:val="24"/>
                <w:szCs w:val="24"/>
                <w:lang w:val="en-US" w:eastAsia="zh-CN"/>
              </w:rPr>
              <w:t>95</w:t>
            </w:r>
          </w:p>
        </w:tc>
        <w:tc>
          <w:tcPr>
            <w:tcW w:w="2355" w:type="dxa"/>
            <w:shd w:val="clear" w:color="auto" w:fill="auto"/>
            <w:vAlign w:val="center"/>
          </w:tcPr>
          <w:p w14:paraId="71ACA909">
            <w:pPr>
              <w:keepNext w:val="0"/>
              <w:keepLines w:val="0"/>
              <w:pageBreakBefore w:val="0"/>
              <w:widowControl w:val="0"/>
              <w:kinsoku/>
              <w:wordWrap/>
              <w:overflowPunct/>
              <w:topLinePunct w:val="0"/>
              <w:autoSpaceDE/>
              <w:autoSpaceDN/>
              <w:bidi w:val="0"/>
              <w:spacing w:before="68" w:line="320" w:lineRule="exact"/>
              <w:ind w:left="240" w:leftChars="100" w:right="127" w:rightChars="53" w:firstLine="0" w:firstLineChars="0"/>
              <w:jc w:val="center"/>
              <w:rPr>
                <w:rFonts w:hint="eastAsia" w:ascii="宋体" w:hAnsi="宋体" w:eastAsia="宋体" w:cs="宋体"/>
                <w:spacing w:val="-8"/>
                <w:kern w:val="2"/>
                <w:sz w:val="21"/>
                <w:szCs w:val="21"/>
                <w:lang w:val="en-US" w:eastAsia="zh-CN" w:bidi="ar-SA"/>
              </w:rPr>
            </w:pPr>
            <w:r>
              <w:rPr>
                <w:rFonts w:hint="eastAsia" w:ascii="宋体" w:hAnsi="宋体" w:eastAsia="宋体" w:cs="宋体"/>
                <w:spacing w:val="-8"/>
                <w:sz w:val="21"/>
                <w:szCs w:val="21"/>
                <w:lang w:val="en-US" w:eastAsia="zh-CN"/>
              </w:rPr>
              <w:t>对未按规定向原发证机关申请办理危险废物经营许可证变更手续行为的行政处罚</w:t>
            </w:r>
          </w:p>
        </w:tc>
        <w:tc>
          <w:tcPr>
            <w:tcW w:w="1094" w:type="dxa"/>
            <w:shd w:val="clear" w:color="auto" w:fill="auto"/>
            <w:vAlign w:val="center"/>
          </w:tcPr>
          <w:p w14:paraId="3234B3BC">
            <w:pPr>
              <w:keepNext w:val="0"/>
              <w:keepLines w:val="0"/>
              <w:pageBreakBefore w:val="0"/>
              <w:widowControl w:val="0"/>
              <w:kinsoku/>
              <w:wordWrap/>
              <w:overflowPunct/>
              <w:topLinePunct w:val="0"/>
              <w:autoSpaceDE/>
              <w:autoSpaceDN/>
              <w:bidi w:val="0"/>
              <w:spacing w:before="68" w:line="320" w:lineRule="exact"/>
              <w:ind w:left="0" w:leftChars="0" w:firstLine="0" w:firstLineChars="0"/>
              <w:jc w:val="center"/>
              <w:rPr>
                <w:rFonts w:hint="eastAsia" w:ascii="仿宋_GB2312" w:hAnsi="仿宋_GB2312" w:eastAsia="仿宋_GB2312" w:cs="仿宋_GB2312"/>
                <w:spacing w:val="-8"/>
                <w:kern w:val="2"/>
                <w:sz w:val="24"/>
                <w:szCs w:val="24"/>
                <w:lang w:val="en-US" w:eastAsia="zh-CN" w:bidi="ar-SA"/>
              </w:rPr>
            </w:pPr>
            <w:r>
              <w:rPr>
                <w:rFonts w:hint="eastAsia" w:ascii="仿宋_GB2312" w:hAnsi="仿宋_GB2312" w:eastAsia="仿宋_GB2312" w:cs="仿宋_GB2312"/>
                <w:spacing w:val="-8"/>
                <w:sz w:val="24"/>
                <w:szCs w:val="24"/>
                <w:lang w:val="en-US" w:eastAsia="zh-CN"/>
              </w:rPr>
              <w:t>行政处罚</w:t>
            </w:r>
          </w:p>
        </w:tc>
        <w:tc>
          <w:tcPr>
            <w:tcW w:w="8317" w:type="dxa"/>
            <w:shd w:val="clear" w:color="auto" w:fill="auto"/>
            <w:vAlign w:val="top"/>
          </w:tcPr>
          <w:p w14:paraId="1ABD8A86">
            <w:pPr>
              <w:keepNext w:val="0"/>
              <w:keepLines w:val="0"/>
              <w:pageBreakBefore w:val="0"/>
              <w:widowControl w:val="0"/>
              <w:suppressLineNumbers w:val="0"/>
              <w:kinsoku/>
              <w:wordWrap/>
              <w:overflowPunct/>
              <w:topLinePunct w:val="0"/>
              <w:autoSpaceDE/>
              <w:autoSpaceDN/>
              <w:bidi w:val="0"/>
              <w:adjustRightInd/>
              <w:snapToGrid/>
              <w:spacing w:after="0" w:afterLines="-2147483648" w:line="320" w:lineRule="exact"/>
              <w:ind w:left="240" w:leftChars="100" w:firstLine="420" w:firstLineChars="200"/>
              <w:jc w:val="both"/>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危险废物经营许可证管理办法》第十一条危险废物经营单位变更法人名称、法定代表人和住所的，应当自工商变更登记之日起15个工作日内，向原发证机关申请办理危险废物经营许可证变更手续。第二十二条违反本办法第十一条规定的，由县级以上地方人民政府环境保护主管部门责令限期改正，给予警告；逾期不改正的，由原发证机关暂扣危险废物经营许可证。</w:t>
            </w:r>
          </w:p>
        </w:tc>
        <w:tc>
          <w:tcPr>
            <w:tcW w:w="1129" w:type="dxa"/>
            <w:shd w:val="clear" w:color="auto" w:fill="auto"/>
            <w:vAlign w:val="top"/>
          </w:tcPr>
          <w:p w14:paraId="29D847B8">
            <w:pPr>
              <w:keepNext w:val="0"/>
              <w:keepLines w:val="0"/>
              <w:pageBreakBefore w:val="0"/>
              <w:widowControl w:val="0"/>
              <w:kinsoku/>
              <w:wordWrap/>
              <w:overflowPunct/>
              <w:topLinePunct w:val="0"/>
              <w:autoSpaceDE/>
              <w:autoSpaceDN/>
              <w:bidi w:val="0"/>
              <w:spacing w:before="69" w:line="320" w:lineRule="exact"/>
              <w:ind w:left="49" w:leftChars="0" w:right="26" w:rightChars="0" w:firstLine="404" w:firstLineChars="200"/>
              <w:rPr>
                <w:rFonts w:ascii="宋体" w:hAnsi="宋体" w:eastAsia="宋体" w:cs="宋体"/>
                <w:spacing w:val="-4"/>
                <w:sz w:val="21"/>
                <w:szCs w:val="21"/>
              </w:rPr>
            </w:pPr>
          </w:p>
        </w:tc>
        <w:tc>
          <w:tcPr>
            <w:tcW w:w="990" w:type="dxa"/>
            <w:gridSpan w:val="2"/>
            <w:shd w:val="clear" w:color="auto" w:fill="auto"/>
            <w:vAlign w:val="top"/>
          </w:tcPr>
          <w:p w14:paraId="3D46F1EF">
            <w:pPr>
              <w:keepNext w:val="0"/>
              <w:keepLines w:val="0"/>
              <w:pageBreakBefore w:val="0"/>
              <w:widowControl w:val="0"/>
              <w:kinsoku/>
              <w:wordWrap/>
              <w:overflowPunct/>
              <w:topLinePunct w:val="0"/>
              <w:autoSpaceDE/>
              <w:autoSpaceDN/>
              <w:bidi w:val="0"/>
              <w:spacing w:before="69" w:line="320" w:lineRule="exact"/>
              <w:ind w:left="204" w:leftChars="0" w:right="59" w:rightChars="0" w:firstLine="404" w:firstLineChars="200"/>
              <w:rPr>
                <w:rFonts w:ascii="宋体" w:hAnsi="宋体" w:eastAsia="宋体" w:cs="宋体"/>
                <w:spacing w:val="-4"/>
                <w:sz w:val="21"/>
                <w:szCs w:val="21"/>
              </w:rPr>
            </w:pPr>
          </w:p>
        </w:tc>
      </w:tr>
      <w:tr w14:paraId="393E4E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6" w:hRule="atLeast"/>
        </w:trPr>
        <w:tc>
          <w:tcPr>
            <w:tcW w:w="557" w:type="dxa"/>
            <w:shd w:val="clear" w:color="auto" w:fill="auto"/>
            <w:vAlign w:val="center"/>
          </w:tcPr>
          <w:p w14:paraId="6F0E912B">
            <w:pPr>
              <w:keepNext w:val="0"/>
              <w:keepLines w:val="0"/>
              <w:pageBreakBefore w:val="0"/>
              <w:widowControl w:val="0"/>
              <w:kinsoku/>
              <w:wordWrap/>
              <w:overflowPunct/>
              <w:topLinePunct w:val="0"/>
              <w:autoSpaceDE/>
              <w:autoSpaceDN/>
              <w:bidi w:val="0"/>
              <w:spacing w:before="68" w:line="320" w:lineRule="exact"/>
              <w:ind w:left="0" w:leftChars="0" w:firstLine="0" w:firstLineChars="0"/>
              <w:jc w:val="center"/>
              <w:rPr>
                <w:rFonts w:hint="eastAsia" w:ascii="仿宋_GB2312" w:hAnsi="仿宋_GB2312" w:eastAsia="仿宋_GB2312" w:cs="仿宋_GB2312"/>
                <w:spacing w:val="-8"/>
                <w:sz w:val="24"/>
                <w:szCs w:val="24"/>
                <w:lang w:val="en-US" w:eastAsia="zh-CN"/>
              </w:rPr>
            </w:pPr>
            <w:r>
              <w:rPr>
                <w:rFonts w:hint="eastAsia" w:ascii="仿宋_GB2312" w:hAnsi="仿宋_GB2312" w:eastAsia="仿宋_GB2312" w:cs="仿宋_GB2312"/>
                <w:spacing w:val="-8"/>
                <w:sz w:val="24"/>
                <w:szCs w:val="24"/>
                <w:lang w:val="en-US" w:eastAsia="zh-CN"/>
              </w:rPr>
              <w:t>96</w:t>
            </w:r>
          </w:p>
        </w:tc>
        <w:tc>
          <w:tcPr>
            <w:tcW w:w="2355" w:type="dxa"/>
            <w:shd w:val="clear" w:color="auto" w:fill="auto"/>
            <w:vAlign w:val="center"/>
          </w:tcPr>
          <w:p w14:paraId="3E49602F">
            <w:pPr>
              <w:keepNext w:val="0"/>
              <w:keepLines w:val="0"/>
              <w:pageBreakBefore w:val="0"/>
              <w:widowControl w:val="0"/>
              <w:kinsoku/>
              <w:wordWrap/>
              <w:overflowPunct/>
              <w:topLinePunct w:val="0"/>
              <w:autoSpaceDE/>
              <w:autoSpaceDN/>
              <w:bidi w:val="0"/>
              <w:spacing w:before="68" w:line="320" w:lineRule="exact"/>
              <w:ind w:left="240" w:leftChars="100" w:right="127" w:rightChars="53" w:firstLine="0" w:firstLineChars="0"/>
              <w:jc w:val="center"/>
              <w:rPr>
                <w:rFonts w:hint="eastAsia" w:ascii="宋体" w:hAnsi="宋体" w:eastAsia="宋体" w:cs="宋体"/>
                <w:spacing w:val="-8"/>
                <w:kern w:val="2"/>
                <w:sz w:val="21"/>
                <w:szCs w:val="21"/>
                <w:lang w:val="en-US" w:eastAsia="zh-CN" w:bidi="ar-SA"/>
              </w:rPr>
            </w:pPr>
            <w:r>
              <w:rPr>
                <w:rFonts w:hint="eastAsia" w:ascii="宋体" w:hAnsi="宋体" w:eastAsia="宋体" w:cs="宋体"/>
                <w:spacing w:val="-8"/>
                <w:sz w:val="21"/>
                <w:szCs w:val="21"/>
                <w:lang w:val="en-US" w:eastAsia="zh-CN"/>
              </w:rPr>
              <w:t>对未制定危险废物意外事故防范措施和应急预案等行为的行政处罚</w:t>
            </w:r>
          </w:p>
        </w:tc>
        <w:tc>
          <w:tcPr>
            <w:tcW w:w="1094" w:type="dxa"/>
            <w:shd w:val="clear" w:color="auto" w:fill="auto"/>
            <w:vAlign w:val="center"/>
          </w:tcPr>
          <w:p w14:paraId="7D385634">
            <w:pPr>
              <w:keepNext w:val="0"/>
              <w:keepLines w:val="0"/>
              <w:pageBreakBefore w:val="0"/>
              <w:widowControl w:val="0"/>
              <w:kinsoku/>
              <w:wordWrap/>
              <w:overflowPunct/>
              <w:topLinePunct w:val="0"/>
              <w:autoSpaceDE/>
              <w:autoSpaceDN/>
              <w:bidi w:val="0"/>
              <w:spacing w:before="68" w:line="320" w:lineRule="exact"/>
              <w:ind w:left="0" w:leftChars="0" w:firstLine="0" w:firstLineChars="0"/>
              <w:jc w:val="center"/>
              <w:rPr>
                <w:rFonts w:hint="eastAsia" w:ascii="仿宋_GB2312" w:hAnsi="仿宋_GB2312" w:eastAsia="仿宋_GB2312" w:cs="仿宋_GB2312"/>
                <w:spacing w:val="-8"/>
                <w:kern w:val="2"/>
                <w:sz w:val="24"/>
                <w:szCs w:val="24"/>
                <w:lang w:val="en-US" w:eastAsia="zh-CN" w:bidi="ar-SA"/>
              </w:rPr>
            </w:pPr>
            <w:r>
              <w:rPr>
                <w:rFonts w:hint="eastAsia" w:ascii="仿宋_GB2312" w:hAnsi="仿宋_GB2312" w:eastAsia="仿宋_GB2312" w:cs="仿宋_GB2312"/>
                <w:spacing w:val="-8"/>
                <w:sz w:val="24"/>
                <w:szCs w:val="24"/>
                <w:lang w:val="en-US" w:eastAsia="zh-CN"/>
              </w:rPr>
              <w:t>行政处罚</w:t>
            </w:r>
          </w:p>
        </w:tc>
        <w:tc>
          <w:tcPr>
            <w:tcW w:w="8317" w:type="dxa"/>
            <w:shd w:val="clear" w:color="auto" w:fill="auto"/>
            <w:vAlign w:val="top"/>
          </w:tcPr>
          <w:p w14:paraId="13721DC3">
            <w:pPr>
              <w:keepNext w:val="0"/>
              <w:keepLines w:val="0"/>
              <w:pageBreakBefore w:val="0"/>
              <w:widowControl w:val="0"/>
              <w:suppressLineNumbers w:val="0"/>
              <w:kinsoku/>
              <w:wordWrap/>
              <w:overflowPunct/>
              <w:topLinePunct w:val="0"/>
              <w:autoSpaceDE/>
              <w:autoSpaceDN/>
              <w:bidi w:val="0"/>
              <w:adjustRightInd/>
              <w:snapToGrid/>
              <w:spacing w:after="0" w:afterLines="-2147483648" w:line="320" w:lineRule="exact"/>
              <w:ind w:left="240" w:leftChars="100" w:firstLine="420" w:firstLineChars="200"/>
              <w:jc w:val="both"/>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中华人民共和国固体废物污染环境防治法》第一百一十二条违反本法规定，有下列行为之一，由生态环境主管部门责令改正，处以罚款，没收违法所得；情节严重的，报经有批准权的人民政府批准，可以责令停业或者关闭：（十二）未制定危险废物意外事故防范措施和应急预案的；有前款第一项、第二项、第五项、第六项、第七项、第八项、第九项、第十二项、第十三项行为之一，处十万元以上一百万元以下的罚款；有前款第三项、第四项、第十项、第十一项行为之一，处所需处置费用三倍以上五倍以下的罚款，所需处置费用不足二十万元的，按二十万元计算。</w:t>
            </w:r>
          </w:p>
        </w:tc>
        <w:tc>
          <w:tcPr>
            <w:tcW w:w="1129" w:type="dxa"/>
            <w:shd w:val="clear" w:color="auto" w:fill="auto"/>
            <w:vAlign w:val="top"/>
          </w:tcPr>
          <w:p w14:paraId="5011FA6B">
            <w:pPr>
              <w:keepNext w:val="0"/>
              <w:keepLines w:val="0"/>
              <w:pageBreakBefore w:val="0"/>
              <w:widowControl w:val="0"/>
              <w:kinsoku/>
              <w:wordWrap/>
              <w:overflowPunct/>
              <w:topLinePunct w:val="0"/>
              <w:autoSpaceDE/>
              <w:autoSpaceDN/>
              <w:bidi w:val="0"/>
              <w:spacing w:before="69" w:line="320" w:lineRule="exact"/>
              <w:ind w:left="49" w:leftChars="0" w:right="26" w:rightChars="0" w:firstLine="404" w:firstLineChars="200"/>
              <w:rPr>
                <w:rFonts w:ascii="宋体" w:hAnsi="宋体" w:eastAsia="宋体" w:cs="宋体"/>
                <w:spacing w:val="-4"/>
                <w:sz w:val="21"/>
                <w:szCs w:val="21"/>
              </w:rPr>
            </w:pPr>
          </w:p>
        </w:tc>
        <w:tc>
          <w:tcPr>
            <w:tcW w:w="990" w:type="dxa"/>
            <w:gridSpan w:val="2"/>
            <w:shd w:val="clear" w:color="auto" w:fill="auto"/>
            <w:vAlign w:val="top"/>
          </w:tcPr>
          <w:p w14:paraId="45C98CCA">
            <w:pPr>
              <w:keepNext w:val="0"/>
              <w:keepLines w:val="0"/>
              <w:pageBreakBefore w:val="0"/>
              <w:widowControl w:val="0"/>
              <w:kinsoku/>
              <w:wordWrap/>
              <w:overflowPunct/>
              <w:topLinePunct w:val="0"/>
              <w:autoSpaceDE/>
              <w:autoSpaceDN/>
              <w:bidi w:val="0"/>
              <w:spacing w:before="69" w:line="320" w:lineRule="exact"/>
              <w:ind w:left="204" w:leftChars="0" w:right="59" w:rightChars="0" w:firstLine="404" w:firstLineChars="200"/>
              <w:rPr>
                <w:rFonts w:ascii="宋体" w:hAnsi="宋体" w:eastAsia="宋体" w:cs="宋体"/>
                <w:spacing w:val="-4"/>
                <w:sz w:val="21"/>
                <w:szCs w:val="21"/>
              </w:rPr>
            </w:pPr>
          </w:p>
        </w:tc>
      </w:tr>
      <w:tr w14:paraId="5E695B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6" w:hRule="atLeast"/>
        </w:trPr>
        <w:tc>
          <w:tcPr>
            <w:tcW w:w="557" w:type="dxa"/>
            <w:shd w:val="clear" w:color="auto" w:fill="auto"/>
            <w:vAlign w:val="center"/>
          </w:tcPr>
          <w:p w14:paraId="14589EBA">
            <w:pPr>
              <w:keepNext w:val="0"/>
              <w:keepLines w:val="0"/>
              <w:pageBreakBefore w:val="0"/>
              <w:widowControl w:val="0"/>
              <w:kinsoku/>
              <w:wordWrap/>
              <w:overflowPunct/>
              <w:topLinePunct w:val="0"/>
              <w:autoSpaceDE/>
              <w:autoSpaceDN/>
              <w:bidi w:val="0"/>
              <w:spacing w:before="68" w:line="320" w:lineRule="exact"/>
              <w:ind w:left="0" w:leftChars="0" w:firstLine="0" w:firstLineChars="0"/>
              <w:jc w:val="center"/>
              <w:rPr>
                <w:rFonts w:hint="eastAsia" w:ascii="仿宋_GB2312" w:hAnsi="仿宋_GB2312" w:eastAsia="仿宋_GB2312" w:cs="仿宋_GB2312"/>
                <w:spacing w:val="-8"/>
                <w:sz w:val="24"/>
                <w:szCs w:val="24"/>
                <w:lang w:val="en-US" w:eastAsia="zh-CN"/>
              </w:rPr>
            </w:pPr>
            <w:r>
              <w:rPr>
                <w:rFonts w:hint="eastAsia" w:ascii="仿宋_GB2312" w:hAnsi="仿宋_GB2312" w:eastAsia="仿宋_GB2312" w:cs="仿宋_GB2312"/>
                <w:spacing w:val="-8"/>
                <w:sz w:val="24"/>
                <w:szCs w:val="24"/>
                <w:lang w:val="en-US" w:eastAsia="zh-CN"/>
              </w:rPr>
              <w:t>97</w:t>
            </w:r>
          </w:p>
        </w:tc>
        <w:tc>
          <w:tcPr>
            <w:tcW w:w="2355" w:type="dxa"/>
            <w:shd w:val="clear" w:color="auto" w:fill="auto"/>
            <w:vAlign w:val="center"/>
          </w:tcPr>
          <w:p w14:paraId="7B4ED888">
            <w:pPr>
              <w:keepNext w:val="0"/>
              <w:keepLines w:val="0"/>
              <w:pageBreakBefore w:val="0"/>
              <w:widowControl w:val="0"/>
              <w:kinsoku/>
              <w:wordWrap/>
              <w:overflowPunct/>
              <w:topLinePunct w:val="0"/>
              <w:autoSpaceDE/>
              <w:autoSpaceDN/>
              <w:bidi w:val="0"/>
              <w:spacing w:before="68" w:line="320" w:lineRule="exact"/>
              <w:ind w:left="240" w:leftChars="100" w:right="127" w:rightChars="53" w:firstLine="0" w:firstLineChars="0"/>
              <w:jc w:val="center"/>
              <w:rPr>
                <w:rFonts w:hint="eastAsia" w:ascii="宋体" w:hAnsi="宋体" w:eastAsia="宋体" w:cs="宋体"/>
                <w:spacing w:val="-8"/>
                <w:kern w:val="2"/>
                <w:sz w:val="21"/>
                <w:szCs w:val="21"/>
                <w:lang w:val="en-US" w:eastAsia="zh-CN" w:bidi="ar-SA"/>
              </w:rPr>
            </w:pPr>
            <w:r>
              <w:rPr>
                <w:rFonts w:hint="eastAsia" w:ascii="宋体" w:hAnsi="宋体" w:eastAsia="宋体" w:cs="宋体"/>
                <w:spacing w:val="-8"/>
                <w:sz w:val="21"/>
                <w:szCs w:val="21"/>
                <w:lang w:val="en-US" w:eastAsia="zh-CN"/>
              </w:rPr>
              <w:t>对未按照国家有关规定建立危险废物管理台账并如实记录行为的行政处罚</w:t>
            </w:r>
          </w:p>
        </w:tc>
        <w:tc>
          <w:tcPr>
            <w:tcW w:w="1094" w:type="dxa"/>
            <w:shd w:val="clear" w:color="auto" w:fill="auto"/>
            <w:vAlign w:val="center"/>
          </w:tcPr>
          <w:p w14:paraId="358AF382">
            <w:pPr>
              <w:keepNext w:val="0"/>
              <w:keepLines w:val="0"/>
              <w:pageBreakBefore w:val="0"/>
              <w:widowControl w:val="0"/>
              <w:kinsoku/>
              <w:wordWrap/>
              <w:overflowPunct/>
              <w:topLinePunct w:val="0"/>
              <w:autoSpaceDE/>
              <w:autoSpaceDN/>
              <w:bidi w:val="0"/>
              <w:spacing w:before="68" w:line="320" w:lineRule="exact"/>
              <w:ind w:left="0" w:leftChars="0" w:firstLine="0" w:firstLineChars="0"/>
              <w:jc w:val="center"/>
              <w:rPr>
                <w:rFonts w:hint="eastAsia" w:ascii="仿宋_GB2312" w:hAnsi="仿宋_GB2312" w:eastAsia="仿宋_GB2312" w:cs="仿宋_GB2312"/>
                <w:spacing w:val="-8"/>
                <w:kern w:val="2"/>
                <w:sz w:val="24"/>
                <w:szCs w:val="24"/>
                <w:lang w:val="en-US" w:eastAsia="zh-CN" w:bidi="ar-SA"/>
              </w:rPr>
            </w:pPr>
            <w:r>
              <w:rPr>
                <w:rFonts w:hint="eastAsia" w:ascii="仿宋_GB2312" w:hAnsi="仿宋_GB2312" w:eastAsia="仿宋_GB2312" w:cs="仿宋_GB2312"/>
                <w:spacing w:val="-8"/>
                <w:sz w:val="24"/>
                <w:szCs w:val="24"/>
                <w:lang w:val="en-US" w:eastAsia="zh-CN"/>
              </w:rPr>
              <w:t>行政处罚</w:t>
            </w:r>
          </w:p>
        </w:tc>
        <w:tc>
          <w:tcPr>
            <w:tcW w:w="8317" w:type="dxa"/>
            <w:shd w:val="clear" w:color="auto" w:fill="auto"/>
            <w:vAlign w:val="top"/>
          </w:tcPr>
          <w:p w14:paraId="00D2E61B">
            <w:pPr>
              <w:keepNext w:val="0"/>
              <w:keepLines w:val="0"/>
              <w:pageBreakBefore w:val="0"/>
              <w:widowControl w:val="0"/>
              <w:suppressLineNumbers w:val="0"/>
              <w:kinsoku/>
              <w:wordWrap/>
              <w:overflowPunct/>
              <w:topLinePunct w:val="0"/>
              <w:autoSpaceDE/>
              <w:autoSpaceDN/>
              <w:bidi w:val="0"/>
              <w:adjustRightInd/>
              <w:snapToGrid/>
              <w:spacing w:after="0" w:afterLines="-2147483648" w:line="320" w:lineRule="exact"/>
              <w:ind w:left="240" w:leftChars="100" w:firstLine="420" w:firstLineChars="200"/>
              <w:jc w:val="both"/>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中华人民共和国固体废物污染环境防治法》第一百一十二条违反本法规定，有下列行为之一，由生态环境主管部门责令改正，处以罚款，没收违法所得；情节严重的，报经有批准权的人民政府批准，可以责令停业或者关闭：（一）未按照规定设置危险废物识别标志的；（二）未按照国家有关规定制定危险废物管理计划或者申报危险废物有关资料的；（三）擅自倾倒、堆放危险废物的；（四）将危险废物提供或者委托给无许可证的单位或者其他生产经营者从事经营活动的；（五）未按照国家有关规定填写、运行危险废物转移联单或者未经批准擅自转移危险废物的；（六）未按照国家环境保护标准贮存、利用、处置危险废物或者将危险废物混入非危险废物中贮存的；（七）未经安全性处置，混合收集、贮存、运输、处置具有不相容性质的危险废物的；（八）将危险废物与旅客在同一运输工具上载运的；（九）未经消除污染处理，将收集、贮存、运输、处置危险废物的场所、设施、设备和容器、包装物及其他物品转作他用的；（十）未采取相应防范措施，造成危险废物扬散、流失、渗漏或者其他环境污染的；（十一）在运输过程中沿途丢弃、遗撒危险废物的；（十二）未制定危险废物意外事故防范措施和应急预案的；（十三）未按照国家有关规定建立危险废物管理台账并如实记录的。有前款第一项、第二项、第五项、第六项、第七项、第八项、第九项、第十二项、第十三项行为之一，处十万元以上一百万元以下的罚款；有前款第三项、第四项、第十项、第十一项行为之一，处所需处置费用三倍以上五倍以下的罚款，所需处置费用不足二十万元的，按二十万元计算。</w:t>
            </w:r>
          </w:p>
        </w:tc>
        <w:tc>
          <w:tcPr>
            <w:tcW w:w="1129" w:type="dxa"/>
            <w:shd w:val="clear" w:color="auto" w:fill="auto"/>
            <w:vAlign w:val="top"/>
          </w:tcPr>
          <w:p w14:paraId="54A721BC">
            <w:pPr>
              <w:keepNext w:val="0"/>
              <w:keepLines w:val="0"/>
              <w:pageBreakBefore w:val="0"/>
              <w:widowControl w:val="0"/>
              <w:kinsoku/>
              <w:wordWrap/>
              <w:overflowPunct/>
              <w:topLinePunct w:val="0"/>
              <w:autoSpaceDE/>
              <w:autoSpaceDN/>
              <w:bidi w:val="0"/>
              <w:spacing w:before="69" w:line="320" w:lineRule="exact"/>
              <w:ind w:left="49" w:leftChars="0" w:right="26" w:rightChars="0" w:firstLine="404" w:firstLineChars="200"/>
              <w:rPr>
                <w:rFonts w:ascii="宋体" w:hAnsi="宋体" w:eastAsia="宋体" w:cs="宋体"/>
                <w:spacing w:val="-4"/>
                <w:sz w:val="21"/>
                <w:szCs w:val="21"/>
              </w:rPr>
            </w:pPr>
          </w:p>
        </w:tc>
        <w:tc>
          <w:tcPr>
            <w:tcW w:w="990" w:type="dxa"/>
            <w:gridSpan w:val="2"/>
            <w:shd w:val="clear" w:color="auto" w:fill="auto"/>
            <w:vAlign w:val="top"/>
          </w:tcPr>
          <w:p w14:paraId="6CFD5CA5">
            <w:pPr>
              <w:keepNext w:val="0"/>
              <w:keepLines w:val="0"/>
              <w:pageBreakBefore w:val="0"/>
              <w:widowControl w:val="0"/>
              <w:kinsoku/>
              <w:wordWrap/>
              <w:overflowPunct/>
              <w:topLinePunct w:val="0"/>
              <w:autoSpaceDE/>
              <w:autoSpaceDN/>
              <w:bidi w:val="0"/>
              <w:spacing w:before="69" w:line="320" w:lineRule="exact"/>
              <w:ind w:left="204" w:leftChars="0" w:right="59" w:rightChars="0" w:firstLine="404" w:firstLineChars="200"/>
              <w:rPr>
                <w:rFonts w:ascii="宋体" w:hAnsi="宋体" w:eastAsia="宋体" w:cs="宋体"/>
                <w:spacing w:val="-4"/>
                <w:sz w:val="21"/>
                <w:szCs w:val="21"/>
              </w:rPr>
            </w:pPr>
          </w:p>
        </w:tc>
      </w:tr>
      <w:tr w14:paraId="559E38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6" w:hRule="atLeast"/>
        </w:trPr>
        <w:tc>
          <w:tcPr>
            <w:tcW w:w="557" w:type="dxa"/>
            <w:shd w:val="clear" w:color="auto" w:fill="auto"/>
            <w:vAlign w:val="center"/>
          </w:tcPr>
          <w:p w14:paraId="061F223E">
            <w:pPr>
              <w:keepNext w:val="0"/>
              <w:keepLines w:val="0"/>
              <w:pageBreakBefore w:val="0"/>
              <w:widowControl w:val="0"/>
              <w:kinsoku/>
              <w:wordWrap/>
              <w:overflowPunct/>
              <w:topLinePunct w:val="0"/>
              <w:autoSpaceDE/>
              <w:autoSpaceDN/>
              <w:bidi w:val="0"/>
              <w:spacing w:before="68" w:line="320" w:lineRule="exact"/>
              <w:ind w:left="0" w:leftChars="0" w:firstLine="0" w:firstLineChars="0"/>
              <w:jc w:val="center"/>
              <w:rPr>
                <w:rFonts w:hint="eastAsia" w:ascii="仿宋_GB2312" w:hAnsi="仿宋_GB2312" w:eastAsia="仿宋_GB2312" w:cs="仿宋_GB2312"/>
                <w:spacing w:val="-8"/>
                <w:sz w:val="24"/>
                <w:szCs w:val="24"/>
                <w:lang w:val="en-US" w:eastAsia="zh-CN"/>
              </w:rPr>
            </w:pPr>
            <w:r>
              <w:rPr>
                <w:rFonts w:hint="eastAsia" w:ascii="仿宋_GB2312" w:hAnsi="仿宋_GB2312" w:eastAsia="仿宋_GB2312" w:cs="仿宋_GB2312"/>
                <w:spacing w:val="-8"/>
                <w:sz w:val="24"/>
                <w:szCs w:val="24"/>
                <w:lang w:val="en-US" w:eastAsia="zh-CN"/>
              </w:rPr>
              <w:t>98</w:t>
            </w:r>
          </w:p>
        </w:tc>
        <w:tc>
          <w:tcPr>
            <w:tcW w:w="2355" w:type="dxa"/>
            <w:shd w:val="clear" w:color="auto" w:fill="auto"/>
            <w:vAlign w:val="center"/>
          </w:tcPr>
          <w:p w14:paraId="588A3C2E">
            <w:pPr>
              <w:keepNext w:val="0"/>
              <w:keepLines w:val="0"/>
              <w:pageBreakBefore w:val="0"/>
              <w:widowControl w:val="0"/>
              <w:kinsoku/>
              <w:wordWrap/>
              <w:overflowPunct/>
              <w:topLinePunct w:val="0"/>
              <w:autoSpaceDE/>
              <w:autoSpaceDN/>
              <w:bidi w:val="0"/>
              <w:spacing w:before="68" w:line="320" w:lineRule="exact"/>
              <w:ind w:left="240" w:leftChars="100" w:right="127" w:rightChars="53" w:firstLine="0" w:firstLineChars="0"/>
              <w:jc w:val="center"/>
              <w:rPr>
                <w:rFonts w:hint="eastAsia" w:ascii="宋体" w:hAnsi="宋体" w:eastAsia="宋体" w:cs="宋体"/>
                <w:spacing w:val="-8"/>
                <w:kern w:val="2"/>
                <w:sz w:val="21"/>
                <w:szCs w:val="21"/>
                <w:lang w:val="en-US" w:eastAsia="zh-CN" w:bidi="ar-SA"/>
              </w:rPr>
            </w:pPr>
            <w:r>
              <w:rPr>
                <w:rFonts w:hint="eastAsia" w:ascii="宋体" w:hAnsi="宋体" w:eastAsia="宋体" w:cs="宋体"/>
                <w:spacing w:val="-8"/>
                <w:sz w:val="21"/>
                <w:szCs w:val="21"/>
                <w:lang w:val="en-US" w:eastAsia="zh-CN"/>
              </w:rPr>
              <w:t>对危险废物经营单位未按要求执行经营情况记录簿制度行为的行政处罚</w:t>
            </w:r>
          </w:p>
        </w:tc>
        <w:tc>
          <w:tcPr>
            <w:tcW w:w="1094" w:type="dxa"/>
            <w:shd w:val="clear" w:color="auto" w:fill="auto"/>
            <w:vAlign w:val="center"/>
          </w:tcPr>
          <w:p w14:paraId="6E3AEF3A">
            <w:pPr>
              <w:keepNext w:val="0"/>
              <w:keepLines w:val="0"/>
              <w:pageBreakBefore w:val="0"/>
              <w:widowControl w:val="0"/>
              <w:kinsoku/>
              <w:wordWrap/>
              <w:overflowPunct/>
              <w:topLinePunct w:val="0"/>
              <w:autoSpaceDE/>
              <w:autoSpaceDN/>
              <w:bidi w:val="0"/>
              <w:spacing w:before="68" w:line="320" w:lineRule="exact"/>
              <w:ind w:left="0" w:leftChars="0" w:firstLine="0" w:firstLineChars="0"/>
              <w:jc w:val="center"/>
              <w:rPr>
                <w:rFonts w:hint="eastAsia" w:ascii="仿宋_GB2312" w:hAnsi="仿宋_GB2312" w:eastAsia="仿宋_GB2312" w:cs="仿宋_GB2312"/>
                <w:spacing w:val="-8"/>
                <w:kern w:val="2"/>
                <w:sz w:val="24"/>
                <w:szCs w:val="24"/>
                <w:lang w:val="en-US" w:eastAsia="zh-CN" w:bidi="ar-SA"/>
              </w:rPr>
            </w:pPr>
            <w:r>
              <w:rPr>
                <w:rFonts w:hint="eastAsia" w:ascii="仿宋_GB2312" w:hAnsi="仿宋_GB2312" w:eastAsia="仿宋_GB2312" w:cs="仿宋_GB2312"/>
                <w:spacing w:val="-8"/>
                <w:sz w:val="24"/>
                <w:szCs w:val="24"/>
                <w:lang w:val="en-US" w:eastAsia="zh-CN"/>
              </w:rPr>
              <w:t>行政处罚</w:t>
            </w:r>
          </w:p>
        </w:tc>
        <w:tc>
          <w:tcPr>
            <w:tcW w:w="8317" w:type="dxa"/>
            <w:shd w:val="clear" w:color="auto" w:fill="auto"/>
            <w:vAlign w:val="top"/>
          </w:tcPr>
          <w:p w14:paraId="7213E972">
            <w:pPr>
              <w:keepNext w:val="0"/>
              <w:keepLines w:val="0"/>
              <w:pageBreakBefore w:val="0"/>
              <w:widowControl w:val="0"/>
              <w:suppressLineNumbers w:val="0"/>
              <w:kinsoku/>
              <w:wordWrap/>
              <w:overflowPunct/>
              <w:topLinePunct w:val="0"/>
              <w:autoSpaceDE/>
              <w:autoSpaceDN/>
              <w:bidi w:val="0"/>
              <w:adjustRightInd/>
              <w:snapToGrid/>
              <w:spacing w:after="0" w:afterLines="-2147483648" w:line="320" w:lineRule="exact"/>
              <w:ind w:left="240" w:leftChars="100" w:firstLine="420" w:firstLineChars="200"/>
              <w:jc w:val="both"/>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中华人民共和国固体废物污染环境防治法》第一百一十二条违反本法规定，有下列行为之一，由生态环境主管部门责令改正，处以罚款，没收违法所得；情节严重的，报经有批准权的人民政府批准，可以责令停业或者关闭：（一）未按照规定设置危险废物识别标志的；（二）未按照国家有关规定制定危险废物管理计划或者申报危险废物有关资料的；（三）擅自倾倒、堆放危险废物的；（四）将危险废物提供或者委托给无许可证的单位或者其他生产经营者从事经营活动的；（五）未按照国家有关规定填写、运行危险废物转移联单或者未经批准擅自转移危险废物的；（六）未按照国家环境保护标准贮存、利用、处置危险废物或者将危险废物混入非危险废物中贮存的；（七）未经安全性处置，混合收集、贮存、运输、处置具有不相容性质的危险废物的；（八）将危险废物与旅客在同一运输工具上载运的；（九）未经消除污染处理，将收集、贮存、运输、处置危险废物的场所、设施、设备和容器、包装物及其他物品转作他用的；（十）未采取相应防范措施，造成危险废物扬散、流失、渗漏或者其他环境污染的；（十一）在运输过程中沿途丢弃、遗撒危险废物的；（十二）未制定危险废物意外事故防范措施和应急预案的；（十三）未按照国家有关规定建立危险废物管理台账并如实记录的。有前款第一项、第二项、第五项、第六项、第七项、第八项、第九项、第十二项、第十三项行为之一，处十万元以上一百万元以下的罚款；有前款第三项、第四项、第十项、第十一项行为之一，处所需处置费用三倍以上五倍以下的罚款，所需处置费用不足二十万元的，按二十万元计算。</w:t>
            </w:r>
          </w:p>
          <w:p w14:paraId="1244663B">
            <w:pPr>
              <w:keepNext w:val="0"/>
              <w:keepLines w:val="0"/>
              <w:pageBreakBefore w:val="0"/>
              <w:widowControl w:val="0"/>
              <w:suppressLineNumbers w:val="0"/>
              <w:kinsoku/>
              <w:wordWrap/>
              <w:overflowPunct/>
              <w:topLinePunct w:val="0"/>
              <w:autoSpaceDE/>
              <w:autoSpaceDN/>
              <w:bidi w:val="0"/>
              <w:adjustRightInd/>
              <w:snapToGrid/>
              <w:spacing w:after="0" w:afterLines="-2147483648" w:line="320" w:lineRule="exact"/>
              <w:ind w:left="240" w:leftChars="100" w:firstLine="420" w:firstLineChars="200"/>
              <w:jc w:val="both"/>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危险废物经营许可证管理办法》第十八条县级以上人民政府环境保护主管部门有权要求危险废物经营单位定期报告危险废物经营活动情况。危险废物经营单位应当建立危险废物经营情况记录簿，如实记载收集、贮存、处置危险废物的类别、来源、去向和有无事故等事项。危险废物经营单位应当将危险废物经营情况记录簿保存10年以上，以填埋方式处置危险废物的经营情况记录簿应当永久保存。终止经营活动的，应当将危险废物经营情况记录簿移交所在地县级以上地方人民政府环境保护主管部门存档管理。第二十六条违反本办法第十八条规定的，由县级以上地方人民政府环境保护主管部门责令限期改正，给予警告；逾期不改正的，由原发证机关暂扣或者吊销危险废物经营许可证。</w:t>
            </w:r>
          </w:p>
        </w:tc>
        <w:tc>
          <w:tcPr>
            <w:tcW w:w="1129" w:type="dxa"/>
            <w:shd w:val="clear" w:color="auto" w:fill="auto"/>
            <w:vAlign w:val="top"/>
          </w:tcPr>
          <w:p w14:paraId="5D3767FF">
            <w:pPr>
              <w:keepNext w:val="0"/>
              <w:keepLines w:val="0"/>
              <w:pageBreakBefore w:val="0"/>
              <w:widowControl w:val="0"/>
              <w:kinsoku/>
              <w:wordWrap/>
              <w:overflowPunct/>
              <w:topLinePunct w:val="0"/>
              <w:autoSpaceDE/>
              <w:autoSpaceDN/>
              <w:bidi w:val="0"/>
              <w:spacing w:before="69" w:line="320" w:lineRule="exact"/>
              <w:ind w:left="49" w:leftChars="0" w:right="26" w:rightChars="0" w:firstLine="404" w:firstLineChars="200"/>
              <w:rPr>
                <w:rFonts w:ascii="宋体" w:hAnsi="宋体" w:eastAsia="宋体" w:cs="宋体"/>
                <w:spacing w:val="-4"/>
                <w:sz w:val="21"/>
                <w:szCs w:val="21"/>
              </w:rPr>
            </w:pPr>
          </w:p>
        </w:tc>
        <w:tc>
          <w:tcPr>
            <w:tcW w:w="990" w:type="dxa"/>
            <w:gridSpan w:val="2"/>
            <w:shd w:val="clear" w:color="auto" w:fill="auto"/>
            <w:vAlign w:val="top"/>
          </w:tcPr>
          <w:p w14:paraId="5E1A359C">
            <w:pPr>
              <w:keepNext w:val="0"/>
              <w:keepLines w:val="0"/>
              <w:pageBreakBefore w:val="0"/>
              <w:widowControl w:val="0"/>
              <w:kinsoku/>
              <w:wordWrap/>
              <w:overflowPunct/>
              <w:topLinePunct w:val="0"/>
              <w:autoSpaceDE/>
              <w:autoSpaceDN/>
              <w:bidi w:val="0"/>
              <w:spacing w:before="69" w:line="320" w:lineRule="exact"/>
              <w:ind w:left="204" w:leftChars="0" w:right="59" w:rightChars="0" w:firstLine="404" w:firstLineChars="200"/>
              <w:rPr>
                <w:rFonts w:ascii="宋体" w:hAnsi="宋体" w:eastAsia="宋体" w:cs="宋体"/>
                <w:spacing w:val="-4"/>
                <w:sz w:val="21"/>
                <w:szCs w:val="21"/>
              </w:rPr>
            </w:pPr>
          </w:p>
        </w:tc>
      </w:tr>
      <w:tr w14:paraId="5C5156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6" w:hRule="atLeast"/>
        </w:trPr>
        <w:tc>
          <w:tcPr>
            <w:tcW w:w="557" w:type="dxa"/>
            <w:shd w:val="clear" w:color="auto" w:fill="auto"/>
            <w:vAlign w:val="center"/>
          </w:tcPr>
          <w:p w14:paraId="636CBF4E">
            <w:pPr>
              <w:keepNext w:val="0"/>
              <w:keepLines w:val="0"/>
              <w:pageBreakBefore w:val="0"/>
              <w:widowControl w:val="0"/>
              <w:kinsoku/>
              <w:wordWrap/>
              <w:overflowPunct/>
              <w:topLinePunct w:val="0"/>
              <w:autoSpaceDE/>
              <w:autoSpaceDN/>
              <w:bidi w:val="0"/>
              <w:spacing w:before="68" w:line="320" w:lineRule="exact"/>
              <w:ind w:left="0" w:leftChars="0" w:firstLine="0" w:firstLineChars="0"/>
              <w:jc w:val="center"/>
              <w:rPr>
                <w:rFonts w:hint="eastAsia" w:ascii="仿宋_GB2312" w:hAnsi="仿宋_GB2312" w:eastAsia="仿宋_GB2312" w:cs="仿宋_GB2312"/>
                <w:spacing w:val="-8"/>
                <w:sz w:val="24"/>
                <w:szCs w:val="24"/>
                <w:lang w:val="en-US" w:eastAsia="zh-CN"/>
              </w:rPr>
            </w:pPr>
            <w:r>
              <w:rPr>
                <w:rFonts w:hint="eastAsia" w:ascii="仿宋_GB2312" w:hAnsi="仿宋_GB2312" w:eastAsia="仿宋_GB2312" w:cs="仿宋_GB2312"/>
                <w:spacing w:val="-8"/>
                <w:sz w:val="24"/>
                <w:szCs w:val="24"/>
                <w:lang w:val="en-US" w:eastAsia="zh-CN"/>
              </w:rPr>
              <w:t>99</w:t>
            </w:r>
          </w:p>
        </w:tc>
        <w:tc>
          <w:tcPr>
            <w:tcW w:w="2355" w:type="dxa"/>
            <w:shd w:val="clear" w:color="auto" w:fill="auto"/>
            <w:vAlign w:val="center"/>
          </w:tcPr>
          <w:p w14:paraId="7972354E">
            <w:pPr>
              <w:keepNext w:val="0"/>
              <w:keepLines w:val="0"/>
              <w:pageBreakBefore w:val="0"/>
              <w:widowControl w:val="0"/>
              <w:kinsoku/>
              <w:wordWrap/>
              <w:overflowPunct/>
              <w:topLinePunct w:val="0"/>
              <w:autoSpaceDE/>
              <w:autoSpaceDN/>
              <w:bidi w:val="0"/>
              <w:spacing w:before="68" w:line="320" w:lineRule="exact"/>
              <w:ind w:left="240" w:leftChars="100" w:right="127" w:rightChars="53" w:firstLine="0" w:firstLineChars="0"/>
              <w:jc w:val="center"/>
              <w:rPr>
                <w:rFonts w:hint="eastAsia" w:ascii="宋体" w:hAnsi="宋体" w:eastAsia="宋体" w:cs="宋体"/>
                <w:spacing w:val="-8"/>
                <w:kern w:val="2"/>
                <w:sz w:val="21"/>
                <w:szCs w:val="21"/>
                <w:lang w:val="en-US" w:eastAsia="zh-CN" w:bidi="ar-SA"/>
              </w:rPr>
            </w:pPr>
            <w:r>
              <w:rPr>
                <w:rFonts w:hint="eastAsia" w:ascii="宋体" w:hAnsi="宋体" w:eastAsia="宋体" w:cs="宋体"/>
                <w:spacing w:val="-8"/>
                <w:sz w:val="21"/>
                <w:szCs w:val="21"/>
                <w:lang w:val="en-US" w:eastAsia="zh-CN"/>
              </w:rPr>
              <w:t>对未按规定与处置单位签订接收合同，并将收集的废矿物油和废镉镍电池进行处置行为的行政处罚</w:t>
            </w:r>
          </w:p>
        </w:tc>
        <w:tc>
          <w:tcPr>
            <w:tcW w:w="1094" w:type="dxa"/>
            <w:shd w:val="clear" w:color="auto" w:fill="auto"/>
            <w:vAlign w:val="center"/>
          </w:tcPr>
          <w:p w14:paraId="5854B5B1">
            <w:pPr>
              <w:keepNext w:val="0"/>
              <w:keepLines w:val="0"/>
              <w:pageBreakBefore w:val="0"/>
              <w:widowControl w:val="0"/>
              <w:kinsoku/>
              <w:wordWrap/>
              <w:overflowPunct/>
              <w:topLinePunct w:val="0"/>
              <w:autoSpaceDE/>
              <w:autoSpaceDN/>
              <w:bidi w:val="0"/>
              <w:spacing w:before="68" w:line="320" w:lineRule="exact"/>
              <w:ind w:left="0" w:leftChars="0" w:firstLine="0" w:firstLineChars="0"/>
              <w:jc w:val="center"/>
              <w:rPr>
                <w:rFonts w:hint="eastAsia" w:ascii="仿宋_GB2312" w:hAnsi="仿宋_GB2312" w:eastAsia="仿宋_GB2312" w:cs="仿宋_GB2312"/>
                <w:spacing w:val="-8"/>
                <w:kern w:val="2"/>
                <w:sz w:val="24"/>
                <w:szCs w:val="24"/>
                <w:lang w:val="en-US" w:eastAsia="zh-CN" w:bidi="ar-SA"/>
              </w:rPr>
            </w:pPr>
            <w:r>
              <w:rPr>
                <w:rFonts w:hint="eastAsia" w:ascii="仿宋_GB2312" w:hAnsi="仿宋_GB2312" w:eastAsia="仿宋_GB2312" w:cs="仿宋_GB2312"/>
                <w:spacing w:val="-8"/>
                <w:sz w:val="24"/>
                <w:szCs w:val="24"/>
                <w:lang w:val="en-US" w:eastAsia="zh-CN"/>
              </w:rPr>
              <w:t>行政处罚</w:t>
            </w:r>
          </w:p>
        </w:tc>
        <w:tc>
          <w:tcPr>
            <w:tcW w:w="8317" w:type="dxa"/>
            <w:shd w:val="clear" w:color="auto" w:fill="auto"/>
            <w:vAlign w:val="top"/>
          </w:tcPr>
          <w:p w14:paraId="4E36FF3B">
            <w:pPr>
              <w:keepNext w:val="0"/>
              <w:keepLines w:val="0"/>
              <w:pageBreakBefore w:val="0"/>
              <w:widowControl w:val="0"/>
              <w:suppressLineNumbers w:val="0"/>
              <w:kinsoku/>
              <w:wordWrap/>
              <w:overflowPunct/>
              <w:topLinePunct w:val="0"/>
              <w:autoSpaceDE/>
              <w:autoSpaceDN/>
              <w:bidi w:val="0"/>
              <w:adjustRightInd/>
              <w:snapToGrid/>
              <w:spacing w:after="0" w:afterLines="-2147483648" w:line="320" w:lineRule="exact"/>
              <w:ind w:left="240" w:leftChars="100" w:firstLine="420" w:firstLineChars="200"/>
              <w:jc w:val="both"/>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危险废物经营许可证管理办法》第二十条领取危险废物收集经营许可证的单位，应当与处置单位签订接收合同，并将收集的废矿物油和废镉镍电池在90个工作日内提供或者委托给处置单位进行处置。第二十七条违反本办法第二十条规定的，由县级以上地方人民政府环境保护主管部门责令限期改正，给予警告；逾期不改正的，处1万元以上5万元以下的罚款，并可以由原发证机关暂扣或者吊销危险废物经营许可证。</w:t>
            </w:r>
          </w:p>
        </w:tc>
        <w:tc>
          <w:tcPr>
            <w:tcW w:w="1129" w:type="dxa"/>
            <w:shd w:val="clear" w:color="auto" w:fill="auto"/>
            <w:vAlign w:val="top"/>
          </w:tcPr>
          <w:p w14:paraId="012CE431">
            <w:pPr>
              <w:keepNext w:val="0"/>
              <w:keepLines w:val="0"/>
              <w:pageBreakBefore w:val="0"/>
              <w:widowControl w:val="0"/>
              <w:kinsoku/>
              <w:wordWrap/>
              <w:overflowPunct/>
              <w:topLinePunct w:val="0"/>
              <w:autoSpaceDE/>
              <w:autoSpaceDN/>
              <w:bidi w:val="0"/>
              <w:spacing w:before="69" w:line="320" w:lineRule="exact"/>
              <w:ind w:left="49" w:leftChars="0" w:right="26" w:rightChars="0" w:firstLine="404" w:firstLineChars="200"/>
              <w:rPr>
                <w:rFonts w:ascii="宋体" w:hAnsi="宋体" w:eastAsia="宋体" w:cs="宋体"/>
                <w:spacing w:val="-4"/>
                <w:sz w:val="21"/>
                <w:szCs w:val="21"/>
              </w:rPr>
            </w:pPr>
          </w:p>
        </w:tc>
        <w:tc>
          <w:tcPr>
            <w:tcW w:w="990" w:type="dxa"/>
            <w:gridSpan w:val="2"/>
            <w:shd w:val="clear" w:color="auto" w:fill="auto"/>
            <w:vAlign w:val="top"/>
          </w:tcPr>
          <w:p w14:paraId="0364C129">
            <w:pPr>
              <w:keepNext w:val="0"/>
              <w:keepLines w:val="0"/>
              <w:pageBreakBefore w:val="0"/>
              <w:widowControl w:val="0"/>
              <w:kinsoku/>
              <w:wordWrap/>
              <w:overflowPunct/>
              <w:topLinePunct w:val="0"/>
              <w:autoSpaceDE/>
              <w:autoSpaceDN/>
              <w:bidi w:val="0"/>
              <w:spacing w:before="69" w:line="320" w:lineRule="exact"/>
              <w:ind w:left="204" w:leftChars="0" w:right="59" w:rightChars="0" w:firstLine="404" w:firstLineChars="200"/>
              <w:rPr>
                <w:rFonts w:ascii="宋体" w:hAnsi="宋体" w:eastAsia="宋体" w:cs="宋体"/>
                <w:spacing w:val="-4"/>
                <w:sz w:val="21"/>
                <w:szCs w:val="21"/>
              </w:rPr>
            </w:pPr>
          </w:p>
        </w:tc>
      </w:tr>
      <w:tr w14:paraId="286117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6" w:hRule="atLeast"/>
        </w:trPr>
        <w:tc>
          <w:tcPr>
            <w:tcW w:w="557" w:type="dxa"/>
            <w:shd w:val="clear" w:color="auto" w:fill="auto"/>
            <w:vAlign w:val="center"/>
          </w:tcPr>
          <w:p w14:paraId="0428753D">
            <w:pPr>
              <w:keepNext w:val="0"/>
              <w:keepLines w:val="0"/>
              <w:pageBreakBefore w:val="0"/>
              <w:widowControl w:val="0"/>
              <w:kinsoku/>
              <w:wordWrap/>
              <w:overflowPunct/>
              <w:topLinePunct w:val="0"/>
              <w:autoSpaceDE/>
              <w:autoSpaceDN/>
              <w:bidi w:val="0"/>
              <w:spacing w:before="68" w:line="320" w:lineRule="exact"/>
              <w:ind w:left="0" w:leftChars="0" w:firstLine="0" w:firstLineChars="0"/>
              <w:jc w:val="center"/>
              <w:rPr>
                <w:rFonts w:hint="eastAsia" w:ascii="仿宋_GB2312" w:hAnsi="仿宋_GB2312" w:eastAsia="仿宋_GB2312" w:cs="仿宋_GB2312"/>
                <w:spacing w:val="-8"/>
                <w:sz w:val="24"/>
                <w:szCs w:val="24"/>
                <w:lang w:val="en-US" w:eastAsia="zh-CN"/>
              </w:rPr>
            </w:pPr>
            <w:r>
              <w:rPr>
                <w:rFonts w:hint="eastAsia" w:ascii="仿宋_GB2312" w:hAnsi="仿宋_GB2312" w:eastAsia="仿宋_GB2312" w:cs="仿宋_GB2312"/>
                <w:spacing w:val="-8"/>
                <w:sz w:val="24"/>
                <w:szCs w:val="24"/>
                <w:lang w:val="en-US" w:eastAsia="zh-CN"/>
              </w:rPr>
              <w:t>100</w:t>
            </w:r>
          </w:p>
        </w:tc>
        <w:tc>
          <w:tcPr>
            <w:tcW w:w="2355" w:type="dxa"/>
            <w:shd w:val="clear" w:color="auto" w:fill="auto"/>
            <w:vAlign w:val="center"/>
          </w:tcPr>
          <w:p w14:paraId="5CF6DB88">
            <w:pPr>
              <w:keepNext w:val="0"/>
              <w:keepLines w:val="0"/>
              <w:pageBreakBefore w:val="0"/>
              <w:widowControl w:val="0"/>
              <w:kinsoku/>
              <w:wordWrap/>
              <w:overflowPunct/>
              <w:topLinePunct w:val="0"/>
              <w:autoSpaceDE/>
              <w:autoSpaceDN/>
              <w:bidi w:val="0"/>
              <w:spacing w:before="68" w:line="320" w:lineRule="exact"/>
              <w:ind w:left="240" w:leftChars="100" w:right="127" w:rightChars="53" w:firstLine="0" w:firstLineChars="0"/>
              <w:jc w:val="center"/>
              <w:rPr>
                <w:rFonts w:hint="eastAsia" w:ascii="宋体" w:hAnsi="宋体" w:eastAsia="宋体" w:cs="宋体"/>
                <w:spacing w:val="-8"/>
                <w:kern w:val="2"/>
                <w:sz w:val="21"/>
                <w:szCs w:val="21"/>
                <w:lang w:val="en-US" w:eastAsia="zh-CN" w:bidi="ar-SA"/>
              </w:rPr>
            </w:pPr>
            <w:r>
              <w:rPr>
                <w:rFonts w:hint="eastAsia" w:ascii="宋体" w:hAnsi="宋体" w:eastAsia="宋体" w:cs="宋体"/>
                <w:spacing w:val="-8"/>
                <w:sz w:val="21"/>
                <w:szCs w:val="21"/>
                <w:lang w:val="en-US" w:eastAsia="zh-CN"/>
              </w:rPr>
              <w:t>对未按照规定报告危险化学品企业相关信息行为的行政处罚</w:t>
            </w:r>
          </w:p>
        </w:tc>
        <w:tc>
          <w:tcPr>
            <w:tcW w:w="1094" w:type="dxa"/>
            <w:shd w:val="clear" w:color="auto" w:fill="auto"/>
            <w:vAlign w:val="center"/>
          </w:tcPr>
          <w:p w14:paraId="30C9E202">
            <w:pPr>
              <w:keepNext w:val="0"/>
              <w:keepLines w:val="0"/>
              <w:pageBreakBefore w:val="0"/>
              <w:widowControl w:val="0"/>
              <w:kinsoku/>
              <w:wordWrap/>
              <w:overflowPunct/>
              <w:topLinePunct w:val="0"/>
              <w:autoSpaceDE/>
              <w:autoSpaceDN/>
              <w:bidi w:val="0"/>
              <w:spacing w:before="68" w:line="320" w:lineRule="exact"/>
              <w:ind w:left="0" w:leftChars="0" w:firstLine="0" w:firstLineChars="0"/>
              <w:jc w:val="center"/>
              <w:rPr>
                <w:rFonts w:hint="eastAsia" w:ascii="仿宋_GB2312" w:hAnsi="仿宋_GB2312" w:eastAsia="仿宋_GB2312" w:cs="仿宋_GB2312"/>
                <w:spacing w:val="-8"/>
                <w:kern w:val="2"/>
                <w:sz w:val="24"/>
                <w:szCs w:val="24"/>
                <w:lang w:val="en-US" w:eastAsia="zh-CN" w:bidi="ar-SA"/>
              </w:rPr>
            </w:pPr>
            <w:r>
              <w:rPr>
                <w:rFonts w:hint="eastAsia" w:ascii="仿宋_GB2312" w:hAnsi="仿宋_GB2312" w:eastAsia="仿宋_GB2312" w:cs="仿宋_GB2312"/>
                <w:spacing w:val="-8"/>
                <w:sz w:val="24"/>
                <w:szCs w:val="24"/>
                <w:lang w:val="en-US" w:eastAsia="zh-CN"/>
              </w:rPr>
              <w:t>行政处罚</w:t>
            </w:r>
          </w:p>
        </w:tc>
        <w:tc>
          <w:tcPr>
            <w:tcW w:w="8317" w:type="dxa"/>
            <w:shd w:val="clear" w:color="auto" w:fill="auto"/>
            <w:vAlign w:val="top"/>
          </w:tcPr>
          <w:p w14:paraId="6E84DB1C">
            <w:pPr>
              <w:keepNext w:val="0"/>
              <w:keepLines w:val="0"/>
              <w:pageBreakBefore w:val="0"/>
              <w:widowControl w:val="0"/>
              <w:suppressLineNumbers w:val="0"/>
              <w:kinsoku/>
              <w:wordWrap/>
              <w:overflowPunct/>
              <w:topLinePunct w:val="0"/>
              <w:autoSpaceDE/>
              <w:autoSpaceDN/>
              <w:bidi w:val="0"/>
              <w:adjustRightInd/>
              <w:snapToGrid/>
              <w:spacing w:after="0" w:afterLines="-2147483648" w:line="320" w:lineRule="exact"/>
              <w:ind w:left="240" w:leftChars="100" w:firstLine="420" w:firstLineChars="200"/>
              <w:jc w:val="both"/>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危险化学品安全管理条例》第八十一条第一款有下列情形之一的，由公安机关责令改正，可以处1万元以下的罚款；拒不改正的，处1万元以上5万元以下的罚款：（一）生产、储存、使用剧毒化学品、易制爆危险化学品的单位不如实记录生产、储存、使用的剧毒化学品、易制爆危险化学品的数量、流向的；（二）生产、储存、使用剧毒化学品、易制爆危险化学品的单位发现剧毒化学品、易制爆危险化学品丢失或者被盗，不立即向公安机关报告的；（三）储存剧毒化学品的单位未将剧毒化学品的储存数量、储存地点以及管理人员的情况报所在地县级人民政府公安机关备案的；（四）危险化学品生产企业、经营企业不如实记录剧毒化学品、易制爆危险化学品购买单位的名称、地址、经办人的姓名、身份证号码以及所购买的剧毒化学品、易制爆危险化学品的品种、数量、用途，或者保存销售记录和相关材料的时间少于1年的；（五）剧毒化学品、易制爆危险化学品的销售企业、购买单位未在规定的时限内将所销售、购买的剧毒化学品、易制爆危险化学品的品种、数量以及流向信息报所在地县级人民政府公安机关备案的；（六）使用剧毒化学品、易制爆危险化学品的单位依照本条例规定转让其购买的剧毒化学品、易制爆危险化学品，未将有关情况向所在地县级人民政府公安机关报告的。第三款生产实施重点环境管理的危险化学品的企业或者使用实施重点环境管理的危险化学品从事生产的企业未按照规定将相关信息向环境保护主管部门报告的，由环境保护主管部门依照本条第一款的规定予以处罚。者保存销售记录和相关材料的时间少于1年的；（七）剧毒化学品、易制爆危险化学品的销售企业、购买单位未在规定的时限内将所销售、购买的剧毒化学品、易制爆危险化学品的品种、数量以及流向信息报所在地县级人民政府公安机关备案的；（八）使用剧毒化学品、易制爆危险化学品的单位依照本条例规定转让其购买的剧毒化学品、易制爆危险化学品，未将有关情况向所在地县级人民政府公安机关报告的。第三款生产实施重点环境管理的危险化学品的企业或者使用实施重点环境管理的危险化学品从事生产的企业未按照规定将相关信息向环境保护主管部门报告的，由环境保护主管部门依照本条第一款的规定予以处罚。</w:t>
            </w:r>
          </w:p>
        </w:tc>
        <w:tc>
          <w:tcPr>
            <w:tcW w:w="1129" w:type="dxa"/>
          </w:tcPr>
          <w:p w14:paraId="097A3FD2">
            <w:pPr>
              <w:keepNext w:val="0"/>
              <w:keepLines w:val="0"/>
              <w:pageBreakBefore w:val="0"/>
              <w:widowControl w:val="0"/>
              <w:kinsoku/>
              <w:wordWrap/>
              <w:overflowPunct/>
              <w:topLinePunct w:val="0"/>
              <w:autoSpaceDE/>
              <w:autoSpaceDN/>
              <w:bidi w:val="0"/>
              <w:spacing w:before="69" w:line="320" w:lineRule="exact"/>
              <w:ind w:left="49" w:leftChars="0" w:right="26" w:rightChars="0" w:firstLine="404" w:firstLineChars="200"/>
              <w:rPr>
                <w:rFonts w:ascii="宋体" w:hAnsi="宋体" w:eastAsia="宋体" w:cs="宋体"/>
                <w:spacing w:val="-4"/>
                <w:sz w:val="21"/>
                <w:szCs w:val="21"/>
              </w:rPr>
            </w:pPr>
          </w:p>
        </w:tc>
        <w:tc>
          <w:tcPr>
            <w:tcW w:w="990" w:type="dxa"/>
            <w:gridSpan w:val="2"/>
          </w:tcPr>
          <w:p w14:paraId="20392500">
            <w:pPr>
              <w:keepNext w:val="0"/>
              <w:keepLines w:val="0"/>
              <w:pageBreakBefore w:val="0"/>
              <w:widowControl w:val="0"/>
              <w:kinsoku/>
              <w:wordWrap/>
              <w:overflowPunct/>
              <w:topLinePunct w:val="0"/>
              <w:autoSpaceDE/>
              <w:autoSpaceDN/>
              <w:bidi w:val="0"/>
              <w:spacing w:before="69" w:line="320" w:lineRule="exact"/>
              <w:ind w:left="204" w:leftChars="0" w:right="59" w:rightChars="0" w:firstLine="404" w:firstLineChars="200"/>
              <w:rPr>
                <w:rFonts w:ascii="宋体" w:hAnsi="宋体" w:eastAsia="宋体" w:cs="宋体"/>
                <w:spacing w:val="-4"/>
                <w:sz w:val="21"/>
                <w:szCs w:val="21"/>
              </w:rPr>
            </w:pPr>
          </w:p>
        </w:tc>
      </w:tr>
      <w:tr w14:paraId="3E4E52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6" w:hRule="atLeast"/>
        </w:trPr>
        <w:tc>
          <w:tcPr>
            <w:tcW w:w="557" w:type="dxa"/>
            <w:shd w:val="clear" w:color="auto" w:fill="auto"/>
            <w:vAlign w:val="center"/>
          </w:tcPr>
          <w:p w14:paraId="7C5867D2">
            <w:pPr>
              <w:keepNext w:val="0"/>
              <w:keepLines w:val="0"/>
              <w:pageBreakBefore w:val="0"/>
              <w:widowControl w:val="0"/>
              <w:kinsoku/>
              <w:wordWrap/>
              <w:overflowPunct/>
              <w:topLinePunct w:val="0"/>
              <w:autoSpaceDE/>
              <w:autoSpaceDN/>
              <w:bidi w:val="0"/>
              <w:spacing w:before="68" w:line="320" w:lineRule="exact"/>
              <w:ind w:left="0" w:leftChars="0" w:firstLine="0" w:firstLineChars="0"/>
              <w:jc w:val="center"/>
              <w:rPr>
                <w:rFonts w:hint="eastAsia" w:ascii="仿宋_GB2312" w:hAnsi="仿宋_GB2312" w:eastAsia="仿宋_GB2312" w:cs="仿宋_GB2312"/>
                <w:spacing w:val="-8"/>
                <w:sz w:val="24"/>
                <w:szCs w:val="24"/>
                <w:lang w:val="en-US" w:eastAsia="zh-CN"/>
              </w:rPr>
            </w:pPr>
            <w:r>
              <w:rPr>
                <w:rFonts w:hint="eastAsia" w:ascii="仿宋_GB2312" w:hAnsi="仿宋_GB2312" w:eastAsia="仿宋_GB2312" w:cs="仿宋_GB2312"/>
                <w:spacing w:val="-8"/>
                <w:sz w:val="24"/>
                <w:szCs w:val="24"/>
                <w:lang w:val="en-US" w:eastAsia="zh-CN"/>
              </w:rPr>
              <w:t>101</w:t>
            </w:r>
          </w:p>
        </w:tc>
        <w:tc>
          <w:tcPr>
            <w:tcW w:w="2355" w:type="dxa"/>
            <w:shd w:val="clear" w:color="auto" w:fill="auto"/>
            <w:vAlign w:val="center"/>
          </w:tcPr>
          <w:p w14:paraId="41D59FFB">
            <w:pPr>
              <w:keepNext w:val="0"/>
              <w:keepLines w:val="0"/>
              <w:pageBreakBefore w:val="0"/>
              <w:widowControl w:val="0"/>
              <w:kinsoku/>
              <w:wordWrap/>
              <w:overflowPunct/>
              <w:topLinePunct w:val="0"/>
              <w:autoSpaceDE/>
              <w:autoSpaceDN/>
              <w:bidi w:val="0"/>
              <w:spacing w:before="68" w:line="320" w:lineRule="exact"/>
              <w:ind w:left="240" w:leftChars="100" w:right="127" w:rightChars="53" w:firstLine="0" w:firstLineChars="0"/>
              <w:jc w:val="center"/>
              <w:rPr>
                <w:rFonts w:hint="eastAsia" w:ascii="宋体" w:hAnsi="宋体" w:eastAsia="宋体" w:cs="宋体"/>
                <w:spacing w:val="-8"/>
                <w:kern w:val="2"/>
                <w:sz w:val="21"/>
                <w:szCs w:val="21"/>
                <w:lang w:val="en-US" w:eastAsia="zh-CN" w:bidi="ar-SA"/>
              </w:rPr>
            </w:pPr>
            <w:r>
              <w:rPr>
                <w:rFonts w:hint="eastAsia" w:ascii="宋体" w:hAnsi="宋体" w:eastAsia="宋体" w:cs="宋体"/>
                <w:spacing w:val="-8"/>
                <w:sz w:val="21"/>
                <w:szCs w:val="21"/>
                <w:lang w:val="en-US" w:eastAsia="zh-CN"/>
              </w:rPr>
              <w:t>对未按规定备案危险化学品生产装置、储存设施以及库存危险化学品的处置方案行为的行政处罚</w:t>
            </w:r>
          </w:p>
        </w:tc>
        <w:tc>
          <w:tcPr>
            <w:tcW w:w="1094" w:type="dxa"/>
            <w:shd w:val="clear" w:color="auto" w:fill="auto"/>
            <w:vAlign w:val="center"/>
          </w:tcPr>
          <w:p w14:paraId="40491A8C">
            <w:pPr>
              <w:keepNext w:val="0"/>
              <w:keepLines w:val="0"/>
              <w:pageBreakBefore w:val="0"/>
              <w:widowControl w:val="0"/>
              <w:kinsoku/>
              <w:wordWrap/>
              <w:overflowPunct/>
              <w:topLinePunct w:val="0"/>
              <w:autoSpaceDE/>
              <w:autoSpaceDN/>
              <w:bidi w:val="0"/>
              <w:spacing w:before="68" w:line="320" w:lineRule="exact"/>
              <w:ind w:left="0" w:leftChars="0" w:firstLine="0" w:firstLineChars="0"/>
              <w:jc w:val="center"/>
              <w:rPr>
                <w:rFonts w:hint="eastAsia" w:ascii="仿宋_GB2312" w:hAnsi="仿宋_GB2312" w:eastAsia="仿宋_GB2312" w:cs="仿宋_GB2312"/>
                <w:spacing w:val="-8"/>
                <w:kern w:val="2"/>
                <w:sz w:val="24"/>
                <w:szCs w:val="24"/>
                <w:lang w:val="en-US" w:eastAsia="zh-CN" w:bidi="ar-SA"/>
              </w:rPr>
            </w:pPr>
            <w:r>
              <w:rPr>
                <w:rFonts w:hint="eastAsia" w:ascii="仿宋_GB2312" w:hAnsi="仿宋_GB2312" w:eastAsia="仿宋_GB2312" w:cs="仿宋_GB2312"/>
                <w:spacing w:val="-8"/>
                <w:sz w:val="24"/>
                <w:szCs w:val="24"/>
                <w:lang w:val="en-US" w:eastAsia="zh-CN"/>
              </w:rPr>
              <w:t>行政处罚</w:t>
            </w:r>
          </w:p>
        </w:tc>
        <w:tc>
          <w:tcPr>
            <w:tcW w:w="8317" w:type="dxa"/>
            <w:shd w:val="clear" w:color="auto" w:fill="auto"/>
            <w:vAlign w:val="top"/>
          </w:tcPr>
          <w:p w14:paraId="58F2680C">
            <w:pPr>
              <w:keepNext w:val="0"/>
              <w:keepLines w:val="0"/>
              <w:pageBreakBefore w:val="0"/>
              <w:widowControl w:val="0"/>
              <w:suppressLineNumbers w:val="0"/>
              <w:kinsoku/>
              <w:wordWrap/>
              <w:overflowPunct/>
              <w:topLinePunct w:val="0"/>
              <w:autoSpaceDE/>
              <w:autoSpaceDN/>
              <w:bidi w:val="0"/>
              <w:adjustRightInd/>
              <w:snapToGrid/>
              <w:spacing w:after="0" w:afterLines="-2147483648" w:line="320" w:lineRule="exact"/>
              <w:ind w:left="240" w:leftChars="100" w:firstLine="420" w:firstLineChars="200"/>
              <w:jc w:val="both"/>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危险化学品安全管理条例》第二十七条生产、储存危险化学品的单位转产、停产、停业或者解散的，应当采取有效措施，及时、妥善处置其危险化学品生产装置、储存设施以及库存的危险化学品，不得弃危险化学品；处置方案应当报所在地县级人民政府安全生产监督管理部门、工业和信息化主管部门、环保护主管部门和公安机关备案。安全生产监督管理部门应当会同环境保护主管部门和公安机关对处置情况进行监督检查，发现未依照规定处置的，应当责令其立即处置。第八十二条第二款生产、储存、使用危险化学品的单位转产、停产、停业或者解散，未依照本条例规定将其危险化学品生产装置、储存设施以及库存危险化学品的处置方案报有关部门备案的，分别由有关部门责令改正，可以处1万元以下的罚款；拒不改正的，处1万元以上5万元以下的罚款。</w:t>
            </w:r>
          </w:p>
        </w:tc>
        <w:tc>
          <w:tcPr>
            <w:tcW w:w="1129" w:type="dxa"/>
          </w:tcPr>
          <w:p w14:paraId="781C7C19">
            <w:pPr>
              <w:keepNext w:val="0"/>
              <w:keepLines w:val="0"/>
              <w:pageBreakBefore w:val="0"/>
              <w:widowControl w:val="0"/>
              <w:kinsoku/>
              <w:wordWrap/>
              <w:overflowPunct/>
              <w:topLinePunct w:val="0"/>
              <w:autoSpaceDE/>
              <w:autoSpaceDN/>
              <w:bidi w:val="0"/>
              <w:spacing w:before="69" w:line="320" w:lineRule="exact"/>
              <w:ind w:left="49" w:leftChars="0" w:right="26" w:rightChars="0" w:firstLine="404" w:firstLineChars="200"/>
              <w:rPr>
                <w:rFonts w:ascii="宋体" w:hAnsi="宋体" w:eastAsia="宋体" w:cs="宋体"/>
                <w:spacing w:val="-4"/>
                <w:sz w:val="21"/>
                <w:szCs w:val="21"/>
              </w:rPr>
            </w:pPr>
          </w:p>
        </w:tc>
        <w:tc>
          <w:tcPr>
            <w:tcW w:w="990" w:type="dxa"/>
            <w:gridSpan w:val="2"/>
          </w:tcPr>
          <w:p w14:paraId="5602105C">
            <w:pPr>
              <w:keepNext w:val="0"/>
              <w:keepLines w:val="0"/>
              <w:pageBreakBefore w:val="0"/>
              <w:widowControl w:val="0"/>
              <w:kinsoku/>
              <w:wordWrap/>
              <w:overflowPunct/>
              <w:topLinePunct w:val="0"/>
              <w:autoSpaceDE/>
              <w:autoSpaceDN/>
              <w:bidi w:val="0"/>
              <w:spacing w:before="69" w:line="320" w:lineRule="exact"/>
              <w:ind w:left="204" w:leftChars="0" w:right="59" w:rightChars="0" w:firstLine="404" w:firstLineChars="200"/>
              <w:rPr>
                <w:rFonts w:ascii="宋体" w:hAnsi="宋体" w:eastAsia="宋体" w:cs="宋体"/>
                <w:spacing w:val="-4"/>
                <w:sz w:val="21"/>
                <w:szCs w:val="21"/>
              </w:rPr>
            </w:pPr>
          </w:p>
        </w:tc>
      </w:tr>
      <w:tr w14:paraId="43D350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6" w:hRule="atLeast"/>
        </w:trPr>
        <w:tc>
          <w:tcPr>
            <w:tcW w:w="557" w:type="dxa"/>
            <w:shd w:val="clear" w:color="auto" w:fill="auto"/>
            <w:vAlign w:val="center"/>
          </w:tcPr>
          <w:p w14:paraId="6DF4EE23">
            <w:pPr>
              <w:keepNext w:val="0"/>
              <w:keepLines w:val="0"/>
              <w:pageBreakBefore w:val="0"/>
              <w:widowControl w:val="0"/>
              <w:kinsoku/>
              <w:wordWrap/>
              <w:overflowPunct/>
              <w:topLinePunct w:val="0"/>
              <w:autoSpaceDE/>
              <w:autoSpaceDN/>
              <w:bidi w:val="0"/>
              <w:spacing w:before="68" w:line="320" w:lineRule="exact"/>
              <w:ind w:left="0" w:leftChars="0" w:firstLine="0" w:firstLineChars="0"/>
              <w:jc w:val="center"/>
              <w:rPr>
                <w:rFonts w:hint="eastAsia" w:ascii="仿宋_GB2312" w:hAnsi="仿宋_GB2312" w:eastAsia="仿宋_GB2312" w:cs="仿宋_GB2312"/>
                <w:spacing w:val="-8"/>
                <w:sz w:val="24"/>
                <w:szCs w:val="24"/>
                <w:lang w:val="en-US" w:eastAsia="zh-CN"/>
              </w:rPr>
            </w:pPr>
            <w:r>
              <w:rPr>
                <w:rFonts w:hint="eastAsia" w:ascii="仿宋_GB2312" w:hAnsi="仿宋_GB2312" w:eastAsia="仿宋_GB2312" w:cs="仿宋_GB2312"/>
                <w:spacing w:val="-8"/>
                <w:sz w:val="24"/>
                <w:szCs w:val="24"/>
                <w:lang w:val="en-US" w:eastAsia="zh-CN"/>
              </w:rPr>
              <w:t>102</w:t>
            </w:r>
          </w:p>
        </w:tc>
        <w:tc>
          <w:tcPr>
            <w:tcW w:w="2355" w:type="dxa"/>
            <w:shd w:val="clear" w:color="auto" w:fill="auto"/>
            <w:vAlign w:val="center"/>
          </w:tcPr>
          <w:p w14:paraId="30A524A4">
            <w:pPr>
              <w:keepNext w:val="0"/>
              <w:keepLines w:val="0"/>
              <w:pageBreakBefore w:val="0"/>
              <w:widowControl w:val="0"/>
              <w:kinsoku/>
              <w:wordWrap/>
              <w:overflowPunct/>
              <w:topLinePunct w:val="0"/>
              <w:autoSpaceDE/>
              <w:autoSpaceDN/>
              <w:bidi w:val="0"/>
              <w:spacing w:before="68" w:line="320" w:lineRule="exact"/>
              <w:ind w:left="240" w:leftChars="100" w:right="127" w:rightChars="53" w:firstLine="0" w:firstLineChars="0"/>
              <w:jc w:val="center"/>
              <w:rPr>
                <w:rFonts w:hint="eastAsia" w:ascii="宋体" w:hAnsi="宋体" w:eastAsia="宋体" w:cs="宋体"/>
                <w:spacing w:val="-8"/>
                <w:kern w:val="2"/>
                <w:sz w:val="21"/>
                <w:szCs w:val="21"/>
                <w:lang w:val="en-US" w:eastAsia="zh-CN" w:bidi="ar-SA"/>
              </w:rPr>
            </w:pPr>
            <w:r>
              <w:rPr>
                <w:rFonts w:hint="eastAsia" w:ascii="宋体" w:hAnsi="宋体" w:eastAsia="宋体" w:cs="宋体"/>
                <w:spacing w:val="-8"/>
                <w:sz w:val="21"/>
                <w:szCs w:val="21"/>
                <w:lang w:val="en-US" w:eastAsia="zh-CN"/>
              </w:rPr>
              <w:t>对医疗卫生机构、医疗废物集中处置单位未建立、健全医疗废物管理制度等行为的行政处罚</w:t>
            </w:r>
          </w:p>
        </w:tc>
        <w:tc>
          <w:tcPr>
            <w:tcW w:w="1094" w:type="dxa"/>
            <w:shd w:val="clear" w:color="auto" w:fill="auto"/>
            <w:vAlign w:val="center"/>
          </w:tcPr>
          <w:p w14:paraId="1BD4D136">
            <w:pPr>
              <w:keepNext w:val="0"/>
              <w:keepLines w:val="0"/>
              <w:pageBreakBefore w:val="0"/>
              <w:widowControl w:val="0"/>
              <w:kinsoku/>
              <w:wordWrap/>
              <w:overflowPunct/>
              <w:topLinePunct w:val="0"/>
              <w:autoSpaceDE/>
              <w:autoSpaceDN/>
              <w:bidi w:val="0"/>
              <w:spacing w:before="68" w:line="320" w:lineRule="exact"/>
              <w:ind w:left="0" w:leftChars="0" w:firstLine="0" w:firstLineChars="0"/>
              <w:jc w:val="center"/>
              <w:rPr>
                <w:rFonts w:hint="eastAsia" w:ascii="仿宋_GB2312" w:hAnsi="仿宋_GB2312" w:eastAsia="仿宋_GB2312" w:cs="仿宋_GB2312"/>
                <w:spacing w:val="-8"/>
                <w:kern w:val="2"/>
                <w:sz w:val="24"/>
                <w:szCs w:val="24"/>
                <w:lang w:val="en-US" w:eastAsia="zh-CN" w:bidi="ar-SA"/>
              </w:rPr>
            </w:pPr>
            <w:r>
              <w:rPr>
                <w:rFonts w:hint="eastAsia" w:ascii="仿宋_GB2312" w:hAnsi="仿宋_GB2312" w:eastAsia="仿宋_GB2312" w:cs="仿宋_GB2312"/>
                <w:spacing w:val="-8"/>
                <w:sz w:val="24"/>
                <w:szCs w:val="24"/>
                <w:lang w:val="en-US" w:eastAsia="zh-CN"/>
              </w:rPr>
              <w:t>行政处罚</w:t>
            </w:r>
          </w:p>
        </w:tc>
        <w:tc>
          <w:tcPr>
            <w:tcW w:w="8317" w:type="dxa"/>
            <w:shd w:val="clear" w:color="auto" w:fill="auto"/>
            <w:vAlign w:val="top"/>
          </w:tcPr>
          <w:p w14:paraId="63BE18E3">
            <w:pPr>
              <w:keepNext w:val="0"/>
              <w:keepLines w:val="0"/>
              <w:pageBreakBefore w:val="0"/>
              <w:widowControl w:val="0"/>
              <w:suppressLineNumbers w:val="0"/>
              <w:kinsoku/>
              <w:wordWrap/>
              <w:overflowPunct/>
              <w:topLinePunct w:val="0"/>
              <w:autoSpaceDE/>
              <w:autoSpaceDN/>
              <w:bidi w:val="0"/>
              <w:adjustRightInd/>
              <w:snapToGrid/>
              <w:spacing w:after="0" w:afterLines="-2147483648" w:line="320" w:lineRule="exact"/>
              <w:ind w:left="240" w:leftChars="100" w:firstLine="420" w:firstLineChars="200"/>
              <w:jc w:val="both"/>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医疗废物管理条例》第四十五条医疗卫生机构、医疗废物集中处置单位违反本条例规定，有下列情形之一的，由县级以上地方人民政府卫生行政主管部门或者环境保护行政主管部门按照各自的职责责令限期改正，给予警告；逾期不改正的，处2000元以上5000元以下的罚款：（一）未建立、健全医疗废物管理制度，或者未设置监控部门或者专（兼）职人员的；（二）未对有关人员进行相关法律和专业技术、安全防护以及紧急处理等知识的培训的；（三）未对从事医疗废物收集、运送、贮存、处置等工作的人员和管理人员采取职业卫生防护措施的；（四）未对医疗废物进行登记或者未保存登记资料的；（五）对使用后的医疗废物运送工具或者运送车辆未在指定地点及时进行消毒和清洁的；（六）未及时收集、运送医疗废物的；（七）未定期对医疗废物处置设施的环境污染防治和卫生学效果进行检测、评价，或者未将检测、评价效果存档、报告的。</w:t>
            </w:r>
          </w:p>
          <w:p w14:paraId="584E84F6">
            <w:pPr>
              <w:keepNext w:val="0"/>
              <w:keepLines w:val="0"/>
              <w:pageBreakBefore w:val="0"/>
              <w:widowControl w:val="0"/>
              <w:suppressLineNumbers w:val="0"/>
              <w:kinsoku/>
              <w:wordWrap/>
              <w:overflowPunct/>
              <w:topLinePunct w:val="0"/>
              <w:autoSpaceDE/>
              <w:autoSpaceDN/>
              <w:bidi w:val="0"/>
              <w:adjustRightInd/>
              <w:snapToGrid/>
              <w:spacing w:after="0" w:afterLines="-2147483648" w:line="320" w:lineRule="exact"/>
              <w:ind w:left="240" w:leftChars="100" w:firstLine="420" w:firstLineChars="200"/>
              <w:jc w:val="both"/>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医疗废物管理行政处罚办法》第三条医疗废物集中处置单位有《条例》第四十五条规定的下列情形之一的，由县级以上地方人民政府环境保护行政主管部门责令限期改正，给予警告；逾期不改正的，处2000元以上5000元以下的罚款：（一）未建立、健全医疗废物管理制度，或者未设置监控部门或者专（兼）职人员的；（二）未对有关人员进行相关法律和专业技术、安全防护以及紧急处理等知识培训的；（三）未对医疗废物进行登记或者未保存登记资料的；（四）对使用后的医疗废物运送车辆未在指定地点及时进行消毒和清洁的；（五）未及时收集、运送医疗废物的；（六）未定期对医疗废物处置设施的污染防治和卫生学效果进行检测、评价，或者未将检测、评价效果存档、报告的。</w:t>
            </w:r>
          </w:p>
        </w:tc>
        <w:tc>
          <w:tcPr>
            <w:tcW w:w="1129" w:type="dxa"/>
          </w:tcPr>
          <w:p w14:paraId="76BD8B60">
            <w:pPr>
              <w:keepNext w:val="0"/>
              <w:keepLines w:val="0"/>
              <w:pageBreakBefore w:val="0"/>
              <w:widowControl w:val="0"/>
              <w:kinsoku/>
              <w:wordWrap/>
              <w:overflowPunct/>
              <w:topLinePunct w:val="0"/>
              <w:autoSpaceDE/>
              <w:autoSpaceDN/>
              <w:bidi w:val="0"/>
              <w:spacing w:before="69" w:line="320" w:lineRule="exact"/>
              <w:ind w:left="49" w:leftChars="0" w:right="26" w:rightChars="0" w:firstLine="404" w:firstLineChars="200"/>
              <w:rPr>
                <w:rFonts w:ascii="宋体" w:hAnsi="宋体" w:eastAsia="宋体" w:cs="宋体"/>
                <w:spacing w:val="-4"/>
                <w:sz w:val="21"/>
                <w:szCs w:val="21"/>
              </w:rPr>
            </w:pPr>
          </w:p>
        </w:tc>
        <w:tc>
          <w:tcPr>
            <w:tcW w:w="990" w:type="dxa"/>
            <w:gridSpan w:val="2"/>
          </w:tcPr>
          <w:p w14:paraId="6942C206">
            <w:pPr>
              <w:keepNext w:val="0"/>
              <w:keepLines w:val="0"/>
              <w:pageBreakBefore w:val="0"/>
              <w:widowControl w:val="0"/>
              <w:kinsoku/>
              <w:wordWrap/>
              <w:overflowPunct/>
              <w:topLinePunct w:val="0"/>
              <w:autoSpaceDE/>
              <w:autoSpaceDN/>
              <w:bidi w:val="0"/>
              <w:spacing w:before="69" w:line="320" w:lineRule="exact"/>
              <w:ind w:left="204" w:leftChars="0" w:right="59" w:rightChars="0" w:firstLine="404" w:firstLineChars="200"/>
              <w:rPr>
                <w:rFonts w:ascii="宋体" w:hAnsi="宋体" w:eastAsia="宋体" w:cs="宋体"/>
                <w:spacing w:val="-4"/>
                <w:sz w:val="21"/>
                <w:szCs w:val="21"/>
              </w:rPr>
            </w:pPr>
          </w:p>
        </w:tc>
      </w:tr>
      <w:tr w14:paraId="39A728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6" w:hRule="atLeast"/>
        </w:trPr>
        <w:tc>
          <w:tcPr>
            <w:tcW w:w="557" w:type="dxa"/>
            <w:shd w:val="clear" w:color="auto" w:fill="auto"/>
            <w:vAlign w:val="center"/>
          </w:tcPr>
          <w:p w14:paraId="22BCE37D">
            <w:pPr>
              <w:keepNext w:val="0"/>
              <w:keepLines w:val="0"/>
              <w:pageBreakBefore w:val="0"/>
              <w:widowControl w:val="0"/>
              <w:kinsoku/>
              <w:wordWrap/>
              <w:overflowPunct/>
              <w:topLinePunct w:val="0"/>
              <w:autoSpaceDE/>
              <w:autoSpaceDN/>
              <w:bidi w:val="0"/>
              <w:spacing w:before="68" w:line="320" w:lineRule="exact"/>
              <w:ind w:left="0" w:leftChars="0" w:firstLine="0" w:firstLineChars="0"/>
              <w:jc w:val="center"/>
              <w:rPr>
                <w:rFonts w:hint="eastAsia" w:ascii="仿宋_GB2312" w:hAnsi="仿宋_GB2312" w:eastAsia="仿宋_GB2312" w:cs="仿宋_GB2312"/>
                <w:spacing w:val="-8"/>
                <w:sz w:val="24"/>
                <w:szCs w:val="24"/>
                <w:lang w:val="en-US" w:eastAsia="zh-CN"/>
              </w:rPr>
            </w:pPr>
            <w:r>
              <w:rPr>
                <w:rFonts w:hint="eastAsia" w:ascii="仿宋_GB2312" w:hAnsi="仿宋_GB2312" w:eastAsia="仿宋_GB2312" w:cs="仿宋_GB2312"/>
                <w:spacing w:val="-8"/>
                <w:sz w:val="24"/>
                <w:szCs w:val="24"/>
                <w:lang w:val="en-US" w:eastAsia="zh-CN"/>
              </w:rPr>
              <w:t>103</w:t>
            </w:r>
          </w:p>
        </w:tc>
        <w:tc>
          <w:tcPr>
            <w:tcW w:w="2355" w:type="dxa"/>
            <w:shd w:val="clear" w:color="auto" w:fill="auto"/>
            <w:vAlign w:val="center"/>
          </w:tcPr>
          <w:p w14:paraId="00AE4F7D">
            <w:pPr>
              <w:keepNext w:val="0"/>
              <w:keepLines w:val="0"/>
              <w:pageBreakBefore w:val="0"/>
              <w:widowControl w:val="0"/>
              <w:kinsoku/>
              <w:wordWrap/>
              <w:overflowPunct/>
              <w:topLinePunct w:val="0"/>
              <w:autoSpaceDE/>
              <w:autoSpaceDN/>
              <w:bidi w:val="0"/>
              <w:spacing w:before="68" w:line="320" w:lineRule="exact"/>
              <w:ind w:left="240" w:leftChars="100" w:right="127" w:rightChars="53" w:firstLine="0" w:firstLineChars="0"/>
              <w:jc w:val="center"/>
              <w:rPr>
                <w:rFonts w:hint="eastAsia" w:ascii="宋体" w:hAnsi="宋体" w:eastAsia="宋体" w:cs="宋体"/>
                <w:spacing w:val="-8"/>
                <w:kern w:val="2"/>
                <w:sz w:val="21"/>
                <w:szCs w:val="21"/>
                <w:lang w:val="en-US" w:eastAsia="zh-CN" w:bidi="ar-SA"/>
              </w:rPr>
            </w:pPr>
            <w:r>
              <w:rPr>
                <w:rFonts w:hint="eastAsia" w:ascii="宋体" w:hAnsi="宋体" w:eastAsia="宋体" w:cs="宋体"/>
                <w:spacing w:val="-8"/>
                <w:sz w:val="21"/>
                <w:szCs w:val="21"/>
                <w:lang w:val="en-US" w:eastAsia="zh-CN"/>
              </w:rPr>
              <w:t>对医疗卫生机构、医疗废物集中处置单位贮存设施或者设备不符合环境保护、卫生要求等行为的行政处罚</w:t>
            </w:r>
          </w:p>
        </w:tc>
        <w:tc>
          <w:tcPr>
            <w:tcW w:w="1094" w:type="dxa"/>
            <w:shd w:val="clear" w:color="auto" w:fill="auto"/>
            <w:vAlign w:val="center"/>
          </w:tcPr>
          <w:p w14:paraId="650BA802">
            <w:pPr>
              <w:keepNext w:val="0"/>
              <w:keepLines w:val="0"/>
              <w:pageBreakBefore w:val="0"/>
              <w:widowControl w:val="0"/>
              <w:kinsoku/>
              <w:wordWrap/>
              <w:overflowPunct/>
              <w:topLinePunct w:val="0"/>
              <w:autoSpaceDE/>
              <w:autoSpaceDN/>
              <w:bidi w:val="0"/>
              <w:spacing w:before="68" w:line="320" w:lineRule="exact"/>
              <w:ind w:left="0" w:leftChars="0" w:firstLine="0" w:firstLineChars="0"/>
              <w:jc w:val="center"/>
              <w:rPr>
                <w:rFonts w:hint="eastAsia" w:ascii="仿宋_GB2312" w:hAnsi="仿宋_GB2312" w:eastAsia="仿宋_GB2312" w:cs="仿宋_GB2312"/>
                <w:spacing w:val="-8"/>
                <w:kern w:val="2"/>
                <w:sz w:val="24"/>
                <w:szCs w:val="24"/>
                <w:lang w:val="en-US" w:eastAsia="zh-CN" w:bidi="ar-SA"/>
              </w:rPr>
            </w:pPr>
            <w:r>
              <w:rPr>
                <w:rFonts w:hint="eastAsia" w:ascii="仿宋_GB2312" w:hAnsi="仿宋_GB2312" w:eastAsia="仿宋_GB2312" w:cs="仿宋_GB2312"/>
                <w:spacing w:val="-8"/>
                <w:sz w:val="24"/>
                <w:szCs w:val="24"/>
                <w:lang w:val="en-US" w:eastAsia="zh-CN"/>
              </w:rPr>
              <w:t>行政处罚</w:t>
            </w:r>
          </w:p>
        </w:tc>
        <w:tc>
          <w:tcPr>
            <w:tcW w:w="8317" w:type="dxa"/>
            <w:shd w:val="clear" w:color="auto" w:fill="auto"/>
            <w:vAlign w:val="top"/>
          </w:tcPr>
          <w:p w14:paraId="1825222F">
            <w:pPr>
              <w:keepNext w:val="0"/>
              <w:keepLines w:val="0"/>
              <w:pageBreakBefore w:val="0"/>
              <w:widowControl w:val="0"/>
              <w:suppressLineNumbers w:val="0"/>
              <w:kinsoku/>
              <w:wordWrap/>
              <w:overflowPunct/>
              <w:topLinePunct w:val="0"/>
              <w:autoSpaceDE/>
              <w:autoSpaceDN/>
              <w:bidi w:val="0"/>
              <w:adjustRightInd/>
              <w:snapToGrid/>
              <w:spacing w:after="0" w:afterLines="-2147483648" w:line="320" w:lineRule="exact"/>
              <w:ind w:left="240" w:leftChars="100" w:firstLine="420" w:firstLineChars="200"/>
              <w:jc w:val="both"/>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医疗废物管理条例》第四十六条医疗卫生机构、医疗废物集中处置单位违反本条例规定，有下列情形之一的，由县级以上地方人民政府卫生行政主管部门或者环境保护行政主管部门按照各自的职责责令限期改正，给予警告，可以并处5000元以下的罚款；逾期不改正的，处5000元以上3万元以下的罚款：（一）贮存设施或者设备不符合环境保护、卫生要求的；（二）未将医疗废物按照类别分置于专用包装物或者容器的；（三）未使用符合标准的专用车辆运送医疗废物或者使用运送医疗废物的车辆运送其他物品的；（四）未安装污染物排放在线监控装置或者监控装置未经常处于正常运行状态的。</w:t>
            </w:r>
          </w:p>
          <w:p w14:paraId="2C4E9B1A">
            <w:pPr>
              <w:keepNext w:val="0"/>
              <w:keepLines w:val="0"/>
              <w:pageBreakBefore w:val="0"/>
              <w:widowControl w:val="0"/>
              <w:suppressLineNumbers w:val="0"/>
              <w:kinsoku/>
              <w:wordWrap/>
              <w:overflowPunct/>
              <w:topLinePunct w:val="0"/>
              <w:autoSpaceDE/>
              <w:autoSpaceDN/>
              <w:bidi w:val="0"/>
              <w:adjustRightInd/>
              <w:snapToGrid/>
              <w:spacing w:after="0" w:afterLines="-2147483648" w:line="320" w:lineRule="exact"/>
              <w:ind w:left="240" w:leftChars="100" w:firstLine="420" w:firstLineChars="200"/>
              <w:jc w:val="both"/>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医疗废物管理行政处罚办法》第六条医疗废物集中处置单位有《条例》第四十六条规定的下列情形之一的，由县级以上地方人民政府环境保护行政主管部门责令限期改正，给予警告，可以并处5000元以下的罚款，逾期不改正的，处5000元以上3万元以下的罚款：（一）贮存设施或者设备不符合环境保护、卫生要求的；（二）未将医疗废物按照类别分置于专用包装物或者容器的；（三）未使用符合标准的专用车辆运送医疗废物的；（四）未安装污染物排放在线监控装置或者监控装置未经常处于正常运行状态的。</w:t>
            </w:r>
          </w:p>
        </w:tc>
        <w:tc>
          <w:tcPr>
            <w:tcW w:w="1129" w:type="dxa"/>
          </w:tcPr>
          <w:p w14:paraId="69067E07">
            <w:pPr>
              <w:keepNext w:val="0"/>
              <w:keepLines w:val="0"/>
              <w:pageBreakBefore w:val="0"/>
              <w:widowControl w:val="0"/>
              <w:kinsoku/>
              <w:wordWrap/>
              <w:overflowPunct/>
              <w:topLinePunct w:val="0"/>
              <w:autoSpaceDE/>
              <w:autoSpaceDN/>
              <w:bidi w:val="0"/>
              <w:spacing w:before="69" w:line="320" w:lineRule="exact"/>
              <w:ind w:left="49" w:leftChars="0" w:right="26" w:rightChars="0" w:firstLine="404" w:firstLineChars="200"/>
              <w:rPr>
                <w:rFonts w:ascii="宋体" w:hAnsi="宋体" w:eastAsia="宋体" w:cs="宋体"/>
                <w:spacing w:val="-4"/>
                <w:sz w:val="21"/>
                <w:szCs w:val="21"/>
              </w:rPr>
            </w:pPr>
          </w:p>
        </w:tc>
        <w:tc>
          <w:tcPr>
            <w:tcW w:w="990" w:type="dxa"/>
            <w:gridSpan w:val="2"/>
          </w:tcPr>
          <w:p w14:paraId="249FB917">
            <w:pPr>
              <w:keepNext w:val="0"/>
              <w:keepLines w:val="0"/>
              <w:pageBreakBefore w:val="0"/>
              <w:widowControl w:val="0"/>
              <w:kinsoku/>
              <w:wordWrap/>
              <w:overflowPunct/>
              <w:topLinePunct w:val="0"/>
              <w:autoSpaceDE/>
              <w:autoSpaceDN/>
              <w:bidi w:val="0"/>
              <w:spacing w:before="69" w:line="320" w:lineRule="exact"/>
              <w:ind w:left="204" w:leftChars="0" w:right="59" w:rightChars="0" w:firstLine="404" w:firstLineChars="200"/>
              <w:rPr>
                <w:rFonts w:ascii="宋体" w:hAnsi="宋体" w:eastAsia="宋体" w:cs="宋体"/>
                <w:spacing w:val="-4"/>
                <w:sz w:val="21"/>
                <w:szCs w:val="21"/>
              </w:rPr>
            </w:pPr>
          </w:p>
        </w:tc>
      </w:tr>
      <w:tr w14:paraId="1794AD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6" w:hRule="atLeast"/>
        </w:trPr>
        <w:tc>
          <w:tcPr>
            <w:tcW w:w="557" w:type="dxa"/>
            <w:shd w:val="clear" w:color="auto" w:fill="auto"/>
            <w:vAlign w:val="center"/>
          </w:tcPr>
          <w:p w14:paraId="0357CD90">
            <w:pPr>
              <w:keepNext w:val="0"/>
              <w:keepLines w:val="0"/>
              <w:pageBreakBefore w:val="0"/>
              <w:widowControl w:val="0"/>
              <w:kinsoku/>
              <w:wordWrap/>
              <w:overflowPunct/>
              <w:topLinePunct w:val="0"/>
              <w:autoSpaceDE/>
              <w:autoSpaceDN/>
              <w:bidi w:val="0"/>
              <w:spacing w:before="68" w:line="320" w:lineRule="exact"/>
              <w:ind w:left="0" w:leftChars="0" w:firstLine="0" w:firstLineChars="0"/>
              <w:jc w:val="center"/>
              <w:rPr>
                <w:rFonts w:hint="eastAsia" w:ascii="仿宋_GB2312" w:hAnsi="仿宋_GB2312" w:eastAsia="仿宋_GB2312" w:cs="仿宋_GB2312"/>
                <w:spacing w:val="-8"/>
                <w:sz w:val="24"/>
                <w:szCs w:val="24"/>
                <w:lang w:val="en-US" w:eastAsia="zh-CN"/>
              </w:rPr>
            </w:pPr>
            <w:r>
              <w:rPr>
                <w:rFonts w:hint="eastAsia" w:ascii="仿宋_GB2312" w:hAnsi="仿宋_GB2312" w:eastAsia="仿宋_GB2312" w:cs="仿宋_GB2312"/>
                <w:spacing w:val="-8"/>
                <w:sz w:val="24"/>
                <w:szCs w:val="24"/>
                <w:lang w:val="en-US" w:eastAsia="zh-CN"/>
              </w:rPr>
              <w:t>104</w:t>
            </w:r>
          </w:p>
        </w:tc>
        <w:tc>
          <w:tcPr>
            <w:tcW w:w="2355" w:type="dxa"/>
            <w:shd w:val="clear" w:color="auto" w:fill="auto"/>
            <w:vAlign w:val="center"/>
          </w:tcPr>
          <w:p w14:paraId="54B10B59">
            <w:pPr>
              <w:keepNext w:val="0"/>
              <w:keepLines w:val="0"/>
              <w:pageBreakBefore w:val="0"/>
              <w:widowControl w:val="0"/>
              <w:kinsoku/>
              <w:wordWrap/>
              <w:overflowPunct/>
              <w:topLinePunct w:val="0"/>
              <w:autoSpaceDE/>
              <w:autoSpaceDN/>
              <w:bidi w:val="0"/>
              <w:spacing w:before="68" w:line="320" w:lineRule="exact"/>
              <w:ind w:left="240" w:leftChars="100" w:right="127" w:rightChars="53" w:firstLine="0" w:firstLineChars="0"/>
              <w:jc w:val="center"/>
              <w:rPr>
                <w:rFonts w:hint="eastAsia" w:ascii="宋体" w:hAnsi="宋体" w:eastAsia="宋体" w:cs="宋体"/>
                <w:spacing w:val="-8"/>
                <w:kern w:val="2"/>
                <w:sz w:val="21"/>
                <w:szCs w:val="21"/>
                <w:lang w:val="en-US" w:eastAsia="zh-CN" w:bidi="ar-SA"/>
              </w:rPr>
            </w:pPr>
            <w:r>
              <w:rPr>
                <w:rFonts w:hint="eastAsia" w:ascii="宋体" w:hAnsi="宋体" w:eastAsia="宋体" w:cs="宋体"/>
                <w:spacing w:val="-8"/>
                <w:sz w:val="21"/>
                <w:szCs w:val="21"/>
                <w:lang w:val="en-US" w:eastAsia="zh-CN"/>
              </w:rPr>
              <w:t>对医疗卫生机构、医疗废物集中处置单位在运送过程中丢弃医疗废物等行为的行政处罚</w:t>
            </w:r>
          </w:p>
        </w:tc>
        <w:tc>
          <w:tcPr>
            <w:tcW w:w="1094" w:type="dxa"/>
            <w:shd w:val="clear" w:color="auto" w:fill="auto"/>
            <w:vAlign w:val="center"/>
          </w:tcPr>
          <w:p w14:paraId="71B17BC5">
            <w:pPr>
              <w:keepNext w:val="0"/>
              <w:keepLines w:val="0"/>
              <w:pageBreakBefore w:val="0"/>
              <w:widowControl w:val="0"/>
              <w:kinsoku/>
              <w:wordWrap/>
              <w:overflowPunct/>
              <w:topLinePunct w:val="0"/>
              <w:autoSpaceDE/>
              <w:autoSpaceDN/>
              <w:bidi w:val="0"/>
              <w:spacing w:before="68" w:line="320" w:lineRule="exact"/>
              <w:ind w:left="0" w:leftChars="0" w:firstLine="0" w:firstLineChars="0"/>
              <w:jc w:val="center"/>
              <w:rPr>
                <w:rFonts w:hint="eastAsia" w:ascii="仿宋_GB2312" w:hAnsi="仿宋_GB2312" w:eastAsia="仿宋_GB2312" w:cs="仿宋_GB2312"/>
                <w:spacing w:val="-8"/>
                <w:kern w:val="2"/>
                <w:sz w:val="24"/>
                <w:szCs w:val="24"/>
                <w:lang w:val="en-US" w:eastAsia="zh-CN" w:bidi="ar-SA"/>
              </w:rPr>
            </w:pPr>
            <w:r>
              <w:rPr>
                <w:rFonts w:hint="eastAsia" w:ascii="仿宋_GB2312" w:hAnsi="仿宋_GB2312" w:eastAsia="仿宋_GB2312" w:cs="仿宋_GB2312"/>
                <w:spacing w:val="-8"/>
                <w:sz w:val="24"/>
                <w:szCs w:val="24"/>
                <w:lang w:val="en-US" w:eastAsia="zh-CN"/>
              </w:rPr>
              <w:t>行政处罚</w:t>
            </w:r>
          </w:p>
        </w:tc>
        <w:tc>
          <w:tcPr>
            <w:tcW w:w="8317" w:type="dxa"/>
            <w:shd w:val="clear" w:color="auto" w:fill="auto"/>
            <w:vAlign w:val="top"/>
          </w:tcPr>
          <w:p w14:paraId="6905DFB2">
            <w:pPr>
              <w:keepNext w:val="0"/>
              <w:keepLines w:val="0"/>
              <w:pageBreakBefore w:val="0"/>
              <w:widowControl w:val="0"/>
              <w:suppressLineNumbers w:val="0"/>
              <w:kinsoku/>
              <w:wordWrap/>
              <w:overflowPunct/>
              <w:topLinePunct w:val="0"/>
              <w:autoSpaceDE/>
              <w:autoSpaceDN/>
              <w:bidi w:val="0"/>
              <w:adjustRightInd/>
              <w:snapToGrid/>
              <w:spacing w:after="0" w:afterLines="-2147483648" w:line="320" w:lineRule="exact"/>
              <w:ind w:left="240" w:leftChars="100" w:firstLine="420" w:firstLineChars="200"/>
              <w:jc w:val="both"/>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中华人民共和国固体废物污染环境防治法》第一百一十二条违反本法规定，有下列行为之一，由生态环境主管部门责令改正，处以罚款，没收违法所得；情节严重的，报经有批准权的人民政府批准，可以责令停业或者关闭：（一）未按照规定设置危险废物识别标志的；（二）未按照国家有关规定制定危险废物管理计划或者申报危险废物有关资料的；（三）擅自倾倒、堆放危险废物的；（四）将危险废物提供或者委托给无许可证的单位或者其他生产经营者从事经营活动的；（五）未按照国家有关规定填写、运行危险废物转移联单或者未经批准擅自转移危险废物的；（六）未按照国家环境保护标准贮存、利用、处置危险废物或者将危险废物混入非危险废物中贮存的；（七）未经安全性处置，混合收集、贮存、运输、处置具有不相容性质的危险废物的；（八）将危险废物与旅客在同一运输工具上载运的；（九）未经消除污染处理，将收集、贮存、运输、处置危险废物的场所、设施、设备和容器、包装物及其他物品转作他用的；（十）未采取相应防范措施，造成危险废物扬散、流失、渗漏或者其他环境污染的；（十一）在运输过程中沿途丢弃、遗撒危险废物的；（十二）未制定危险废物意外事故防范措施和应急预案的；（十三）未按照国家有关规定建立危险废物管理台账并如实记录的。有前款第一项、第二项、第五项、第六项、第七项、第八项、第九项、第十二项、第十三项行为之一，处十万元以上一百万元以下的罚款；有前款第三项、第四项、第十项、第十一项行为之一，处所需处置费用三倍以上五倍以下的罚款，所需处置费用不足二十万元的，按二十万元计算。</w:t>
            </w:r>
          </w:p>
          <w:p w14:paraId="7C7256B9">
            <w:pPr>
              <w:keepNext w:val="0"/>
              <w:keepLines w:val="0"/>
              <w:pageBreakBefore w:val="0"/>
              <w:widowControl w:val="0"/>
              <w:suppressLineNumbers w:val="0"/>
              <w:kinsoku/>
              <w:wordWrap/>
              <w:overflowPunct/>
              <w:topLinePunct w:val="0"/>
              <w:autoSpaceDE/>
              <w:autoSpaceDN/>
              <w:bidi w:val="0"/>
              <w:adjustRightInd/>
              <w:snapToGrid/>
              <w:spacing w:after="0" w:afterLines="-2147483648" w:line="320" w:lineRule="exact"/>
              <w:ind w:left="240" w:leftChars="100" w:firstLine="420" w:firstLineChars="200"/>
              <w:jc w:val="both"/>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医疗废物管理条例》第四十七条医疗卫生机构、医疗废物集中处置单位有下列情形之一的，由县级以上地方人民政府卫生行政主管部门或者环境保护行政主管部门按照各自的职责责令限期改正，给予警告，并处5000元以上1万元以下的罚款；逾期不改正的，处1万元以上3万元以下的罚款；造成传染病传播或者环境污染事故的，由原发证部门暂扣或者吊销执业许可证件或者经营许可证件；构成犯罪的，依法追究刑事责任：（一）在运送过程中丢弃医疗废物，在非贮存地点倾倒、堆放医疗废物或者将医疗废物混入其他废物和生活垃圾的；（二）未执行危险废物转移联单管理制度的；（三）将医疗废物交给未取得经营许可证的单位或者个人收集、运送、贮存、处置的；（四）对医疗废物的处置不符合国家规定的环境保护、卫生标准、规范的；（五）未按照本条例的规定对污水、传染病病人或者疑似传染病病人的排泄物，进行严格消毒，或者未达到国家规定的排放标准，排入污水处理系统的；（六）对收治的传染病病人或者疑似传染病病人产生的生活垃圾，未按照医疗废物进行管理和处置的。</w:t>
            </w:r>
          </w:p>
          <w:p w14:paraId="1AD016F2">
            <w:pPr>
              <w:keepNext w:val="0"/>
              <w:keepLines w:val="0"/>
              <w:pageBreakBefore w:val="0"/>
              <w:widowControl w:val="0"/>
              <w:suppressLineNumbers w:val="0"/>
              <w:kinsoku/>
              <w:wordWrap/>
              <w:overflowPunct/>
              <w:topLinePunct w:val="0"/>
              <w:autoSpaceDE/>
              <w:autoSpaceDN/>
              <w:bidi w:val="0"/>
              <w:adjustRightInd/>
              <w:snapToGrid/>
              <w:spacing w:after="0" w:afterLines="-2147483648" w:line="320" w:lineRule="exact"/>
              <w:ind w:left="240" w:leftChars="100" w:firstLine="420" w:firstLineChars="200"/>
              <w:jc w:val="both"/>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3.《医疗废物管理行政处罚办法》第七条第二款医疗卫生机构在医疗卫生机构外运送过程中丢弃医疗废物，在非贮存地点倾倒、堆放医疗废物或者将医疗废物混入其他废物和生活垃圾的，由县级以上地方人民政府环境保护行政主管部门依照《中华人民共和国固体废物污染环境防治法》第七十五条规定责令停止违法行为，限期改正，处一万元以上十万元以下的罚款。（应变更为：应按照《中华人民共和国固体废物污染环境防第一百一十二条的相关规定处罚。）治法》【2020年修订】第八条医疗废物集中处置单位有《条例》第四十七条规定的情形，在运送过程中丢弃医疗废物，在非贮存地点倾倒、堆放医疗废物或者将医疗废物混入其他废物和生活垃圾的，由县级以上地方人民政府环境保护行政主管部门依照《中华人民共和国固体废物污染环境防治法》第七十五条规定责令停止违法行为，限期改正，处一万元以上十万元以下的罚款。（应变更为：应按照《中华人民共和国固体废物污染环境防治法》【2020年修订】第一百一十二条的相关规定处罚。）第九条医疗废物集中处置单位和依照《条例》自行建有医疗废物处置设施的医疗卫生机构，有《条例》第四十七条规定的情形，对医疗废物的处置不符合国家规定的环境保护、卫生标准、规范的，由县级以上地方人民政府环境保护行政主管部门责令限期改正，给予警告，并处5000元以上1万元以下的罚款；逾期不改正的，处1万元以上3万元以下的罚款。（应变更为：应按照《中华人民共和国固体废物污染环境防治法》【2020年修订】第一百一十二条的相关规定处十万元以上一百万元以下的罚款。）第十条医疗卫生机构、医疗废物集中处置单位有《条例》第四十七条规定的下列情形之一的，由县级以上人民政府环境保护行政主管部门依照《中华人民共和国固体废物污染环境防治法》第七十五条规定责令停止违法行为，限期改正，处二万元以上二十万元以下的罚款：（一）未执行危险废物转移联单管理制度的；（二）将医疗废物交给或委托给未取得经营许可证的单位或者个人收集、运送、贮存、处置的。（应变更为：应按照《中华人民共和国固体废物污染环境防治法》【2020年修订】第一百一十二条的相关规定处罚。）</w:t>
            </w:r>
          </w:p>
        </w:tc>
        <w:tc>
          <w:tcPr>
            <w:tcW w:w="1129" w:type="dxa"/>
          </w:tcPr>
          <w:p w14:paraId="552557E6">
            <w:pPr>
              <w:keepNext w:val="0"/>
              <w:keepLines w:val="0"/>
              <w:pageBreakBefore w:val="0"/>
              <w:widowControl w:val="0"/>
              <w:kinsoku/>
              <w:wordWrap/>
              <w:overflowPunct/>
              <w:topLinePunct w:val="0"/>
              <w:autoSpaceDE/>
              <w:autoSpaceDN/>
              <w:bidi w:val="0"/>
              <w:spacing w:before="69" w:line="320" w:lineRule="exact"/>
              <w:ind w:left="49" w:leftChars="0" w:right="26" w:rightChars="0" w:firstLine="404" w:firstLineChars="200"/>
              <w:rPr>
                <w:rFonts w:ascii="宋体" w:hAnsi="宋体" w:eastAsia="宋体" w:cs="宋体"/>
                <w:spacing w:val="-4"/>
                <w:sz w:val="21"/>
                <w:szCs w:val="21"/>
              </w:rPr>
            </w:pPr>
          </w:p>
        </w:tc>
        <w:tc>
          <w:tcPr>
            <w:tcW w:w="990" w:type="dxa"/>
            <w:gridSpan w:val="2"/>
          </w:tcPr>
          <w:p w14:paraId="4C120522">
            <w:pPr>
              <w:keepNext w:val="0"/>
              <w:keepLines w:val="0"/>
              <w:pageBreakBefore w:val="0"/>
              <w:widowControl w:val="0"/>
              <w:kinsoku/>
              <w:wordWrap/>
              <w:overflowPunct/>
              <w:topLinePunct w:val="0"/>
              <w:autoSpaceDE/>
              <w:autoSpaceDN/>
              <w:bidi w:val="0"/>
              <w:spacing w:before="69" w:line="320" w:lineRule="exact"/>
              <w:ind w:left="204" w:leftChars="0" w:right="59" w:rightChars="0" w:firstLine="404" w:firstLineChars="200"/>
              <w:rPr>
                <w:rFonts w:ascii="宋体" w:hAnsi="宋体" w:eastAsia="宋体" w:cs="宋体"/>
                <w:spacing w:val="-4"/>
                <w:sz w:val="21"/>
                <w:szCs w:val="21"/>
              </w:rPr>
            </w:pPr>
          </w:p>
        </w:tc>
      </w:tr>
      <w:tr w14:paraId="2088EB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6" w:hRule="atLeast"/>
        </w:trPr>
        <w:tc>
          <w:tcPr>
            <w:tcW w:w="557" w:type="dxa"/>
            <w:shd w:val="clear" w:color="auto" w:fill="auto"/>
            <w:vAlign w:val="center"/>
          </w:tcPr>
          <w:p w14:paraId="53517949">
            <w:pPr>
              <w:keepNext w:val="0"/>
              <w:keepLines w:val="0"/>
              <w:pageBreakBefore w:val="0"/>
              <w:widowControl w:val="0"/>
              <w:kinsoku/>
              <w:wordWrap/>
              <w:overflowPunct/>
              <w:topLinePunct w:val="0"/>
              <w:autoSpaceDE/>
              <w:autoSpaceDN/>
              <w:bidi w:val="0"/>
              <w:spacing w:before="68" w:line="320" w:lineRule="exact"/>
              <w:ind w:left="0" w:leftChars="0" w:firstLine="0" w:firstLineChars="0"/>
              <w:jc w:val="center"/>
              <w:rPr>
                <w:rFonts w:hint="eastAsia" w:ascii="仿宋_GB2312" w:hAnsi="仿宋_GB2312" w:eastAsia="仿宋_GB2312" w:cs="仿宋_GB2312"/>
                <w:spacing w:val="-8"/>
                <w:sz w:val="24"/>
                <w:szCs w:val="24"/>
                <w:lang w:val="en-US" w:eastAsia="zh-CN"/>
              </w:rPr>
            </w:pPr>
            <w:r>
              <w:rPr>
                <w:rFonts w:hint="eastAsia" w:ascii="仿宋_GB2312" w:hAnsi="仿宋_GB2312" w:eastAsia="仿宋_GB2312" w:cs="仿宋_GB2312"/>
                <w:spacing w:val="-8"/>
                <w:sz w:val="24"/>
                <w:szCs w:val="24"/>
                <w:lang w:val="en-US" w:eastAsia="zh-CN"/>
              </w:rPr>
              <w:t>105</w:t>
            </w:r>
          </w:p>
        </w:tc>
        <w:tc>
          <w:tcPr>
            <w:tcW w:w="2355" w:type="dxa"/>
            <w:shd w:val="clear" w:color="auto" w:fill="auto"/>
            <w:vAlign w:val="center"/>
          </w:tcPr>
          <w:p w14:paraId="006170D7">
            <w:pPr>
              <w:keepNext w:val="0"/>
              <w:keepLines w:val="0"/>
              <w:pageBreakBefore w:val="0"/>
              <w:widowControl w:val="0"/>
              <w:kinsoku/>
              <w:wordWrap/>
              <w:overflowPunct/>
              <w:topLinePunct w:val="0"/>
              <w:autoSpaceDE/>
              <w:autoSpaceDN/>
              <w:bidi w:val="0"/>
              <w:spacing w:before="68" w:line="320" w:lineRule="exact"/>
              <w:ind w:left="240" w:leftChars="100" w:right="127" w:rightChars="53" w:firstLine="0" w:firstLineChars="0"/>
              <w:jc w:val="center"/>
              <w:rPr>
                <w:rFonts w:hint="eastAsia" w:ascii="宋体" w:hAnsi="宋体" w:eastAsia="宋体" w:cs="宋体"/>
                <w:spacing w:val="-8"/>
                <w:kern w:val="2"/>
                <w:sz w:val="21"/>
                <w:szCs w:val="21"/>
                <w:lang w:val="en-US" w:eastAsia="zh-CN" w:bidi="ar-SA"/>
              </w:rPr>
            </w:pPr>
            <w:r>
              <w:rPr>
                <w:rFonts w:hint="eastAsia" w:ascii="宋体" w:hAnsi="宋体" w:eastAsia="宋体" w:cs="宋体"/>
                <w:spacing w:val="-8"/>
                <w:sz w:val="21"/>
                <w:szCs w:val="21"/>
                <w:lang w:val="en-US" w:eastAsia="zh-CN"/>
              </w:rPr>
              <w:t>对医疗卫生机构、医疗废物集中处置单位发生医疗废物流失、泄漏、扩散时，未采取紧急处理措施等行为的行政处罚</w:t>
            </w:r>
          </w:p>
        </w:tc>
        <w:tc>
          <w:tcPr>
            <w:tcW w:w="1094" w:type="dxa"/>
            <w:shd w:val="clear" w:color="auto" w:fill="auto"/>
            <w:vAlign w:val="center"/>
          </w:tcPr>
          <w:p w14:paraId="6334750F">
            <w:pPr>
              <w:keepNext w:val="0"/>
              <w:keepLines w:val="0"/>
              <w:pageBreakBefore w:val="0"/>
              <w:widowControl w:val="0"/>
              <w:kinsoku/>
              <w:wordWrap/>
              <w:overflowPunct/>
              <w:topLinePunct w:val="0"/>
              <w:autoSpaceDE/>
              <w:autoSpaceDN/>
              <w:bidi w:val="0"/>
              <w:spacing w:before="68" w:line="320" w:lineRule="exact"/>
              <w:ind w:left="0" w:leftChars="0" w:firstLine="0" w:firstLineChars="0"/>
              <w:jc w:val="center"/>
              <w:rPr>
                <w:rFonts w:hint="eastAsia" w:ascii="仿宋_GB2312" w:hAnsi="仿宋_GB2312" w:eastAsia="仿宋_GB2312" w:cs="仿宋_GB2312"/>
                <w:spacing w:val="-8"/>
                <w:kern w:val="2"/>
                <w:sz w:val="24"/>
                <w:szCs w:val="24"/>
                <w:lang w:val="en-US" w:eastAsia="zh-CN" w:bidi="ar-SA"/>
              </w:rPr>
            </w:pPr>
            <w:r>
              <w:rPr>
                <w:rFonts w:hint="eastAsia" w:ascii="仿宋_GB2312" w:hAnsi="仿宋_GB2312" w:eastAsia="仿宋_GB2312" w:cs="仿宋_GB2312"/>
                <w:spacing w:val="-8"/>
                <w:sz w:val="24"/>
                <w:szCs w:val="24"/>
                <w:lang w:val="en-US" w:eastAsia="zh-CN"/>
              </w:rPr>
              <w:t>行政处罚</w:t>
            </w:r>
          </w:p>
        </w:tc>
        <w:tc>
          <w:tcPr>
            <w:tcW w:w="8317" w:type="dxa"/>
            <w:shd w:val="clear" w:color="auto" w:fill="auto"/>
            <w:vAlign w:val="top"/>
          </w:tcPr>
          <w:p w14:paraId="5B4566E0">
            <w:pPr>
              <w:keepNext w:val="0"/>
              <w:keepLines w:val="0"/>
              <w:pageBreakBefore w:val="0"/>
              <w:widowControl w:val="0"/>
              <w:suppressLineNumbers w:val="0"/>
              <w:kinsoku/>
              <w:wordWrap/>
              <w:overflowPunct/>
              <w:topLinePunct w:val="0"/>
              <w:autoSpaceDE/>
              <w:autoSpaceDN/>
              <w:bidi w:val="0"/>
              <w:adjustRightInd/>
              <w:snapToGrid/>
              <w:spacing w:after="0" w:afterLines="-2147483648" w:line="320" w:lineRule="exact"/>
              <w:ind w:left="240" w:leftChars="100" w:firstLine="420" w:firstLineChars="200"/>
              <w:jc w:val="both"/>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医疗废物管理条例》第四十九条医疗卫生机构、医疗废物集中处置单位发生医疗废物流失、泄漏、扩散时，未采取紧急处理措施，或者未及时向卫生行政主管部门和环境保护行政主管部门报告的，由县级以上地方人民政府卫生行政主管部门或者环境保护行政主管部门按照各自的职责责令改正，给予警告，并处1万元以上3万元以下的罚款；造成传染病传播或者环境污染事故的，由原发证部门暂扣或者吊销执业许可证件或者经营许可证件；构成犯罪的，依法追究刑事责任。</w:t>
            </w:r>
          </w:p>
          <w:p w14:paraId="1DF3A145">
            <w:pPr>
              <w:keepNext w:val="0"/>
              <w:keepLines w:val="0"/>
              <w:pageBreakBefore w:val="0"/>
              <w:widowControl w:val="0"/>
              <w:suppressLineNumbers w:val="0"/>
              <w:kinsoku/>
              <w:wordWrap/>
              <w:overflowPunct/>
              <w:topLinePunct w:val="0"/>
              <w:autoSpaceDE/>
              <w:autoSpaceDN/>
              <w:bidi w:val="0"/>
              <w:adjustRightInd/>
              <w:snapToGrid/>
              <w:spacing w:after="0" w:afterLines="-2147483648" w:line="320" w:lineRule="exact"/>
              <w:ind w:left="240" w:leftChars="100" w:firstLine="420" w:firstLineChars="200"/>
              <w:jc w:val="both"/>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医疗废物管理行政处罚办法》第十一条有《条例》第四十九条规定的情形，医疗卫生机构发生医疗废物流失、泄露、扩散时，未采取紧急处理措施，或者未及时向卫生行政主管部门报告的，由县级以上地方人民政府卫生行政主管部门责令改正，给予警告，并处1万元以上3万元以下的罚款。医疗废物集中处置单位发生医疗废物流失、泄露、扩散时，未采取紧急处理措施，或者未及时向环境保护行政主管部门报告的，由县级以上地方人民政府环境保护行政主管部门责令改正，给予警告，并处1万元以上3万元以下的罚款。</w:t>
            </w:r>
          </w:p>
        </w:tc>
        <w:tc>
          <w:tcPr>
            <w:tcW w:w="1129" w:type="dxa"/>
          </w:tcPr>
          <w:p w14:paraId="74728FB0">
            <w:pPr>
              <w:keepNext w:val="0"/>
              <w:keepLines w:val="0"/>
              <w:pageBreakBefore w:val="0"/>
              <w:widowControl w:val="0"/>
              <w:kinsoku/>
              <w:wordWrap/>
              <w:overflowPunct/>
              <w:topLinePunct w:val="0"/>
              <w:autoSpaceDE/>
              <w:autoSpaceDN/>
              <w:bidi w:val="0"/>
              <w:spacing w:before="69" w:line="320" w:lineRule="exact"/>
              <w:ind w:left="49" w:leftChars="0" w:right="26" w:rightChars="0" w:firstLine="404" w:firstLineChars="200"/>
              <w:rPr>
                <w:rFonts w:ascii="宋体" w:hAnsi="宋体" w:eastAsia="宋体" w:cs="宋体"/>
                <w:spacing w:val="-4"/>
                <w:sz w:val="21"/>
                <w:szCs w:val="21"/>
              </w:rPr>
            </w:pPr>
          </w:p>
        </w:tc>
        <w:tc>
          <w:tcPr>
            <w:tcW w:w="990" w:type="dxa"/>
            <w:gridSpan w:val="2"/>
          </w:tcPr>
          <w:p w14:paraId="6926E626">
            <w:pPr>
              <w:keepNext w:val="0"/>
              <w:keepLines w:val="0"/>
              <w:pageBreakBefore w:val="0"/>
              <w:widowControl w:val="0"/>
              <w:kinsoku/>
              <w:wordWrap/>
              <w:overflowPunct/>
              <w:topLinePunct w:val="0"/>
              <w:autoSpaceDE/>
              <w:autoSpaceDN/>
              <w:bidi w:val="0"/>
              <w:spacing w:before="69" w:line="320" w:lineRule="exact"/>
              <w:ind w:left="204" w:leftChars="0" w:right="59" w:rightChars="0" w:firstLine="404" w:firstLineChars="200"/>
              <w:rPr>
                <w:rFonts w:ascii="宋体" w:hAnsi="宋体" w:eastAsia="宋体" w:cs="宋体"/>
                <w:spacing w:val="-4"/>
                <w:sz w:val="21"/>
                <w:szCs w:val="21"/>
              </w:rPr>
            </w:pPr>
          </w:p>
        </w:tc>
      </w:tr>
      <w:tr w14:paraId="550922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6" w:hRule="atLeast"/>
        </w:trPr>
        <w:tc>
          <w:tcPr>
            <w:tcW w:w="557" w:type="dxa"/>
            <w:shd w:val="clear" w:color="auto" w:fill="auto"/>
            <w:vAlign w:val="center"/>
          </w:tcPr>
          <w:p w14:paraId="0347F87F">
            <w:pPr>
              <w:keepNext w:val="0"/>
              <w:keepLines w:val="0"/>
              <w:pageBreakBefore w:val="0"/>
              <w:widowControl w:val="0"/>
              <w:kinsoku/>
              <w:wordWrap/>
              <w:overflowPunct/>
              <w:topLinePunct w:val="0"/>
              <w:autoSpaceDE/>
              <w:autoSpaceDN/>
              <w:bidi w:val="0"/>
              <w:spacing w:before="68" w:line="320" w:lineRule="exact"/>
              <w:ind w:left="0" w:leftChars="0" w:firstLine="0" w:firstLineChars="0"/>
              <w:jc w:val="center"/>
              <w:rPr>
                <w:rFonts w:hint="eastAsia" w:ascii="仿宋_GB2312" w:hAnsi="仿宋_GB2312" w:eastAsia="仿宋_GB2312" w:cs="仿宋_GB2312"/>
                <w:spacing w:val="-8"/>
                <w:sz w:val="24"/>
                <w:szCs w:val="24"/>
                <w:lang w:val="en-US" w:eastAsia="zh-CN"/>
              </w:rPr>
            </w:pPr>
            <w:r>
              <w:rPr>
                <w:rFonts w:hint="eastAsia" w:ascii="仿宋_GB2312" w:hAnsi="仿宋_GB2312" w:eastAsia="仿宋_GB2312" w:cs="仿宋_GB2312"/>
                <w:spacing w:val="-8"/>
                <w:sz w:val="24"/>
                <w:szCs w:val="24"/>
                <w:lang w:val="en-US" w:eastAsia="zh-CN"/>
              </w:rPr>
              <w:t>106</w:t>
            </w:r>
          </w:p>
        </w:tc>
        <w:tc>
          <w:tcPr>
            <w:tcW w:w="2355" w:type="dxa"/>
            <w:shd w:val="clear" w:color="auto" w:fill="auto"/>
            <w:vAlign w:val="center"/>
          </w:tcPr>
          <w:p w14:paraId="4091726A">
            <w:pPr>
              <w:keepNext w:val="0"/>
              <w:keepLines w:val="0"/>
              <w:pageBreakBefore w:val="0"/>
              <w:widowControl w:val="0"/>
              <w:kinsoku/>
              <w:wordWrap/>
              <w:overflowPunct/>
              <w:topLinePunct w:val="0"/>
              <w:autoSpaceDE/>
              <w:autoSpaceDN/>
              <w:bidi w:val="0"/>
              <w:spacing w:before="68" w:line="320" w:lineRule="exact"/>
              <w:ind w:left="240" w:leftChars="100" w:right="127" w:rightChars="53" w:firstLine="0" w:firstLineChars="0"/>
              <w:jc w:val="center"/>
              <w:rPr>
                <w:rFonts w:hint="eastAsia" w:ascii="宋体" w:hAnsi="宋体" w:eastAsia="宋体" w:cs="宋体"/>
                <w:spacing w:val="-8"/>
                <w:kern w:val="2"/>
                <w:sz w:val="21"/>
                <w:szCs w:val="21"/>
                <w:lang w:val="en-US" w:eastAsia="zh-CN" w:bidi="ar-SA"/>
              </w:rPr>
            </w:pPr>
            <w:r>
              <w:rPr>
                <w:rFonts w:hint="eastAsia" w:ascii="宋体" w:hAnsi="宋体" w:eastAsia="宋体" w:cs="宋体"/>
                <w:spacing w:val="-8"/>
                <w:sz w:val="21"/>
                <w:szCs w:val="21"/>
                <w:lang w:val="en-US" w:eastAsia="zh-CN"/>
              </w:rPr>
              <w:t>对不具备集中处置医疗废物条件的农村，医疗机构未按要求处置医疗废物的行政处罚</w:t>
            </w:r>
          </w:p>
        </w:tc>
        <w:tc>
          <w:tcPr>
            <w:tcW w:w="1094" w:type="dxa"/>
            <w:shd w:val="clear" w:color="auto" w:fill="auto"/>
            <w:vAlign w:val="center"/>
          </w:tcPr>
          <w:p w14:paraId="7B3C361C">
            <w:pPr>
              <w:keepNext w:val="0"/>
              <w:keepLines w:val="0"/>
              <w:pageBreakBefore w:val="0"/>
              <w:widowControl w:val="0"/>
              <w:kinsoku/>
              <w:wordWrap/>
              <w:overflowPunct/>
              <w:topLinePunct w:val="0"/>
              <w:autoSpaceDE/>
              <w:autoSpaceDN/>
              <w:bidi w:val="0"/>
              <w:spacing w:before="68" w:line="320" w:lineRule="exact"/>
              <w:ind w:left="0" w:leftChars="0" w:firstLine="0" w:firstLineChars="0"/>
              <w:jc w:val="center"/>
              <w:rPr>
                <w:rFonts w:hint="eastAsia" w:ascii="仿宋_GB2312" w:hAnsi="仿宋_GB2312" w:eastAsia="仿宋_GB2312" w:cs="仿宋_GB2312"/>
                <w:spacing w:val="-8"/>
                <w:kern w:val="2"/>
                <w:sz w:val="24"/>
                <w:szCs w:val="24"/>
                <w:lang w:val="en-US" w:eastAsia="zh-CN" w:bidi="ar-SA"/>
              </w:rPr>
            </w:pPr>
            <w:r>
              <w:rPr>
                <w:rFonts w:hint="eastAsia" w:ascii="仿宋_GB2312" w:hAnsi="仿宋_GB2312" w:eastAsia="仿宋_GB2312" w:cs="仿宋_GB2312"/>
                <w:spacing w:val="-8"/>
                <w:sz w:val="24"/>
                <w:szCs w:val="24"/>
                <w:lang w:val="en-US" w:eastAsia="zh-CN"/>
              </w:rPr>
              <w:t>行政处罚</w:t>
            </w:r>
          </w:p>
        </w:tc>
        <w:tc>
          <w:tcPr>
            <w:tcW w:w="8317" w:type="dxa"/>
            <w:shd w:val="clear" w:color="auto" w:fill="auto"/>
            <w:vAlign w:val="top"/>
          </w:tcPr>
          <w:p w14:paraId="1A583D90">
            <w:pPr>
              <w:keepNext w:val="0"/>
              <w:keepLines w:val="0"/>
              <w:pageBreakBefore w:val="0"/>
              <w:widowControl w:val="0"/>
              <w:suppressLineNumbers w:val="0"/>
              <w:kinsoku/>
              <w:wordWrap/>
              <w:overflowPunct/>
              <w:topLinePunct w:val="0"/>
              <w:autoSpaceDE/>
              <w:autoSpaceDN/>
              <w:bidi w:val="0"/>
              <w:adjustRightInd/>
              <w:snapToGrid/>
              <w:spacing w:after="0" w:afterLines="-2147483648" w:line="320" w:lineRule="exact"/>
              <w:ind w:left="240" w:leftChars="100" w:firstLine="420" w:firstLineChars="200"/>
              <w:jc w:val="both"/>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医疗废物管理条例》第五十一条不具备集中处置医疗废物条件的农村，医疗卫生机构未按照本条例的要求处置医疗废物的，由县级人民政府卫生行政主管部门或者环境保护行政主管部门按照各自的职责责令限期改正，给予警告；逾期不改正的，处1000元以上5000元以下的罚款；造成传染病传播或者环境污染事故的，由原发证部门暂扣或者吊销执业许可证件；构成犯罪的，依法追究刑事责任。</w:t>
            </w:r>
          </w:p>
          <w:p w14:paraId="7D4C970D">
            <w:pPr>
              <w:keepNext w:val="0"/>
              <w:keepLines w:val="0"/>
              <w:pageBreakBefore w:val="0"/>
              <w:widowControl w:val="0"/>
              <w:suppressLineNumbers w:val="0"/>
              <w:kinsoku/>
              <w:wordWrap/>
              <w:overflowPunct/>
              <w:topLinePunct w:val="0"/>
              <w:autoSpaceDE/>
              <w:autoSpaceDN/>
              <w:bidi w:val="0"/>
              <w:adjustRightInd/>
              <w:snapToGrid/>
              <w:spacing w:after="0" w:afterLines="-2147483648" w:line="320" w:lineRule="exact"/>
              <w:ind w:left="240" w:leftChars="100" w:firstLine="420" w:firstLineChars="200"/>
              <w:jc w:val="both"/>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医疗废物管理行政处罚办法》第十三条有《条例》第五十一条规定的情形，不具备集中处置医疗废物条件的农村，医疗卫生机构未按照卫生行政主管部门有关疾病防治的要求处置医疗废物的，由县级人民政府卫生行政主管部门责令限期改正，给予警告；逾期不改正的，处1000元以上5000元以下的罚款；未按照环境保护行政主管部门有关环境污染防治的要求处置医疗废物的，由县级人民政府环境保护行政主管部门责令限期改正，给予警告；逾期不改正的，处1000元以上5000元以下的罚款。</w:t>
            </w:r>
          </w:p>
        </w:tc>
        <w:tc>
          <w:tcPr>
            <w:tcW w:w="1129" w:type="dxa"/>
          </w:tcPr>
          <w:p w14:paraId="09EB5768">
            <w:pPr>
              <w:keepNext w:val="0"/>
              <w:keepLines w:val="0"/>
              <w:pageBreakBefore w:val="0"/>
              <w:widowControl w:val="0"/>
              <w:kinsoku/>
              <w:wordWrap/>
              <w:overflowPunct/>
              <w:topLinePunct w:val="0"/>
              <w:autoSpaceDE/>
              <w:autoSpaceDN/>
              <w:bidi w:val="0"/>
              <w:spacing w:before="69" w:line="320" w:lineRule="exact"/>
              <w:ind w:left="49" w:leftChars="0" w:right="26" w:rightChars="0" w:firstLine="404" w:firstLineChars="200"/>
              <w:rPr>
                <w:rFonts w:ascii="宋体" w:hAnsi="宋体" w:eastAsia="宋体" w:cs="宋体"/>
                <w:spacing w:val="-4"/>
                <w:sz w:val="21"/>
                <w:szCs w:val="21"/>
              </w:rPr>
            </w:pPr>
          </w:p>
        </w:tc>
        <w:tc>
          <w:tcPr>
            <w:tcW w:w="990" w:type="dxa"/>
            <w:gridSpan w:val="2"/>
          </w:tcPr>
          <w:p w14:paraId="319D9108">
            <w:pPr>
              <w:keepNext w:val="0"/>
              <w:keepLines w:val="0"/>
              <w:pageBreakBefore w:val="0"/>
              <w:widowControl w:val="0"/>
              <w:kinsoku/>
              <w:wordWrap/>
              <w:overflowPunct/>
              <w:topLinePunct w:val="0"/>
              <w:autoSpaceDE/>
              <w:autoSpaceDN/>
              <w:bidi w:val="0"/>
              <w:spacing w:before="69" w:line="320" w:lineRule="exact"/>
              <w:ind w:left="204" w:leftChars="0" w:right="59" w:rightChars="0" w:firstLine="404" w:firstLineChars="200"/>
              <w:rPr>
                <w:rFonts w:ascii="宋体" w:hAnsi="宋体" w:eastAsia="宋体" w:cs="宋体"/>
                <w:spacing w:val="-4"/>
                <w:sz w:val="21"/>
                <w:szCs w:val="21"/>
              </w:rPr>
            </w:pPr>
          </w:p>
        </w:tc>
      </w:tr>
      <w:tr w14:paraId="6933A9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6" w:hRule="atLeast"/>
        </w:trPr>
        <w:tc>
          <w:tcPr>
            <w:tcW w:w="557" w:type="dxa"/>
            <w:shd w:val="clear" w:color="auto" w:fill="auto"/>
            <w:vAlign w:val="center"/>
          </w:tcPr>
          <w:p w14:paraId="188BF74E">
            <w:pPr>
              <w:keepNext w:val="0"/>
              <w:keepLines w:val="0"/>
              <w:pageBreakBefore w:val="0"/>
              <w:widowControl w:val="0"/>
              <w:kinsoku/>
              <w:wordWrap/>
              <w:overflowPunct/>
              <w:topLinePunct w:val="0"/>
              <w:autoSpaceDE/>
              <w:autoSpaceDN/>
              <w:bidi w:val="0"/>
              <w:spacing w:before="68" w:line="320" w:lineRule="exact"/>
              <w:ind w:left="0" w:leftChars="0" w:firstLine="0" w:firstLineChars="0"/>
              <w:jc w:val="center"/>
              <w:rPr>
                <w:rFonts w:hint="eastAsia" w:ascii="仿宋_GB2312" w:hAnsi="仿宋_GB2312" w:eastAsia="仿宋_GB2312" w:cs="仿宋_GB2312"/>
                <w:spacing w:val="-8"/>
                <w:sz w:val="24"/>
                <w:szCs w:val="24"/>
                <w:lang w:val="en-US" w:eastAsia="zh-CN"/>
              </w:rPr>
            </w:pPr>
            <w:r>
              <w:rPr>
                <w:rFonts w:hint="eastAsia" w:ascii="仿宋_GB2312" w:hAnsi="仿宋_GB2312" w:eastAsia="仿宋_GB2312" w:cs="仿宋_GB2312"/>
                <w:spacing w:val="-8"/>
                <w:sz w:val="24"/>
                <w:szCs w:val="24"/>
                <w:lang w:val="en-US" w:eastAsia="zh-CN"/>
              </w:rPr>
              <w:t>107</w:t>
            </w:r>
          </w:p>
        </w:tc>
        <w:tc>
          <w:tcPr>
            <w:tcW w:w="2355" w:type="dxa"/>
            <w:shd w:val="clear" w:color="auto" w:fill="auto"/>
            <w:vAlign w:val="center"/>
          </w:tcPr>
          <w:p w14:paraId="3FAD6D78">
            <w:pPr>
              <w:keepNext w:val="0"/>
              <w:keepLines w:val="0"/>
              <w:pageBreakBefore w:val="0"/>
              <w:widowControl w:val="0"/>
              <w:kinsoku/>
              <w:wordWrap/>
              <w:overflowPunct/>
              <w:topLinePunct w:val="0"/>
              <w:autoSpaceDE/>
              <w:autoSpaceDN/>
              <w:bidi w:val="0"/>
              <w:spacing w:before="68" w:line="320" w:lineRule="exact"/>
              <w:ind w:left="240" w:leftChars="100" w:right="127" w:rightChars="53" w:firstLine="0" w:firstLineChars="0"/>
              <w:jc w:val="center"/>
              <w:rPr>
                <w:rFonts w:hint="eastAsia" w:ascii="宋体" w:hAnsi="宋体" w:eastAsia="宋体" w:cs="宋体"/>
                <w:spacing w:val="-8"/>
                <w:kern w:val="2"/>
                <w:sz w:val="21"/>
                <w:szCs w:val="21"/>
                <w:lang w:val="en-US" w:eastAsia="zh-CN" w:bidi="ar-SA"/>
              </w:rPr>
            </w:pPr>
            <w:r>
              <w:rPr>
                <w:rFonts w:hint="eastAsia" w:ascii="宋体" w:hAnsi="宋体" w:eastAsia="宋体" w:cs="宋体"/>
                <w:spacing w:val="-8"/>
                <w:sz w:val="21"/>
                <w:szCs w:val="21"/>
                <w:lang w:val="en-US" w:eastAsia="zh-CN"/>
              </w:rPr>
              <w:t>对涉嫌违反规定的场所、设备、运输工具和物品的行政强制</w:t>
            </w:r>
          </w:p>
        </w:tc>
        <w:tc>
          <w:tcPr>
            <w:tcW w:w="1094" w:type="dxa"/>
            <w:shd w:val="clear" w:color="auto" w:fill="auto"/>
            <w:vAlign w:val="center"/>
          </w:tcPr>
          <w:p w14:paraId="0F35F894">
            <w:pPr>
              <w:keepNext w:val="0"/>
              <w:keepLines w:val="0"/>
              <w:pageBreakBefore w:val="0"/>
              <w:widowControl w:val="0"/>
              <w:kinsoku/>
              <w:wordWrap/>
              <w:overflowPunct/>
              <w:topLinePunct w:val="0"/>
              <w:autoSpaceDE/>
              <w:autoSpaceDN/>
              <w:bidi w:val="0"/>
              <w:spacing w:before="68" w:line="320" w:lineRule="exact"/>
              <w:ind w:left="0" w:leftChars="0" w:firstLine="0" w:firstLineChars="0"/>
              <w:jc w:val="center"/>
              <w:rPr>
                <w:rFonts w:hint="eastAsia" w:ascii="仿宋_GB2312" w:hAnsi="仿宋_GB2312" w:eastAsia="仿宋_GB2312" w:cs="仿宋_GB2312"/>
                <w:spacing w:val="-8"/>
                <w:kern w:val="2"/>
                <w:sz w:val="24"/>
                <w:szCs w:val="24"/>
                <w:lang w:val="en-US" w:eastAsia="zh-CN" w:bidi="ar-SA"/>
              </w:rPr>
            </w:pPr>
            <w:r>
              <w:rPr>
                <w:rFonts w:hint="eastAsia" w:ascii="仿宋_GB2312" w:hAnsi="仿宋_GB2312" w:eastAsia="仿宋_GB2312" w:cs="仿宋_GB2312"/>
                <w:spacing w:val="-8"/>
                <w:sz w:val="24"/>
                <w:szCs w:val="24"/>
                <w:lang w:val="en-US" w:eastAsia="zh-CN"/>
              </w:rPr>
              <w:t>行政强制</w:t>
            </w:r>
          </w:p>
        </w:tc>
        <w:tc>
          <w:tcPr>
            <w:tcW w:w="8317" w:type="dxa"/>
            <w:shd w:val="clear" w:color="auto" w:fill="auto"/>
            <w:vAlign w:val="top"/>
          </w:tcPr>
          <w:p w14:paraId="6C7507B6">
            <w:pPr>
              <w:keepNext w:val="0"/>
              <w:keepLines w:val="0"/>
              <w:pageBreakBefore w:val="0"/>
              <w:widowControl w:val="0"/>
              <w:suppressLineNumbers w:val="0"/>
              <w:kinsoku/>
              <w:wordWrap/>
              <w:overflowPunct/>
              <w:topLinePunct w:val="0"/>
              <w:autoSpaceDE/>
              <w:autoSpaceDN/>
              <w:bidi w:val="0"/>
              <w:adjustRightInd/>
              <w:snapToGrid/>
              <w:spacing w:after="0" w:afterLines="-2147483648" w:line="320" w:lineRule="exact"/>
              <w:ind w:left="240" w:leftChars="100" w:firstLine="420" w:firstLineChars="200"/>
              <w:jc w:val="both"/>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1.《医疗废物管理条例》第三十九条第四项卫生行政主管部门、环境保护行政主管部门履行监督检查职责时，有权采取下列措施：（四）查封或者暂扣涉嫌违反本条例规定的场所、设备、运输工具和物品；</w:t>
            </w:r>
          </w:p>
        </w:tc>
        <w:tc>
          <w:tcPr>
            <w:tcW w:w="1129" w:type="dxa"/>
          </w:tcPr>
          <w:p w14:paraId="65B34FB6">
            <w:pPr>
              <w:keepNext w:val="0"/>
              <w:keepLines w:val="0"/>
              <w:pageBreakBefore w:val="0"/>
              <w:widowControl w:val="0"/>
              <w:kinsoku/>
              <w:wordWrap/>
              <w:overflowPunct/>
              <w:topLinePunct w:val="0"/>
              <w:autoSpaceDE/>
              <w:autoSpaceDN/>
              <w:bidi w:val="0"/>
              <w:spacing w:before="69" w:line="320" w:lineRule="exact"/>
              <w:ind w:left="49" w:leftChars="0" w:right="26" w:rightChars="0" w:firstLine="404" w:firstLineChars="200"/>
              <w:rPr>
                <w:rFonts w:ascii="宋体" w:hAnsi="宋体" w:eastAsia="宋体" w:cs="宋体"/>
                <w:spacing w:val="-4"/>
                <w:sz w:val="21"/>
                <w:szCs w:val="21"/>
              </w:rPr>
            </w:pPr>
          </w:p>
        </w:tc>
        <w:tc>
          <w:tcPr>
            <w:tcW w:w="990" w:type="dxa"/>
            <w:gridSpan w:val="2"/>
          </w:tcPr>
          <w:p w14:paraId="1752650F">
            <w:pPr>
              <w:keepNext w:val="0"/>
              <w:keepLines w:val="0"/>
              <w:pageBreakBefore w:val="0"/>
              <w:widowControl w:val="0"/>
              <w:kinsoku/>
              <w:wordWrap/>
              <w:overflowPunct/>
              <w:topLinePunct w:val="0"/>
              <w:autoSpaceDE/>
              <w:autoSpaceDN/>
              <w:bidi w:val="0"/>
              <w:spacing w:before="69" w:line="320" w:lineRule="exact"/>
              <w:ind w:left="204" w:leftChars="0" w:right="59" w:rightChars="0" w:firstLine="404" w:firstLineChars="200"/>
              <w:rPr>
                <w:rFonts w:ascii="宋体" w:hAnsi="宋体" w:eastAsia="宋体" w:cs="宋体"/>
                <w:spacing w:val="-4"/>
                <w:sz w:val="21"/>
                <w:szCs w:val="21"/>
              </w:rPr>
            </w:pPr>
          </w:p>
        </w:tc>
      </w:tr>
      <w:tr w14:paraId="554FC5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6" w:hRule="atLeast"/>
        </w:trPr>
        <w:tc>
          <w:tcPr>
            <w:tcW w:w="557" w:type="dxa"/>
            <w:shd w:val="clear" w:color="auto" w:fill="auto"/>
            <w:vAlign w:val="center"/>
          </w:tcPr>
          <w:p w14:paraId="09DB291A">
            <w:pPr>
              <w:keepNext w:val="0"/>
              <w:keepLines w:val="0"/>
              <w:pageBreakBefore w:val="0"/>
              <w:widowControl w:val="0"/>
              <w:kinsoku/>
              <w:wordWrap/>
              <w:overflowPunct/>
              <w:topLinePunct w:val="0"/>
              <w:autoSpaceDE/>
              <w:autoSpaceDN/>
              <w:bidi w:val="0"/>
              <w:spacing w:before="68" w:line="320" w:lineRule="exact"/>
              <w:ind w:left="0" w:leftChars="0" w:firstLine="0" w:firstLineChars="0"/>
              <w:jc w:val="center"/>
              <w:rPr>
                <w:rFonts w:hint="eastAsia" w:ascii="仿宋_GB2312" w:hAnsi="仿宋_GB2312" w:eastAsia="仿宋_GB2312" w:cs="仿宋_GB2312"/>
                <w:spacing w:val="-8"/>
                <w:sz w:val="24"/>
                <w:szCs w:val="24"/>
                <w:lang w:val="en-US" w:eastAsia="zh-CN"/>
              </w:rPr>
            </w:pPr>
            <w:r>
              <w:rPr>
                <w:rFonts w:hint="eastAsia" w:ascii="仿宋_GB2312" w:hAnsi="仿宋_GB2312" w:eastAsia="仿宋_GB2312" w:cs="仿宋_GB2312"/>
                <w:spacing w:val="-8"/>
                <w:sz w:val="24"/>
                <w:szCs w:val="24"/>
                <w:lang w:val="en-US" w:eastAsia="zh-CN"/>
              </w:rPr>
              <w:t>108</w:t>
            </w:r>
          </w:p>
        </w:tc>
        <w:tc>
          <w:tcPr>
            <w:tcW w:w="2355" w:type="dxa"/>
            <w:shd w:val="clear" w:color="auto" w:fill="auto"/>
            <w:vAlign w:val="center"/>
          </w:tcPr>
          <w:p w14:paraId="7770283B">
            <w:pPr>
              <w:keepNext w:val="0"/>
              <w:keepLines w:val="0"/>
              <w:pageBreakBefore w:val="0"/>
              <w:widowControl w:val="0"/>
              <w:kinsoku/>
              <w:wordWrap/>
              <w:overflowPunct/>
              <w:topLinePunct w:val="0"/>
              <w:autoSpaceDE/>
              <w:autoSpaceDN/>
              <w:bidi w:val="0"/>
              <w:spacing w:before="68" w:line="320" w:lineRule="exact"/>
              <w:ind w:left="240" w:leftChars="100" w:right="127" w:rightChars="53" w:firstLine="0" w:firstLineChars="0"/>
              <w:jc w:val="center"/>
              <w:rPr>
                <w:rFonts w:hint="eastAsia" w:ascii="宋体" w:hAnsi="宋体" w:eastAsia="宋体" w:cs="宋体"/>
                <w:spacing w:val="-8"/>
                <w:kern w:val="2"/>
                <w:sz w:val="21"/>
                <w:szCs w:val="21"/>
                <w:lang w:val="en-US" w:eastAsia="zh-CN" w:bidi="ar-SA"/>
              </w:rPr>
            </w:pPr>
            <w:r>
              <w:rPr>
                <w:rFonts w:hint="eastAsia" w:ascii="宋体" w:hAnsi="宋体" w:eastAsia="宋体" w:cs="宋体"/>
                <w:spacing w:val="-8"/>
                <w:sz w:val="21"/>
                <w:szCs w:val="21"/>
                <w:lang w:val="en-US" w:eastAsia="zh-CN"/>
              </w:rPr>
              <w:t>对无证或不按照经营许可证规定从事收集、贮存、利用、处置危险废物经营活动的行政处罚</w:t>
            </w:r>
          </w:p>
        </w:tc>
        <w:tc>
          <w:tcPr>
            <w:tcW w:w="1094" w:type="dxa"/>
            <w:shd w:val="clear" w:color="auto" w:fill="auto"/>
            <w:vAlign w:val="center"/>
          </w:tcPr>
          <w:p w14:paraId="345EF526">
            <w:pPr>
              <w:keepNext w:val="0"/>
              <w:keepLines w:val="0"/>
              <w:pageBreakBefore w:val="0"/>
              <w:widowControl w:val="0"/>
              <w:kinsoku/>
              <w:wordWrap/>
              <w:overflowPunct/>
              <w:topLinePunct w:val="0"/>
              <w:autoSpaceDE/>
              <w:autoSpaceDN/>
              <w:bidi w:val="0"/>
              <w:spacing w:before="68" w:line="320" w:lineRule="exact"/>
              <w:ind w:left="0" w:leftChars="0" w:firstLine="0" w:firstLineChars="0"/>
              <w:jc w:val="center"/>
              <w:rPr>
                <w:rFonts w:hint="eastAsia" w:ascii="仿宋_GB2312" w:hAnsi="仿宋_GB2312" w:eastAsia="仿宋_GB2312" w:cs="仿宋_GB2312"/>
                <w:spacing w:val="-8"/>
                <w:kern w:val="2"/>
                <w:sz w:val="24"/>
                <w:szCs w:val="24"/>
                <w:lang w:val="en-US" w:eastAsia="zh-CN" w:bidi="ar-SA"/>
              </w:rPr>
            </w:pPr>
            <w:r>
              <w:rPr>
                <w:rFonts w:hint="eastAsia" w:ascii="仿宋_GB2312" w:hAnsi="仿宋_GB2312" w:eastAsia="仿宋_GB2312" w:cs="仿宋_GB2312"/>
                <w:spacing w:val="-8"/>
                <w:sz w:val="24"/>
                <w:szCs w:val="24"/>
                <w:lang w:val="en-US" w:eastAsia="zh-CN"/>
              </w:rPr>
              <w:t>行政处罚</w:t>
            </w:r>
          </w:p>
        </w:tc>
        <w:tc>
          <w:tcPr>
            <w:tcW w:w="8317" w:type="dxa"/>
            <w:shd w:val="clear" w:color="auto" w:fill="auto"/>
            <w:vAlign w:val="top"/>
          </w:tcPr>
          <w:p w14:paraId="281F9BE2">
            <w:pPr>
              <w:keepNext w:val="0"/>
              <w:keepLines w:val="0"/>
              <w:pageBreakBefore w:val="0"/>
              <w:widowControl w:val="0"/>
              <w:suppressLineNumbers w:val="0"/>
              <w:kinsoku/>
              <w:wordWrap/>
              <w:overflowPunct/>
              <w:topLinePunct w:val="0"/>
              <w:autoSpaceDE/>
              <w:autoSpaceDN/>
              <w:bidi w:val="0"/>
              <w:adjustRightInd/>
              <w:snapToGrid/>
              <w:spacing w:after="0" w:afterLines="-2147483648" w:line="320" w:lineRule="exact"/>
              <w:ind w:left="240" w:leftChars="100" w:firstLine="420" w:firstLineChars="200"/>
              <w:jc w:val="both"/>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中华人民共和国固体废物污染环境防治法》第一百一十四条无许可证从事收集、贮存、利用、处置危险废物经营活动的，由生态环境主管部门责令改正，处一百万元以上五百万元以下的罚款，并报经有批准权的人民政府批准，责令停业或者关闭；对法定代表人、主要负责人、直接负责的主管人员和其他责任人员，处十万元以上一百万元以下的罚款。未按照许可证规定从事收集、贮存、利用、处置危险废物经营活动的，由生态环境主管部门责令改正，限制生产、停产整治，处五十万元以上二百万元以下的罚款；对法定代表人、主要负责人、直接负责的主管人员和其他责任人员，处五万元以上五十万元以下的罚款；情节严重的，报经有批准权的人民政府批准，责令停业或者关闭，还可以由发证机关吊销许可证。</w:t>
            </w:r>
          </w:p>
          <w:p w14:paraId="6F4D6BF1">
            <w:pPr>
              <w:keepNext w:val="0"/>
              <w:keepLines w:val="0"/>
              <w:pageBreakBefore w:val="0"/>
              <w:widowControl w:val="0"/>
              <w:suppressLineNumbers w:val="0"/>
              <w:kinsoku/>
              <w:wordWrap/>
              <w:overflowPunct/>
              <w:topLinePunct w:val="0"/>
              <w:autoSpaceDE/>
              <w:autoSpaceDN/>
              <w:bidi w:val="0"/>
              <w:adjustRightInd/>
              <w:snapToGrid/>
              <w:spacing w:after="0" w:afterLines="-2147483648" w:line="320" w:lineRule="exact"/>
              <w:ind w:left="240" w:leftChars="100" w:firstLine="420" w:firstLineChars="200"/>
              <w:jc w:val="both"/>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危险废物经营许可证管理办法》第十五条禁止无经营许可证或者不按经营许可证规定从事危险废物收集、贮存、处置经营活动。禁止从中华人民共和国境外进口或者经中华人民共和国过境转移电子类危险废物。禁止将危险废物提供或者委托给无经营许可证的单位从事收集、贮存、处置经营活动。禁止伪造、变造、转让危险废物经营许可证。第二十五条违反本办法第十五条第一款、第二款、第三款规定的，依照《中华人民共和国固体废物污染环境防治法》的规定予以处罚。违反本办法第十五条第四款规定的，由县级以上地方人民政府环境保护主管部门收缴危险废物经营许可证或者由原发证机关吊销危险废物经营许可证，并处5万元以上10万元以下的罚款；构成犯罪的，依法追究刑事责任。</w:t>
            </w:r>
          </w:p>
        </w:tc>
        <w:tc>
          <w:tcPr>
            <w:tcW w:w="1129" w:type="dxa"/>
          </w:tcPr>
          <w:p w14:paraId="552755A6">
            <w:pPr>
              <w:keepNext w:val="0"/>
              <w:keepLines w:val="0"/>
              <w:pageBreakBefore w:val="0"/>
              <w:widowControl w:val="0"/>
              <w:kinsoku/>
              <w:wordWrap/>
              <w:overflowPunct/>
              <w:topLinePunct w:val="0"/>
              <w:autoSpaceDE/>
              <w:autoSpaceDN/>
              <w:bidi w:val="0"/>
              <w:spacing w:before="69" w:line="320" w:lineRule="exact"/>
              <w:ind w:left="49" w:leftChars="0" w:right="26" w:rightChars="0" w:firstLine="404" w:firstLineChars="200"/>
              <w:rPr>
                <w:rFonts w:ascii="宋体" w:hAnsi="宋体" w:eastAsia="宋体" w:cs="宋体"/>
                <w:spacing w:val="-4"/>
                <w:sz w:val="21"/>
                <w:szCs w:val="21"/>
              </w:rPr>
            </w:pPr>
          </w:p>
        </w:tc>
        <w:tc>
          <w:tcPr>
            <w:tcW w:w="990" w:type="dxa"/>
            <w:gridSpan w:val="2"/>
          </w:tcPr>
          <w:p w14:paraId="77C86701">
            <w:pPr>
              <w:keepNext w:val="0"/>
              <w:keepLines w:val="0"/>
              <w:pageBreakBefore w:val="0"/>
              <w:widowControl w:val="0"/>
              <w:kinsoku/>
              <w:wordWrap/>
              <w:overflowPunct/>
              <w:topLinePunct w:val="0"/>
              <w:autoSpaceDE/>
              <w:autoSpaceDN/>
              <w:bidi w:val="0"/>
              <w:spacing w:before="69" w:line="320" w:lineRule="exact"/>
              <w:ind w:left="204" w:leftChars="0" w:right="59" w:rightChars="0" w:firstLine="404" w:firstLineChars="200"/>
              <w:rPr>
                <w:rFonts w:ascii="宋体" w:hAnsi="宋体" w:eastAsia="宋体" w:cs="宋体"/>
                <w:spacing w:val="-4"/>
                <w:sz w:val="21"/>
                <w:szCs w:val="21"/>
              </w:rPr>
            </w:pPr>
          </w:p>
        </w:tc>
      </w:tr>
      <w:tr w14:paraId="4F9460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67" w:hRule="atLeast"/>
        </w:trPr>
        <w:tc>
          <w:tcPr>
            <w:tcW w:w="557" w:type="dxa"/>
            <w:shd w:val="clear" w:color="auto" w:fill="auto"/>
            <w:vAlign w:val="center"/>
          </w:tcPr>
          <w:p w14:paraId="0AB009E3">
            <w:pPr>
              <w:keepNext w:val="0"/>
              <w:keepLines w:val="0"/>
              <w:pageBreakBefore w:val="0"/>
              <w:widowControl w:val="0"/>
              <w:kinsoku/>
              <w:wordWrap/>
              <w:overflowPunct/>
              <w:topLinePunct w:val="0"/>
              <w:autoSpaceDE/>
              <w:autoSpaceDN/>
              <w:bidi w:val="0"/>
              <w:spacing w:before="68" w:line="320" w:lineRule="exact"/>
              <w:ind w:left="0" w:leftChars="0" w:firstLine="0" w:firstLineChars="0"/>
              <w:jc w:val="center"/>
              <w:rPr>
                <w:rFonts w:hint="eastAsia" w:ascii="仿宋_GB2312" w:hAnsi="仿宋_GB2312" w:eastAsia="仿宋_GB2312" w:cs="仿宋_GB2312"/>
                <w:spacing w:val="-8"/>
                <w:sz w:val="24"/>
                <w:szCs w:val="24"/>
                <w:lang w:val="en-US" w:eastAsia="zh-CN"/>
              </w:rPr>
            </w:pPr>
            <w:r>
              <w:rPr>
                <w:rFonts w:hint="eastAsia" w:ascii="仿宋_GB2312" w:hAnsi="仿宋_GB2312" w:eastAsia="仿宋_GB2312" w:cs="仿宋_GB2312"/>
                <w:spacing w:val="-8"/>
                <w:sz w:val="24"/>
                <w:szCs w:val="24"/>
                <w:lang w:val="en-US" w:eastAsia="zh-CN"/>
              </w:rPr>
              <w:t>109</w:t>
            </w:r>
          </w:p>
        </w:tc>
        <w:tc>
          <w:tcPr>
            <w:tcW w:w="2355" w:type="dxa"/>
            <w:shd w:val="clear" w:color="auto" w:fill="auto"/>
            <w:vAlign w:val="center"/>
          </w:tcPr>
          <w:p w14:paraId="78F652E7">
            <w:pPr>
              <w:keepNext w:val="0"/>
              <w:keepLines w:val="0"/>
              <w:pageBreakBefore w:val="0"/>
              <w:widowControl w:val="0"/>
              <w:kinsoku/>
              <w:wordWrap/>
              <w:overflowPunct/>
              <w:topLinePunct w:val="0"/>
              <w:autoSpaceDE/>
              <w:autoSpaceDN/>
              <w:bidi w:val="0"/>
              <w:spacing w:before="68" w:line="320" w:lineRule="exact"/>
              <w:ind w:left="240" w:leftChars="100" w:right="127" w:rightChars="53" w:firstLine="0" w:firstLineChars="0"/>
              <w:jc w:val="center"/>
              <w:rPr>
                <w:rFonts w:hint="eastAsia" w:ascii="宋体" w:hAnsi="宋体" w:eastAsia="宋体" w:cs="宋体"/>
                <w:spacing w:val="-8"/>
                <w:kern w:val="2"/>
                <w:sz w:val="21"/>
                <w:szCs w:val="21"/>
                <w:lang w:val="en-US" w:eastAsia="zh-CN" w:bidi="ar-SA"/>
              </w:rPr>
            </w:pPr>
            <w:r>
              <w:rPr>
                <w:rFonts w:hint="eastAsia" w:ascii="宋体" w:hAnsi="宋体" w:eastAsia="宋体" w:cs="宋体"/>
                <w:spacing w:val="-8"/>
                <w:sz w:val="21"/>
                <w:szCs w:val="21"/>
                <w:lang w:val="en-US" w:eastAsia="zh-CN"/>
              </w:rPr>
              <w:t>对未取得废弃电器电子产品处理资格擅自从事废弃电器电子产品处理活动的行政处罚</w:t>
            </w:r>
          </w:p>
        </w:tc>
        <w:tc>
          <w:tcPr>
            <w:tcW w:w="1094" w:type="dxa"/>
            <w:shd w:val="clear" w:color="auto" w:fill="auto"/>
            <w:vAlign w:val="center"/>
          </w:tcPr>
          <w:p w14:paraId="1CF9DE9A">
            <w:pPr>
              <w:keepNext w:val="0"/>
              <w:keepLines w:val="0"/>
              <w:pageBreakBefore w:val="0"/>
              <w:widowControl w:val="0"/>
              <w:kinsoku/>
              <w:wordWrap/>
              <w:overflowPunct/>
              <w:topLinePunct w:val="0"/>
              <w:autoSpaceDE/>
              <w:autoSpaceDN/>
              <w:bidi w:val="0"/>
              <w:spacing w:before="68" w:line="320" w:lineRule="exact"/>
              <w:ind w:left="0" w:leftChars="0" w:firstLine="0" w:firstLineChars="0"/>
              <w:jc w:val="center"/>
              <w:rPr>
                <w:rFonts w:hint="eastAsia" w:ascii="仿宋_GB2312" w:hAnsi="仿宋_GB2312" w:eastAsia="仿宋_GB2312" w:cs="仿宋_GB2312"/>
                <w:spacing w:val="-8"/>
                <w:kern w:val="2"/>
                <w:sz w:val="24"/>
                <w:szCs w:val="24"/>
                <w:lang w:val="en-US" w:eastAsia="zh-CN" w:bidi="ar-SA"/>
              </w:rPr>
            </w:pPr>
            <w:r>
              <w:rPr>
                <w:rFonts w:hint="eastAsia" w:ascii="仿宋_GB2312" w:hAnsi="仿宋_GB2312" w:eastAsia="仿宋_GB2312" w:cs="仿宋_GB2312"/>
                <w:spacing w:val="-8"/>
                <w:sz w:val="24"/>
                <w:szCs w:val="24"/>
                <w:lang w:val="en-US" w:eastAsia="zh-CN"/>
              </w:rPr>
              <w:t>行政处罚</w:t>
            </w:r>
          </w:p>
        </w:tc>
        <w:tc>
          <w:tcPr>
            <w:tcW w:w="8317" w:type="dxa"/>
            <w:shd w:val="clear" w:color="auto" w:fill="auto"/>
            <w:vAlign w:val="top"/>
          </w:tcPr>
          <w:p w14:paraId="3C070C18">
            <w:pPr>
              <w:keepNext w:val="0"/>
              <w:keepLines w:val="0"/>
              <w:pageBreakBefore w:val="0"/>
              <w:widowControl w:val="0"/>
              <w:suppressLineNumbers w:val="0"/>
              <w:kinsoku/>
              <w:wordWrap/>
              <w:overflowPunct/>
              <w:topLinePunct w:val="0"/>
              <w:autoSpaceDE/>
              <w:autoSpaceDN/>
              <w:bidi w:val="0"/>
              <w:adjustRightInd/>
              <w:snapToGrid/>
              <w:spacing w:after="0" w:afterLines="-2147483648" w:line="320" w:lineRule="exact"/>
              <w:ind w:left="240" w:leftChars="100" w:firstLine="420" w:firstLineChars="200"/>
              <w:jc w:val="both"/>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废弃电器电子产品回收处理管理条例》第二十八条违反本条例规定，未取得废弃电器电子产品处理资格擅自从事废弃电器电子产品处理活动的，由县级以上人民政府生态环境主管部门责令停业、关闭，没收违法所得，并处5万元以上50万元以下的罚款。</w:t>
            </w:r>
          </w:p>
        </w:tc>
        <w:tc>
          <w:tcPr>
            <w:tcW w:w="1129" w:type="dxa"/>
          </w:tcPr>
          <w:p w14:paraId="22E890D6">
            <w:pPr>
              <w:keepNext w:val="0"/>
              <w:keepLines w:val="0"/>
              <w:pageBreakBefore w:val="0"/>
              <w:widowControl w:val="0"/>
              <w:kinsoku/>
              <w:wordWrap/>
              <w:overflowPunct/>
              <w:topLinePunct w:val="0"/>
              <w:autoSpaceDE/>
              <w:autoSpaceDN/>
              <w:bidi w:val="0"/>
              <w:spacing w:before="69" w:line="320" w:lineRule="exact"/>
              <w:ind w:left="49" w:leftChars="0" w:right="26" w:rightChars="0" w:firstLine="404" w:firstLineChars="200"/>
              <w:rPr>
                <w:rFonts w:ascii="宋体" w:hAnsi="宋体" w:eastAsia="宋体" w:cs="宋体"/>
                <w:spacing w:val="-4"/>
                <w:sz w:val="21"/>
                <w:szCs w:val="21"/>
              </w:rPr>
            </w:pPr>
          </w:p>
        </w:tc>
        <w:tc>
          <w:tcPr>
            <w:tcW w:w="990" w:type="dxa"/>
            <w:gridSpan w:val="2"/>
          </w:tcPr>
          <w:p w14:paraId="0E7CB2EA">
            <w:pPr>
              <w:keepNext w:val="0"/>
              <w:keepLines w:val="0"/>
              <w:pageBreakBefore w:val="0"/>
              <w:widowControl w:val="0"/>
              <w:kinsoku/>
              <w:wordWrap/>
              <w:overflowPunct/>
              <w:topLinePunct w:val="0"/>
              <w:autoSpaceDE/>
              <w:autoSpaceDN/>
              <w:bidi w:val="0"/>
              <w:spacing w:before="69" w:line="320" w:lineRule="exact"/>
              <w:ind w:left="204" w:leftChars="0" w:right="59" w:rightChars="0" w:firstLine="404" w:firstLineChars="200"/>
              <w:rPr>
                <w:rFonts w:ascii="宋体" w:hAnsi="宋体" w:eastAsia="宋体" w:cs="宋体"/>
                <w:spacing w:val="-4"/>
                <w:sz w:val="21"/>
                <w:szCs w:val="21"/>
              </w:rPr>
            </w:pPr>
          </w:p>
        </w:tc>
      </w:tr>
      <w:tr w14:paraId="038CC7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6" w:hRule="atLeast"/>
        </w:trPr>
        <w:tc>
          <w:tcPr>
            <w:tcW w:w="557" w:type="dxa"/>
            <w:shd w:val="clear" w:color="auto" w:fill="auto"/>
            <w:vAlign w:val="center"/>
          </w:tcPr>
          <w:p w14:paraId="4404F30E">
            <w:pPr>
              <w:keepNext w:val="0"/>
              <w:keepLines w:val="0"/>
              <w:pageBreakBefore w:val="0"/>
              <w:widowControl w:val="0"/>
              <w:kinsoku/>
              <w:wordWrap/>
              <w:overflowPunct/>
              <w:topLinePunct w:val="0"/>
              <w:autoSpaceDE/>
              <w:autoSpaceDN/>
              <w:bidi w:val="0"/>
              <w:spacing w:before="68" w:line="320" w:lineRule="exact"/>
              <w:ind w:left="0" w:leftChars="0" w:firstLine="0" w:firstLineChars="0"/>
              <w:jc w:val="center"/>
              <w:rPr>
                <w:rFonts w:hint="eastAsia" w:ascii="仿宋_GB2312" w:hAnsi="仿宋_GB2312" w:eastAsia="仿宋_GB2312" w:cs="仿宋_GB2312"/>
                <w:spacing w:val="-8"/>
                <w:sz w:val="24"/>
                <w:szCs w:val="24"/>
                <w:lang w:val="en-US" w:eastAsia="zh-CN"/>
              </w:rPr>
            </w:pPr>
            <w:r>
              <w:rPr>
                <w:rFonts w:hint="eastAsia" w:ascii="仿宋_GB2312" w:hAnsi="仿宋_GB2312" w:eastAsia="仿宋_GB2312" w:cs="仿宋_GB2312"/>
                <w:spacing w:val="-8"/>
                <w:sz w:val="24"/>
                <w:szCs w:val="24"/>
                <w:lang w:val="en-US" w:eastAsia="zh-CN"/>
              </w:rPr>
              <w:t>110</w:t>
            </w:r>
          </w:p>
        </w:tc>
        <w:tc>
          <w:tcPr>
            <w:tcW w:w="2355" w:type="dxa"/>
            <w:shd w:val="clear" w:color="auto" w:fill="auto"/>
            <w:vAlign w:val="center"/>
          </w:tcPr>
          <w:p w14:paraId="5906F5C2">
            <w:pPr>
              <w:keepNext w:val="0"/>
              <w:keepLines w:val="0"/>
              <w:pageBreakBefore w:val="0"/>
              <w:widowControl w:val="0"/>
              <w:kinsoku/>
              <w:wordWrap/>
              <w:overflowPunct/>
              <w:topLinePunct w:val="0"/>
              <w:autoSpaceDE/>
              <w:autoSpaceDN/>
              <w:bidi w:val="0"/>
              <w:spacing w:before="68" w:line="320" w:lineRule="exact"/>
              <w:ind w:left="240" w:leftChars="100" w:right="127" w:rightChars="53" w:firstLine="0" w:firstLineChars="0"/>
              <w:jc w:val="center"/>
              <w:rPr>
                <w:rFonts w:hint="eastAsia" w:ascii="宋体" w:hAnsi="宋体" w:eastAsia="宋体" w:cs="宋体"/>
                <w:spacing w:val="-8"/>
                <w:kern w:val="2"/>
                <w:sz w:val="21"/>
                <w:szCs w:val="21"/>
                <w:lang w:val="en-US" w:eastAsia="zh-CN" w:bidi="ar-SA"/>
              </w:rPr>
            </w:pPr>
            <w:r>
              <w:rPr>
                <w:rFonts w:hint="eastAsia" w:ascii="宋体" w:hAnsi="宋体" w:eastAsia="宋体" w:cs="宋体"/>
                <w:spacing w:val="-8"/>
                <w:sz w:val="21"/>
                <w:szCs w:val="21"/>
                <w:lang w:val="en-US" w:eastAsia="zh-CN"/>
              </w:rPr>
              <w:t>对采用国家明令淘汰的技术和工艺处理废弃电器电子产品的行政处罚</w:t>
            </w:r>
          </w:p>
        </w:tc>
        <w:tc>
          <w:tcPr>
            <w:tcW w:w="1094" w:type="dxa"/>
            <w:shd w:val="clear" w:color="auto" w:fill="auto"/>
            <w:vAlign w:val="center"/>
          </w:tcPr>
          <w:p w14:paraId="2A0F6A04">
            <w:pPr>
              <w:keepNext w:val="0"/>
              <w:keepLines w:val="0"/>
              <w:pageBreakBefore w:val="0"/>
              <w:widowControl w:val="0"/>
              <w:kinsoku/>
              <w:wordWrap/>
              <w:overflowPunct/>
              <w:topLinePunct w:val="0"/>
              <w:autoSpaceDE/>
              <w:autoSpaceDN/>
              <w:bidi w:val="0"/>
              <w:spacing w:before="68" w:line="320" w:lineRule="exact"/>
              <w:ind w:left="0" w:leftChars="0" w:firstLine="0" w:firstLineChars="0"/>
              <w:jc w:val="center"/>
              <w:rPr>
                <w:rFonts w:hint="eastAsia" w:ascii="仿宋_GB2312" w:hAnsi="仿宋_GB2312" w:eastAsia="仿宋_GB2312" w:cs="仿宋_GB2312"/>
                <w:spacing w:val="-8"/>
                <w:kern w:val="2"/>
                <w:sz w:val="24"/>
                <w:szCs w:val="24"/>
                <w:lang w:val="en-US" w:eastAsia="zh-CN" w:bidi="ar-SA"/>
              </w:rPr>
            </w:pPr>
            <w:r>
              <w:rPr>
                <w:rFonts w:hint="eastAsia" w:ascii="仿宋_GB2312" w:hAnsi="仿宋_GB2312" w:eastAsia="仿宋_GB2312" w:cs="仿宋_GB2312"/>
                <w:spacing w:val="-8"/>
                <w:sz w:val="24"/>
                <w:szCs w:val="24"/>
                <w:lang w:val="en-US" w:eastAsia="zh-CN"/>
              </w:rPr>
              <w:t>行政处罚</w:t>
            </w:r>
          </w:p>
        </w:tc>
        <w:tc>
          <w:tcPr>
            <w:tcW w:w="8317" w:type="dxa"/>
            <w:shd w:val="clear" w:color="auto" w:fill="auto"/>
            <w:vAlign w:val="top"/>
          </w:tcPr>
          <w:p w14:paraId="270AF492">
            <w:pPr>
              <w:keepNext w:val="0"/>
              <w:keepLines w:val="0"/>
              <w:pageBreakBefore w:val="0"/>
              <w:widowControl w:val="0"/>
              <w:suppressLineNumbers w:val="0"/>
              <w:kinsoku/>
              <w:wordWrap/>
              <w:overflowPunct/>
              <w:topLinePunct w:val="0"/>
              <w:autoSpaceDE/>
              <w:autoSpaceDN/>
              <w:bidi w:val="0"/>
              <w:adjustRightInd/>
              <w:snapToGrid/>
              <w:spacing w:after="0" w:afterLines="-2147483648" w:line="320" w:lineRule="exact"/>
              <w:ind w:left="240" w:leftChars="100" w:firstLine="420" w:firstLineChars="200"/>
              <w:jc w:val="both"/>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废弃电器电子产品回收处理管理条例》第二十九条违反本条例规定，采用国家明令淘汰的技术和工艺处理废弃电器电子产品的，由县级以上人民政府生态环境主管部门责令限期改正；情节严重的，由设区的市级人民政府生态环境主管部门依法暂停直至撤销其废弃电器电子产品处理资格。</w:t>
            </w:r>
          </w:p>
        </w:tc>
        <w:tc>
          <w:tcPr>
            <w:tcW w:w="1129" w:type="dxa"/>
          </w:tcPr>
          <w:p w14:paraId="0BE2EC62">
            <w:pPr>
              <w:keepNext w:val="0"/>
              <w:keepLines w:val="0"/>
              <w:pageBreakBefore w:val="0"/>
              <w:widowControl w:val="0"/>
              <w:kinsoku/>
              <w:wordWrap/>
              <w:overflowPunct/>
              <w:topLinePunct w:val="0"/>
              <w:autoSpaceDE/>
              <w:autoSpaceDN/>
              <w:bidi w:val="0"/>
              <w:spacing w:before="69" w:line="320" w:lineRule="exact"/>
              <w:ind w:left="49" w:leftChars="0" w:right="26" w:rightChars="0" w:firstLine="404" w:firstLineChars="200"/>
              <w:rPr>
                <w:rFonts w:ascii="宋体" w:hAnsi="宋体" w:eastAsia="宋体" w:cs="宋体"/>
                <w:spacing w:val="-4"/>
                <w:sz w:val="21"/>
                <w:szCs w:val="21"/>
              </w:rPr>
            </w:pPr>
          </w:p>
        </w:tc>
        <w:tc>
          <w:tcPr>
            <w:tcW w:w="990" w:type="dxa"/>
            <w:gridSpan w:val="2"/>
          </w:tcPr>
          <w:p w14:paraId="41E5FAEF">
            <w:pPr>
              <w:keepNext w:val="0"/>
              <w:keepLines w:val="0"/>
              <w:pageBreakBefore w:val="0"/>
              <w:widowControl w:val="0"/>
              <w:kinsoku/>
              <w:wordWrap/>
              <w:overflowPunct/>
              <w:topLinePunct w:val="0"/>
              <w:autoSpaceDE/>
              <w:autoSpaceDN/>
              <w:bidi w:val="0"/>
              <w:spacing w:before="69" w:line="320" w:lineRule="exact"/>
              <w:ind w:left="204" w:leftChars="0" w:right="59" w:rightChars="0" w:firstLine="404" w:firstLineChars="200"/>
              <w:rPr>
                <w:rFonts w:ascii="宋体" w:hAnsi="宋体" w:eastAsia="宋体" w:cs="宋体"/>
                <w:spacing w:val="-4"/>
                <w:sz w:val="21"/>
                <w:szCs w:val="21"/>
              </w:rPr>
            </w:pPr>
          </w:p>
        </w:tc>
      </w:tr>
      <w:tr w14:paraId="725830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6" w:hRule="atLeast"/>
        </w:trPr>
        <w:tc>
          <w:tcPr>
            <w:tcW w:w="557" w:type="dxa"/>
            <w:shd w:val="clear" w:color="auto" w:fill="auto"/>
            <w:vAlign w:val="center"/>
          </w:tcPr>
          <w:p w14:paraId="59F872F3">
            <w:pPr>
              <w:keepNext w:val="0"/>
              <w:keepLines w:val="0"/>
              <w:pageBreakBefore w:val="0"/>
              <w:widowControl w:val="0"/>
              <w:kinsoku/>
              <w:wordWrap/>
              <w:overflowPunct/>
              <w:topLinePunct w:val="0"/>
              <w:autoSpaceDE/>
              <w:autoSpaceDN/>
              <w:bidi w:val="0"/>
              <w:spacing w:before="68" w:line="320" w:lineRule="exact"/>
              <w:ind w:left="0" w:leftChars="0" w:firstLine="0" w:firstLineChars="0"/>
              <w:jc w:val="center"/>
              <w:rPr>
                <w:rFonts w:hint="eastAsia" w:ascii="仿宋_GB2312" w:hAnsi="仿宋_GB2312" w:eastAsia="仿宋_GB2312" w:cs="仿宋_GB2312"/>
                <w:spacing w:val="-8"/>
                <w:sz w:val="24"/>
                <w:szCs w:val="24"/>
                <w:lang w:val="en-US" w:eastAsia="zh-CN"/>
              </w:rPr>
            </w:pPr>
            <w:r>
              <w:rPr>
                <w:rFonts w:hint="eastAsia" w:ascii="仿宋_GB2312" w:hAnsi="仿宋_GB2312" w:eastAsia="仿宋_GB2312" w:cs="仿宋_GB2312"/>
                <w:spacing w:val="-8"/>
                <w:sz w:val="24"/>
                <w:szCs w:val="24"/>
                <w:lang w:val="en-US" w:eastAsia="zh-CN"/>
              </w:rPr>
              <w:t>111</w:t>
            </w:r>
          </w:p>
        </w:tc>
        <w:tc>
          <w:tcPr>
            <w:tcW w:w="2355" w:type="dxa"/>
            <w:shd w:val="clear" w:color="auto" w:fill="auto"/>
            <w:vAlign w:val="center"/>
          </w:tcPr>
          <w:p w14:paraId="0415A19F">
            <w:pPr>
              <w:keepNext w:val="0"/>
              <w:keepLines w:val="0"/>
              <w:pageBreakBefore w:val="0"/>
              <w:widowControl w:val="0"/>
              <w:kinsoku/>
              <w:wordWrap/>
              <w:overflowPunct/>
              <w:topLinePunct w:val="0"/>
              <w:autoSpaceDE/>
              <w:autoSpaceDN/>
              <w:bidi w:val="0"/>
              <w:spacing w:before="68" w:line="320" w:lineRule="exact"/>
              <w:ind w:left="240" w:leftChars="100" w:right="127" w:rightChars="53" w:firstLine="0" w:firstLineChars="0"/>
              <w:jc w:val="center"/>
              <w:rPr>
                <w:rFonts w:hint="eastAsia" w:ascii="宋体" w:hAnsi="宋体" w:eastAsia="宋体" w:cs="宋体"/>
                <w:spacing w:val="-8"/>
                <w:kern w:val="2"/>
                <w:sz w:val="21"/>
                <w:szCs w:val="21"/>
                <w:lang w:val="en-US" w:eastAsia="zh-CN" w:bidi="ar-SA"/>
              </w:rPr>
            </w:pPr>
            <w:r>
              <w:rPr>
                <w:rFonts w:hint="eastAsia" w:ascii="宋体" w:hAnsi="宋体" w:eastAsia="宋体" w:cs="宋体"/>
                <w:spacing w:val="-8"/>
                <w:sz w:val="21"/>
                <w:szCs w:val="21"/>
                <w:lang w:val="en-US" w:eastAsia="zh-CN"/>
              </w:rPr>
              <w:t>对处理废弃电器电子产品造成环境污染的行政处罚</w:t>
            </w:r>
          </w:p>
        </w:tc>
        <w:tc>
          <w:tcPr>
            <w:tcW w:w="1094" w:type="dxa"/>
            <w:shd w:val="clear" w:color="auto" w:fill="auto"/>
            <w:vAlign w:val="center"/>
          </w:tcPr>
          <w:p w14:paraId="07B93397">
            <w:pPr>
              <w:keepNext w:val="0"/>
              <w:keepLines w:val="0"/>
              <w:pageBreakBefore w:val="0"/>
              <w:widowControl w:val="0"/>
              <w:kinsoku/>
              <w:wordWrap/>
              <w:overflowPunct/>
              <w:topLinePunct w:val="0"/>
              <w:autoSpaceDE/>
              <w:autoSpaceDN/>
              <w:bidi w:val="0"/>
              <w:spacing w:before="68" w:line="320" w:lineRule="exact"/>
              <w:ind w:left="0" w:leftChars="0" w:firstLine="0" w:firstLineChars="0"/>
              <w:jc w:val="center"/>
              <w:rPr>
                <w:rFonts w:hint="eastAsia" w:ascii="仿宋_GB2312" w:hAnsi="仿宋_GB2312" w:eastAsia="仿宋_GB2312" w:cs="仿宋_GB2312"/>
                <w:spacing w:val="-8"/>
                <w:kern w:val="2"/>
                <w:sz w:val="24"/>
                <w:szCs w:val="24"/>
                <w:lang w:val="en-US" w:eastAsia="zh-CN" w:bidi="ar-SA"/>
              </w:rPr>
            </w:pPr>
            <w:r>
              <w:rPr>
                <w:rFonts w:hint="eastAsia" w:ascii="仿宋_GB2312" w:hAnsi="仿宋_GB2312" w:eastAsia="仿宋_GB2312" w:cs="仿宋_GB2312"/>
                <w:spacing w:val="-8"/>
                <w:sz w:val="24"/>
                <w:szCs w:val="24"/>
                <w:lang w:val="en-US" w:eastAsia="zh-CN"/>
              </w:rPr>
              <w:t>行政处罚</w:t>
            </w:r>
          </w:p>
        </w:tc>
        <w:tc>
          <w:tcPr>
            <w:tcW w:w="8317" w:type="dxa"/>
            <w:shd w:val="clear" w:color="auto" w:fill="auto"/>
            <w:vAlign w:val="top"/>
          </w:tcPr>
          <w:p w14:paraId="6445EB0E">
            <w:pPr>
              <w:keepNext w:val="0"/>
              <w:keepLines w:val="0"/>
              <w:pageBreakBefore w:val="0"/>
              <w:widowControl w:val="0"/>
              <w:suppressLineNumbers w:val="0"/>
              <w:kinsoku/>
              <w:wordWrap/>
              <w:overflowPunct/>
              <w:topLinePunct w:val="0"/>
              <w:autoSpaceDE/>
              <w:autoSpaceDN/>
              <w:bidi w:val="0"/>
              <w:adjustRightInd/>
              <w:snapToGrid/>
              <w:spacing w:after="0" w:afterLines="-2147483648" w:line="320" w:lineRule="exact"/>
              <w:ind w:left="240" w:leftChars="100" w:firstLine="420" w:firstLineChars="200"/>
              <w:jc w:val="both"/>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中华人民共和国固体废物污染环境防治法》第一百一十八条违反本法规定，造成固体废物污染环境事故的，除依法承担赔偿责任外，由生态环境主管部门依照本条第二款的规定处以罚款，责令限期采取治理措施；造成重大或者特大固体废物污染环境事故的，还可以报经有批准权的人民政府批准，责令关闭。造成一般或者较大固体废物污染环境事故的，按照事故造成的直接经济损失的一倍以上三倍以下计算罚款；造成重大或者特大固体废物污染环境事故的，按照事故造成的直接经济损失的三倍以上五倍以下计算罚款，并对法定代表人、主要负责人、直接负责的主管人员和其他责任人员处上一年度从本单位取得的收入百分之五十以下的罚款。2.《废弃电器电子产品回收处理管理条例》第三十条处理废弃电器电子产品造成环境污染的，由县级以上人民政府生态环境主管部门按照固体废物污染环境防治的有关规定予以处罚。</w:t>
            </w:r>
          </w:p>
        </w:tc>
        <w:tc>
          <w:tcPr>
            <w:tcW w:w="1129" w:type="dxa"/>
          </w:tcPr>
          <w:p w14:paraId="08218678">
            <w:pPr>
              <w:keepNext w:val="0"/>
              <w:keepLines w:val="0"/>
              <w:pageBreakBefore w:val="0"/>
              <w:widowControl w:val="0"/>
              <w:kinsoku/>
              <w:wordWrap/>
              <w:overflowPunct/>
              <w:topLinePunct w:val="0"/>
              <w:autoSpaceDE/>
              <w:autoSpaceDN/>
              <w:bidi w:val="0"/>
              <w:spacing w:before="69" w:line="320" w:lineRule="exact"/>
              <w:ind w:left="49" w:leftChars="0" w:right="26" w:rightChars="0" w:firstLine="404" w:firstLineChars="200"/>
              <w:rPr>
                <w:rFonts w:ascii="宋体" w:hAnsi="宋体" w:eastAsia="宋体" w:cs="宋体"/>
                <w:spacing w:val="-4"/>
                <w:sz w:val="21"/>
                <w:szCs w:val="21"/>
              </w:rPr>
            </w:pPr>
          </w:p>
        </w:tc>
        <w:tc>
          <w:tcPr>
            <w:tcW w:w="990" w:type="dxa"/>
            <w:gridSpan w:val="2"/>
          </w:tcPr>
          <w:p w14:paraId="18FAC64A">
            <w:pPr>
              <w:keepNext w:val="0"/>
              <w:keepLines w:val="0"/>
              <w:pageBreakBefore w:val="0"/>
              <w:widowControl w:val="0"/>
              <w:kinsoku/>
              <w:wordWrap/>
              <w:overflowPunct/>
              <w:topLinePunct w:val="0"/>
              <w:autoSpaceDE/>
              <w:autoSpaceDN/>
              <w:bidi w:val="0"/>
              <w:spacing w:before="69" w:line="320" w:lineRule="exact"/>
              <w:ind w:left="204" w:leftChars="0" w:right="59" w:rightChars="0" w:firstLine="404" w:firstLineChars="200"/>
              <w:rPr>
                <w:rFonts w:ascii="宋体" w:hAnsi="宋体" w:eastAsia="宋体" w:cs="宋体"/>
                <w:spacing w:val="-4"/>
                <w:sz w:val="21"/>
                <w:szCs w:val="21"/>
              </w:rPr>
            </w:pPr>
          </w:p>
        </w:tc>
      </w:tr>
      <w:tr w14:paraId="40A9F6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6" w:hRule="atLeast"/>
        </w:trPr>
        <w:tc>
          <w:tcPr>
            <w:tcW w:w="557" w:type="dxa"/>
            <w:shd w:val="clear" w:color="auto" w:fill="auto"/>
            <w:vAlign w:val="center"/>
          </w:tcPr>
          <w:p w14:paraId="54F1C82D">
            <w:pPr>
              <w:keepNext w:val="0"/>
              <w:keepLines w:val="0"/>
              <w:pageBreakBefore w:val="0"/>
              <w:widowControl w:val="0"/>
              <w:kinsoku/>
              <w:wordWrap/>
              <w:overflowPunct/>
              <w:topLinePunct w:val="0"/>
              <w:autoSpaceDE/>
              <w:autoSpaceDN/>
              <w:bidi w:val="0"/>
              <w:spacing w:before="68" w:line="320" w:lineRule="exact"/>
              <w:ind w:left="0" w:leftChars="0" w:firstLine="0" w:firstLineChars="0"/>
              <w:jc w:val="center"/>
              <w:rPr>
                <w:rFonts w:hint="eastAsia" w:ascii="仿宋_GB2312" w:hAnsi="仿宋_GB2312" w:eastAsia="仿宋_GB2312" w:cs="仿宋_GB2312"/>
                <w:spacing w:val="-8"/>
                <w:sz w:val="24"/>
                <w:szCs w:val="24"/>
                <w:lang w:val="en-US" w:eastAsia="zh-CN"/>
              </w:rPr>
            </w:pPr>
            <w:r>
              <w:rPr>
                <w:rFonts w:hint="eastAsia" w:ascii="仿宋_GB2312" w:hAnsi="仿宋_GB2312" w:eastAsia="仿宋_GB2312" w:cs="仿宋_GB2312"/>
                <w:spacing w:val="-8"/>
                <w:sz w:val="24"/>
                <w:szCs w:val="24"/>
                <w:lang w:val="en-US" w:eastAsia="zh-CN"/>
              </w:rPr>
              <w:t>112</w:t>
            </w:r>
          </w:p>
        </w:tc>
        <w:tc>
          <w:tcPr>
            <w:tcW w:w="2355" w:type="dxa"/>
            <w:shd w:val="clear" w:color="auto" w:fill="auto"/>
            <w:vAlign w:val="center"/>
          </w:tcPr>
          <w:p w14:paraId="7CDC3863">
            <w:pPr>
              <w:keepNext w:val="0"/>
              <w:keepLines w:val="0"/>
              <w:pageBreakBefore w:val="0"/>
              <w:widowControl w:val="0"/>
              <w:kinsoku/>
              <w:wordWrap/>
              <w:overflowPunct/>
              <w:topLinePunct w:val="0"/>
              <w:autoSpaceDE/>
              <w:autoSpaceDN/>
              <w:bidi w:val="0"/>
              <w:spacing w:before="68" w:line="320" w:lineRule="exact"/>
              <w:ind w:left="240" w:leftChars="100" w:right="127" w:rightChars="53" w:firstLine="0" w:firstLineChars="0"/>
              <w:jc w:val="center"/>
              <w:rPr>
                <w:rFonts w:hint="eastAsia" w:ascii="宋体" w:hAnsi="宋体" w:eastAsia="宋体" w:cs="宋体"/>
                <w:spacing w:val="-8"/>
                <w:kern w:val="2"/>
                <w:sz w:val="21"/>
                <w:szCs w:val="21"/>
                <w:lang w:val="en-US" w:eastAsia="zh-CN" w:bidi="ar-SA"/>
              </w:rPr>
            </w:pPr>
            <w:r>
              <w:rPr>
                <w:rFonts w:hint="eastAsia" w:ascii="宋体" w:hAnsi="宋体" w:eastAsia="宋体" w:cs="宋体"/>
                <w:spacing w:val="-8"/>
                <w:sz w:val="21"/>
                <w:szCs w:val="21"/>
                <w:lang w:val="en-US" w:eastAsia="zh-CN"/>
              </w:rPr>
              <w:t>对废弃电器电子产品回收处理企业未建立废弃电器电子产品的数据信息管理系统等行为的行政处罚</w:t>
            </w:r>
          </w:p>
        </w:tc>
        <w:tc>
          <w:tcPr>
            <w:tcW w:w="1094" w:type="dxa"/>
            <w:shd w:val="clear" w:color="auto" w:fill="auto"/>
            <w:vAlign w:val="center"/>
          </w:tcPr>
          <w:p w14:paraId="7063E575">
            <w:pPr>
              <w:keepNext w:val="0"/>
              <w:keepLines w:val="0"/>
              <w:pageBreakBefore w:val="0"/>
              <w:widowControl w:val="0"/>
              <w:kinsoku/>
              <w:wordWrap/>
              <w:overflowPunct/>
              <w:topLinePunct w:val="0"/>
              <w:autoSpaceDE/>
              <w:autoSpaceDN/>
              <w:bidi w:val="0"/>
              <w:spacing w:before="68" w:line="320" w:lineRule="exact"/>
              <w:ind w:left="0" w:leftChars="0" w:firstLine="0" w:firstLineChars="0"/>
              <w:jc w:val="center"/>
              <w:rPr>
                <w:rFonts w:hint="eastAsia" w:ascii="仿宋_GB2312" w:hAnsi="仿宋_GB2312" w:eastAsia="仿宋_GB2312" w:cs="仿宋_GB2312"/>
                <w:spacing w:val="-8"/>
                <w:kern w:val="2"/>
                <w:sz w:val="24"/>
                <w:szCs w:val="24"/>
                <w:lang w:val="en-US" w:eastAsia="zh-CN" w:bidi="ar-SA"/>
              </w:rPr>
            </w:pPr>
            <w:r>
              <w:rPr>
                <w:rFonts w:hint="eastAsia" w:ascii="仿宋_GB2312" w:hAnsi="仿宋_GB2312" w:eastAsia="仿宋_GB2312" w:cs="仿宋_GB2312"/>
                <w:spacing w:val="-8"/>
                <w:sz w:val="24"/>
                <w:szCs w:val="24"/>
                <w:lang w:val="en-US" w:eastAsia="zh-CN"/>
              </w:rPr>
              <w:t>行政处罚</w:t>
            </w:r>
          </w:p>
        </w:tc>
        <w:tc>
          <w:tcPr>
            <w:tcW w:w="8317" w:type="dxa"/>
            <w:shd w:val="clear" w:color="auto" w:fill="auto"/>
            <w:vAlign w:val="top"/>
          </w:tcPr>
          <w:p w14:paraId="774E01E9">
            <w:pPr>
              <w:keepNext w:val="0"/>
              <w:keepLines w:val="0"/>
              <w:pageBreakBefore w:val="0"/>
              <w:widowControl w:val="0"/>
              <w:suppressLineNumbers w:val="0"/>
              <w:kinsoku/>
              <w:wordWrap/>
              <w:overflowPunct/>
              <w:topLinePunct w:val="0"/>
              <w:autoSpaceDE/>
              <w:autoSpaceDN/>
              <w:bidi w:val="0"/>
              <w:adjustRightInd/>
              <w:snapToGrid/>
              <w:spacing w:after="0" w:afterLines="-2147483648" w:line="320" w:lineRule="exact"/>
              <w:ind w:left="240" w:leftChars="100" w:firstLine="420" w:firstLineChars="200"/>
              <w:jc w:val="both"/>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废弃电器电子产品回收处理管理条例》第三十一条违反本条例规定，处理企业未建立废弃电器电子产品的数据信息管理系统，未按规定报送基本数据和有关情况或者报送基本数据、有关情况不真实，或者未按规定期限保存基本数据的，由所在地的设区的市级人民政府生态环境主管部门责令限期改正，可以处5万元以下的罚款。</w:t>
            </w:r>
          </w:p>
        </w:tc>
        <w:tc>
          <w:tcPr>
            <w:tcW w:w="1129" w:type="dxa"/>
          </w:tcPr>
          <w:p w14:paraId="70EFCBCC">
            <w:pPr>
              <w:keepNext w:val="0"/>
              <w:keepLines w:val="0"/>
              <w:pageBreakBefore w:val="0"/>
              <w:widowControl w:val="0"/>
              <w:kinsoku/>
              <w:wordWrap/>
              <w:overflowPunct/>
              <w:topLinePunct w:val="0"/>
              <w:autoSpaceDE/>
              <w:autoSpaceDN/>
              <w:bidi w:val="0"/>
              <w:spacing w:before="69" w:line="320" w:lineRule="exact"/>
              <w:ind w:left="49" w:leftChars="0" w:right="26" w:rightChars="0" w:firstLine="404" w:firstLineChars="200"/>
              <w:rPr>
                <w:rFonts w:ascii="宋体" w:hAnsi="宋体" w:eastAsia="宋体" w:cs="宋体"/>
                <w:spacing w:val="-4"/>
                <w:sz w:val="21"/>
                <w:szCs w:val="21"/>
              </w:rPr>
            </w:pPr>
          </w:p>
        </w:tc>
        <w:tc>
          <w:tcPr>
            <w:tcW w:w="990" w:type="dxa"/>
            <w:gridSpan w:val="2"/>
          </w:tcPr>
          <w:p w14:paraId="21B27C54">
            <w:pPr>
              <w:keepNext w:val="0"/>
              <w:keepLines w:val="0"/>
              <w:pageBreakBefore w:val="0"/>
              <w:widowControl w:val="0"/>
              <w:kinsoku/>
              <w:wordWrap/>
              <w:overflowPunct/>
              <w:topLinePunct w:val="0"/>
              <w:autoSpaceDE/>
              <w:autoSpaceDN/>
              <w:bidi w:val="0"/>
              <w:spacing w:before="69" w:line="320" w:lineRule="exact"/>
              <w:ind w:left="204" w:leftChars="0" w:right="59" w:rightChars="0" w:firstLine="404" w:firstLineChars="200"/>
              <w:rPr>
                <w:rFonts w:ascii="宋体" w:hAnsi="宋体" w:eastAsia="宋体" w:cs="宋体"/>
                <w:spacing w:val="-4"/>
                <w:sz w:val="21"/>
                <w:szCs w:val="21"/>
              </w:rPr>
            </w:pPr>
          </w:p>
        </w:tc>
      </w:tr>
      <w:tr w14:paraId="30D4B7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6" w:hRule="atLeast"/>
        </w:trPr>
        <w:tc>
          <w:tcPr>
            <w:tcW w:w="557" w:type="dxa"/>
            <w:shd w:val="clear" w:color="auto" w:fill="auto"/>
            <w:vAlign w:val="center"/>
          </w:tcPr>
          <w:p w14:paraId="3314ACEB">
            <w:pPr>
              <w:keepNext w:val="0"/>
              <w:keepLines w:val="0"/>
              <w:pageBreakBefore w:val="0"/>
              <w:widowControl w:val="0"/>
              <w:kinsoku/>
              <w:wordWrap/>
              <w:overflowPunct/>
              <w:topLinePunct w:val="0"/>
              <w:autoSpaceDE/>
              <w:autoSpaceDN/>
              <w:bidi w:val="0"/>
              <w:spacing w:before="68" w:line="320" w:lineRule="exact"/>
              <w:ind w:left="0" w:leftChars="0" w:firstLine="0" w:firstLineChars="0"/>
              <w:jc w:val="center"/>
              <w:rPr>
                <w:rFonts w:hint="eastAsia" w:ascii="仿宋_GB2312" w:hAnsi="仿宋_GB2312" w:eastAsia="仿宋_GB2312" w:cs="仿宋_GB2312"/>
                <w:spacing w:val="-8"/>
                <w:sz w:val="24"/>
                <w:szCs w:val="24"/>
                <w:lang w:val="en-US" w:eastAsia="zh-CN"/>
              </w:rPr>
            </w:pPr>
            <w:r>
              <w:rPr>
                <w:rFonts w:hint="eastAsia" w:ascii="仿宋_GB2312" w:hAnsi="仿宋_GB2312" w:eastAsia="仿宋_GB2312" w:cs="仿宋_GB2312"/>
                <w:spacing w:val="-8"/>
                <w:sz w:val="24"/>
                <w:szCs w:val="24"/>
                <w:lang w:val="en-US" w:eastAsia="zh-CN"/>
              </w:rPr>
              <w:t>113</w:t>
            </w:r>
          </w:p>
        </w:tc>
        <w:tc>
          <w:tcPr>
            <w:tcW w:w="2355" w:type="dxa"/>
            <w:shd w:val="clear" w:color="auto" w:fill="auto"/>
            <w:vAlign w:val="center"/>
          </w:tcPr>
          <w:p w14:paraId="4349A052">
            <w:pPr>
              <w:keepNext w:val="0"/>
              <w:keepLines w:val="0"/>
              <w:pageBreakBefore w:val="0"/>
              <w:widowControl w:val="0"/>
              <w:kinsoku/>
              <w:wordWrap/>
              <w:overflowPunct/>
              <w:topLinePunct w:val="0"/>
              <w:autoSpaceDE/>
              <w:autoSpaceDN/>
              <w:bidi w:val="0"/>
              <w:spacing w:before="68" w:line="320" w:lineRule="exact"/>
              <w:ind w:left="240" w:leftChars="100" w:right="127" w:rightChars="53" w:firstLine="0" w:firstLineChars="0"/>
              <w:jc w:val="center"/>
              <w:rPr>
                <w:rFonts w:hint="eastAsia" w:ascii="宋体" w:hAnsi="宋体" w:eastAsia="宋体" w:cs="宋体"/>
                <w:spacing w:val="-8"/>
                <w:kern w:val="2"/>
                <w:sz w:val="21"/>
                <w:szCs w:val="21"/>
                <w:lang w:val="en-US" w:eastAsia="zh-CN" w:bidi="ar-SA"/>
              </w:rPr>
            </w:pPr>
            <w:r>
              <w:rPr>
                <w:rFonts w:hint="eastAsia" w:ascii="宋体" w:hAnsi="宋体" w:eastAsia="宋体" w:cs="宋体"/>
                <w:spacing w:val="-8"/>
                <w:sz w:val="21"/>
                <w:szCs w:val="21"/>
                <w:lang w:val="en-US" w:eastAsia="zh-CN"/>
              </w:rPr>
              <w:t>对废弃电器电子产品回收处理企业未建立日常环境监测制度等行为的行政处罚</w:t>
            </w:r>
          </w:p>
        </w:tc>
        <w:tc>
          <w:tcPr>
            <w:tcW w:w="1094" w:type="dxa"/>
            <w:shd w:val="clear" w:color="auto" w:fill="auto"/>
            <w:vAlign w:val="center"/>
          </w:tcPr>
          <w:p w14:paraId="2581FE6D">
            <w:pPr>
              <w:keepNext w:val="0"/>
              <w:keepLines w:val="0"/>
              <w:pageBreakBefore w:val="0"/>
              <w:widowControl w:val="0"/>
              <w:kinsoku/>
              <w:wordWrap/>
              <w:overflowPunct/>
              <w:topLinePunct w:val="0"/>
              <w:autoSpaceDE/>
              <w:autoSpaceDN/>
              <w:bidi w:val="0"/>
              <w:spacing w:before="68" w:line="320" w:lineRule="exact"/>
              <w:ind w:left="0" w:leftChars="0" w:firstLine="0" w:firstLineChars="0"/>
              <w:jc w:val="center"/>
              <w:rPr>
                <w:rFonts w:hint="eastAsia" w:ascii="仿宋_GB2312" w:hAnsi="仿宋_GB2312" w:eastAsia="仿宋_GB2312" w:cs="仿宋_GB2312"/>
                <w:spacing w:val="-8"/>
                <w:kern w:val="2"/>
                <w:sz w:val="24"/>
                <w:szCs w:val="24"/>
                <w:lang w:val="en-US" w:eastAsia="zh-CN" w:bidi="ar-SA"/>
              </w:rPr>
            </w:pPr>
            <w:r>
              <w:rPr>
                <w:rFonts w:hint="eastAsia" w:ascii="仿宋_GB2312" w:hAnsi="仿宋_GB2312" w:eastAsia="仿宋_GB2312" w:cs="仿宋_GB2312"/>
                <w:spacing w:val="-8"/>
                <w:sz w:val="24"/>
                <w:szCs w:val="24"/>
                <w:lang w:val="en-US" w:eastAsia="zh-CN"/>
              </w:rPr>
              <w:t>行政处罚</w:t>
            </w:r>
          </w:p>
        </w:tc>
        <w:tc>
          <w:tcPr>
            <w:tcW w:w="8317" w:type="dxa"/>
            <w:shd w:val="clear" w:color="auto" w:fill="auto"/>
            <w:vAlign w:val="top"/>
          </w:tcPr>
          <w:p w14:paraId="27701B12">
            <w:pPr>
              <w:keepNext w:val="0"/>
              <w:keepLines w:val="0"/>
              <w:pageBreakBefore w:val="0"/>
              <w:widowControl w:val="0"/>
              <w:suppressLineNumbers w:val="0"/>
              <w:kinsoku/>
              <w:wordWrap/>
              <w:overflowPunct/>
              <w:topLinePunct w:val="0"/>
              <w:autoSpaceDE/>
              <w:autoSpaceDN/>
              <w:bidi w:val="0"/>
              <w:adjustRightInd/>
              <w:snapToGrid/>
              <w:spacing w:after="0" w:afterLines="-2147483648" w:line="320" w:lineRule="exact"/>
              <w:ind w:left="240" w:leftChars="100" w:firstLine="420" w:firstLineChars="200"/>
              <w:jc w:val="both"/>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废弃电器电子产品回收处理管理条例》第三十二条违反本条例规定，处理企业未建立日常环境监测制度或者未开展日常环境监测的，由县级以上人民政府生态环境主管部门责令限期改正，可以处5万元以下的罚款。</w:t>
            </w:r>
          </w:p>
        </w:tc>
        <w:tc>
          <w:tcPr>
            <w:tcW w:w="1129" w:type="dxa"/>
          </w:tcPr>
          <w:p w14:paraId="2235663A">
            <w:pPr>
              <w:keepNext w:val="0"/>
              <w:keepLines w:val="0"/>
              <w:pageBreakBefore w:val="0"/>
              <w:widowControl w:val="0"/>
              <w:kinsoku/>
              <w:wordWrap/>
              <w:overflowPunct/>
              <w:topLinePunct w:val="0"/>
              <w:autoSpaceDE/>
              <w:autoSpaceDN/>
              <w:bidi w:val="0"/>
              <w:spacing w:before="69" w:line="320" w:lineRule="exact"/>
              <w:ind w:left="49" w:leftChars="0" w:right="26" w:rightChars="0" w:firstLine="404" w:firstLineChars="200"/>
              <w:rPr>
                <w:rFonts w:ascii="宋体" w:hAnsi="宋体" w:eastAsia="宋体" w:cs="宋体"/>
                <w:spacing w:val="-4"/>
                <w:sz w:val="21"/>
                <w:szCs w:val="21"/>
              </w:rPr>
            </w:pPr>
          </w:p>
        </w:tc>
        <w:tc>
          <w:tcPr>
            <w:tcW w:w="990" w:type="dxa"/>
            <w:gridSpan w:val="2"/>
          </w:tcPr>
          <w:p w14:paraId="3FEBCDFF">
            <w:pPr>
              <w:keepNext w:val="0"/>
              <w:keepLines w:val="0"/>
              <w:pageBreakBefore w:val="0"/>
              <w:widowControl w:val="0"/>
              <w:kinsoku/>
              <w:wordWrap/>
              <w:overflowPunct/>
              <w:topLinePunct w:val="0"/>
              <w:autoSpaceDE/>
              <w:autoSpaceDN/>
              <w:bidi w:val="0"/>
              <w:spacing w:before="69" w:line="320" w:lineRule="exact"/>
              <w:ind w:left="204" w:leftChars="0" w:right="59" w:rightChars="0" w:firstLine="404" w:firstLineChars="200"/>
              <w:rPr>
                <w:rFonts w:ascii="宋体" w:hAnsi="宋体" w:eastAsia="宋体" w:cs="宋体"/>
                <w:spacing w:val="-4"/>
                <w:sz w:val="21"/>
                <w:szCs w:val="21"/>
              </w:rPr>
            </w:pPr>
          </w:p>
        </w:tc>
      </w:tr>
      <w:tr w14:paraId="33C549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6" w:hRule="atLeast"/>
        </w:trPr>
        <w:tc>
          <w:tcPr>
            <w:tcW w:w="557" w:type="dxa"/>
            <w:shd w:val="clear" w:color="auto" w:fill="auto"/>
            <w:vAlign w:val="center"/>
          </w:tcPr>
          <w:p w14:paraId="3BE5F152">
            <w:pPr>
              <w:keepNext w:val="0"/>
              <w:keepLines w:val="0"/>
              <w:pageBreakBefore w:val="0"/>
              <w:widowControl w:val="0"/>
              <w:kinsoku/>
              <w:wordWrap/>
              <w:overflowPunct/>
              <w:topLinePunct w:val="0"/>
              <w:autoSpaceDE/>
              <w:autoSpaceDN/>
              <w:bidi w:val="0"/>
              <w:spacing w:before="68" w:line="320" w:lineRule="exact"/>
              <w:ind w:left="0" w:leftChars="0" w:firstLine="0" w:firstLineChars="0"/>
              <w:jc w:val="center"/>
              <w:rPr>
                <w:rFonts w:hint="eastAsia" w:ascii="仿宋_GB2312" w:hAnsi="仿宋_GB2312" w:eastAsia="仿宋_GB2312" w:cs="仿宋_GB2312"/>
                <w:spacing w:val="-8"/>
                <w:sz w:val="24"/>
                <w:szCs w:val="24"/>
                <w:lang w:val="en-US" w:eastAsia="zh-CN"/>
              </w:rPr>
            </w:pPr>
            <w:r>
              <w:rPr>
                <w:rFonts w:hint="eastAsia" w:ascii="仿宋_GB2312" w:hAnsi="仿宋_GB2312" w:eastAsia="仿宋_GB2312" w:cs="仿宋_GB2312"/>
                <w:spacing w:val="-8"/>
                <w:sz w:val="24"/>
                <w:szCs w:val="24"/>
                <w:lang w:val="en-US" w:eastAsia="zh-CN"/>
              </w:rPr>
              <w:t>114</w:t>
            </w:r>
          </w:p>
        </w:tc>
        <w:tc>
          <w:tcPr>
            <w:tcW w:w="2355" w:type="dxa"/>
            <w:shd w:val="clear" w:color="auto" w:fill="auto"/>
            <w:vAlign w:val="center"/>
          </w:tcPr>
          <w:p w14:paraId="1C31C03F">
            <w:pPr>
              <w:keepNext w:val="0"/>
              <w:keepLines w:val="0"/>
              <w:pageBreakBefore w:val="0"/>
              <w:widowControl w:val="0"/>
              <w:kinsoku/>
              <w:wordWrap/>
              <w:overflowPunct/>
              <w:topLinePunct w:val="0"/>
              <w:autoSpaceDE/>
              <w:autoSpaceDN/>
              <w:bidi w:val="0"/>
              <w:spacing w:before="68" w:line="320" w:lineRule="exact"/>
              <w:ind w:left="240" w:leftChars="100" w:right="127" w:rightChars="53" w:firstLine="0" w:firstLineChars="0"/>
              <w:jc w:val="center"/>
              <w:rPr>
                <w:rFonts w:hint="eastAsia" w:ascii="宋体" w:hAnsi="宋体" w:eastAsia="宋体" w:cs="宋体"/>
                <w:spacing w:val="-8"/>
                <w:kern w:val="2"/>
                <w:sz w:val="21"/>
                <w:szCs w:val="21"/>
                <w:lang w:val="en-US" w:eastAsia="zh-CN" w:bidi="ar-SA"/>
              </w:rPr>
            </w:pPr>
            <w:r>
              <w:rPr>
                <w:rFonts w:hint="eastAsia" w:ascii="宋体" w:hAnsi="宋体" w:eastAsia="宋体" w:cs="宋体"/>
                <w:spacing w:val="-8"/>
                <w:sz w:val="21"/>
                <w:szCs w:val="21"/>
                <w:lang w:val="en-US" w:eastAsia="zh-CN"/>
              </w:rPr>
              <w:t>对医疗卫生机构、医疗废物集中处置单位造成环境污染事故的行政处罚</w:t>
            </w:r>
          </w:p>
        </w:tc>
        <w:tc>
          <w:tcPr>
            <w:tcW w:w="1094" w:type="dxa"/>
            <w:shd w:val="clear" w:color="auto" w:fill="auto"/>
            <w:vAlign w:val="center"/>
          </w:tcPr>
          <w:p w14:paraId="663090FE">
            <w:pPr>
              <w:keepNext w:val="0"/>
              <w:keepLines w:val="0"/>
              <w:pageBreakBefore w:val="0"/>
              <w:widowControl w:val="0"/>
              <w:kinsoku/>
              <w:wordWrap/>
              <w:overflowPunct/>
              <w:topLinePunct w:val="0"/>
              <w:autoSpaceDE/>
              <w:autoSpaceDN/>
              <w:bidi w:val="0"/>
              <w:spacing w:before="68" w:line="320" w:lineRule="exact"/>
              <w:ind w:left="0" w:leftChars="0" w:firstLine="0" w:firstLineChars="0"/>
              <w:jc w:val="center"/>
              <w:rPr>
                <w:rFonts w:hint="eastAsia" w:ascii="仿宋_GB2312" w:hAnsi="仿宋_GB2312" w:eastAsia="仿宋_GB2312" w:cs="仿宋_GB2312"/>
                <w:spacing w:val="-8"/>
                <w:kern w:val="2"/>
                <w:sz w:val="24"/>
                <w:szCs w:val="24"/>
                <w:lang w:val="en-US" w:eastAsia="zh-CN" w:bidi="ar-SA"/>
              </w:rPr>
            </w:pPr>
            <w:r>
              <w:rPr>
                <w:rFonts w:hint="eastAsia" w:ascii="仿宋_GB2312" w:hAnsi="仿宋_GB2312" w:eastAsia="仿宋_GB2312" w:cs="仿宋_GB2312"/>
                <w:spacing w:val="-8"/>
                <w:sz w:val="24"/>
                <w:szCs w:val="24"/>
                <w:lang w:val="en-US" w:eastAsia="zh-CN"/>
              </w:rPr>
              <w:t>行政处罚</w:t>
            </w:r>
          </w:p>
        </w:tc>
        <w:tc>
          <w:tcPr>
            <w:tcW w:w="8317" w:type="dxa"/>
            <w:shd w:val="clear" w:color="auto" w:fill="auto"/>
            <w:vAlign w:val="top"/>
          </w:tcPr>
          <w:p w14:paraId="2BDA5C10">
            <w:pPr>
              <w:keepNext w:val="0"/>
              <w:keepLines w:val="0"/>
              <w:pageBreakBefore w:val="0"/>
              <w:widowControl w:val="0"/>
              <w:suppressLineNumbers w:val="0"/>
              <w:kinsoku/>
              <w:wordWrap/>
              <w:overflowPunct/>
              <w:topLinePunct w:val="0"/>
              <w:autoSpaceDE/>
              <w:autoSpaceDN/>
              <w:bidi w:val="0"/>
              <w:adjustRightInd/>
              <w:snapToGrid/>
              <w:spacing w:after="0" w:afterLines="-2147483648" w:line="320" w:lineRule="exact"/>
              <w:ind w:left="240" w:leftChars="100" w:firstLine="420" w:firstLineChars="200"/>
              <w:jc w:val="both"/>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医疗废物管理条例》第四十七条医疗卫生机构、医疗废物集中处置单位有下列情形之一的，由县级以上地方人民政府卫生行政主管部门或者环境保护行政主管部门按照各自的职责责令限期改正，给予警告，并处5000元以上1万元以下的罚款；逾期不改正的，处1万元以上3万元以下的罚款；造成传染病传播或者环境污染事故的，由原发证部门暂扣或者吊销执业许可证件或者经营许可证件；构成犯罪的，依法追究刑事责任：（一）在运送过程中丢弃医疗废物，在非贮存地点倾倒、堆放医疗废物或者将医疗废物混入其他废物和生活垃圾的；（二）未执行危险废物转移联单管理制度的；（三）将医疗废物交给未取得经营许可证的单位或者个人收集、运送、贮存、处置的；（四）对医疗废物的处置不符合国家规定的环境保护、卫生标准、规范的；（五）未按照本条例的规定对污水、传染病病人或者疑似传染病病人的排泄物，进行严格消毒，或者未达到国家规定的排放标准，排入污水处理系统的；（六）对收治的传染病病人或者疑似传染病病人产生的生活垃圾，未按照医疗废物进行管理和处置的。</w:t>
            </w:r>
          </w:p>
          <w:p w14:paraId="72BD3C1B">
            <w:pPr>
              <w:keepNext w:val="0"/>
              <w:keepLines w:val="0"/>
              <w:pageBreakBefore w:val="0"/>
              <w:widowControl w:val="0"/>
              <w:suppressLineNumbers w:val="0"/>
              <w:kinsoku/>
              <w:wordWrap/>
              <w:overflowPunct/>
              <w:topLinePunct w:val="0"/>
              <w:autoSpaceDE/>
              <w:autoSpaceDN/>
              <w:bidi w:val="0"/>
              <w:adjustRightInd/>
              <w:snapToGrid/>
              <w:spacing w:after="0" w:afterLines="-2147483648" w:line="320" w:lineRule="exact"/>
              <w:ind w:left="240" w:leftChars="100" w:firstLine="420" w:firstLineChars="200"/>
              <w:jc w:val="both"/>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第四十八条医疗卫生机构违反本条例规定，将未达到国家规定标准的污水、传染病病人或者疑似传病病人的排泄物排入城市排水管网的，由县级以上地方人民政府建设行政主管部门责令限期改正，给予警告，并处5000元以上1万元以下的罚款；逾期不改正的，处1万元以上3万元以下的罚款；造成传染病播或者环境污染事故的，由原发证部门暂扣或者吊销执业许可证件；构成犯罪的，依法追究刑事责任。第四十九条医疗卫生机构、医疗废物集中处置单位发生医疗废物流失、泄漏、扩散时，未采取紧急处理措施，或者未及时向卫生行政主管部门和环境保护行政主管部门报告的，由县级以上地方人民政府卫生行政主管部门或者环境保护行政主管部门按照各自的职责责令改正，给予警告，并处1万元以上3万元以下的罚款；造成传染病传播或者环境污染事故的，由原发证部门暂扣或者吊销执业许可证件或者经营许可证件；构成犯罪的，依法追究刑事责任。</w:t>
            </w:r>
          </w:p>
          <w:p w14:paraId="7CF07EE2">
            <w:pPr>
              <w:keepNext w:val="0"/>
              <w:keepLines w:val="0"/>
              <w:pageBreakBefore w:val="0"/>
              <w:widowControl w:val="0"/>
              <w:suppressLineNumbers w:val="0"/>
              <w:kinsoku/>
              <w:wordWrap/>
              <w:overflowPunct/>
              <w:topLinePunct w:val="0"/>
              <w:autoSpaceDE/>
              <w:autoSpaceDN/>
              <w:bidi w:val="0"/>
              <w:adjustRightInd/>
              <w:snapToGrid/>
              <w:spacing w:after="0" w:afterLines="-2147483648" w:line="320" w:lineRule="exact"/>
              <w:ind w:left="240" w:leftChars="100" w:firstLine="420" w:firstLineChars="200"/>
              <w:jc w:val="both"/>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第五十一条不具备集中处置医疗废物条件的农村，医疗卫生机构未按照本条例的要求处置医疗废物的，由县级人民政府卫生行政主管部门或者环境保护行政主管部门按照各自的职责责令限期改正，给予警告；逾期不改正的，处1000元以上5000元以下的罚款；造成传染病传播或者环境污染事故的，由原发证部门暂扣或者吊销执业许可证件；构成犯罪的，依法追究刑事责任。</w:t>
            </w:r>
          </w:p>
          <w:p w14:paraId="10C6FC0B">
            <w:pPr>
              <w:keepNext w:val="0"/>
              <w:keepLines w:val="0"/>
              <w:pageBreakBefore w:val="0"/>
              <w:widowControl w:val="0"/>
              <w:suppressLineNumbers w:val="0"/>
              <w:kinsoku/>
              <w:wordWrap/>
              <w:overflowPunct/>
              <w:topLinePunct w:val="0"/>
              <w:autoSpaceDE/>
              <w:autoSpaceDN/>
              <w:bidi w:val="0"/>
              <w:adjustRightInd/>
              <w:snapToGrid/>
              <w:spacing w:after="0" w:afterLines="-2147483648" w:line="320" w:lineRule="exact"/>
              <w:ind w:left="240" w:leftChars="100" w:firstLine="420" w:firstLineChars="200"/>
              <w:jc w:val="both"/>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医疗废物管理行政处罚办法》第十五条有《条例》第四十七条、第四十八条、第四十九条、第五十一条规定的情形，医疗卫生机构造成传染病传播的，由县级以上地方人民政府卫生行政主管部门依法处罚，并由原发证的卫生行政主管部门暂扣或者吊销执业许可证件；造成环境污染事故的，由县级以上地方人民政府环境保护行政主管部门依照《中华人民共和国固体废物污染环境防治法》有关规定予以处罚，并由原发证的卫生行政主管部门暂扣或者吊销执业许可证件。医疗废物集中处置单位造成传染病传播的，由县级以上地方人民政府卫生行政主管部门依法处罚，并由原发证的环境保护行政主管部门暂扣或者吊销经营许可证件；造成环境污染事故的，由县级以上地方人民政府环境保护行政主管部门依照《中华人民共和国固体废物污染环境防治法》有关规定予以处罚，并由原发证的环境保护行政主管部门暂扣或者吊销经营许可证件。</w:t>
            </w:r>
          </w:p>
          <w:p w14:paraId="10290A48">
            <w:pPr>
              <w:keepNext w:val="0"/>
              <w:keepLines w:val="0"/>
              <w:pageBreakBefore w:val="0"/>
              <w:widowControl w:val="0"/>
              <w:suppressLineNumbers w:val="0"/>
              <w:kinsoku/>
              <w:wordWrap/>
              <w:overflowPunct/>
              <w:topLinePunct w:val="0"/>
              <w:autoSpaceDE/>
              <w:autoSpaceDN/>
              <w:bidi w:val="0"/>
              <w:adjustRightInd/>
              <w:snapToGrid/>
              <w:spacing w:after="0" w:afterLines="-2147483648" w:line="320" w:lineRule="exact"/>
              <w:ind w:left="240" w:leftChars="100" w:firstLine="420" w:firstLineChars="200"/>
              <w:jc w:val="both"/>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3.《固体废物污染环境防治法》（2020）第一百一十八条违反本法规定，造成固体废物污染环境事故的，除依法承担赔偿责任外，由生态环境主管部门依照本条第二款的规定处以罚款，责令限期采取治理措施；造成重大或者特大固体废物污染环境事故的，还可以报经有批准权的人民政府批准，责令关闭。造成一般或者较大固体废物污染环境事故的，按照事故造成的直接经济损失的一倍以上三倍以下计算罚款；造成重大或者特大固体废物污染环境事故的，按照事故造成的直接经济损失的三倍以上五倍以下计算罚款，并对法定代表人、主要负责人、直接负责的主管人员和其他责任人员处上一年度从本单位取得的收入百分之五十以下的罚款。</w:t>
            </w:r>
          </w:p>
        </w:tc>
        <w:tc>
          <w:tcPr>
            <w:tcW w:w="1129" w:type="dxa"/>
          </w:tcPr>
          <w:p w14:paraId="21CB12B7">
            <w:pPr>
              <w:keepNext w:val="0"/>
              <w:keepLines w:val="0"/>
              <w:pageBreakBefore w:val="0"/>
              <w:widowControl w:val="0"/>
              <w:kinsoku/>
              <w:wordWrap/>
              <w:overflowPunct/>
              <w:topLinePunct w:val="0"/>
              <w:autoSpaceDE/>
              <w:autoSpaceDN/>
              <w:bidi w:val="0"/>
              <w:spacing w:before="69" w:line="320" w:lineRule="exact"/>
              <w:ind w:left="49" w:leftChars="0" w:right="26" w:rightChars="0" w:firstLine="404" w:firstLineChars="200"/>
              <w:rPr>
                <w:rFonts w:ascii="宋体" w:hAnsi="宋体" w:eastAsia="宋体" w:cs="宋体"/>
                <w:spacing w:val="-4"/>
                <w:sz w:val="21"/>
                <w:szCs w:val="21"/>
              </w:rPr>
            </w:pPr>
          </w:p>
        </w:tc>
        <w:tc>
          <w:tcPr>
            <w:tcW w:w="990" w:type="dxa"/>
            <w:gridSpan w:val="2"/>
          </w:tcPr>
          <w:p w14:paraId="57098B29">
            <w:pPr>
              <w:keepNext w:val="0"/>
              <w:keepLines w:val="0"/>
              <w:pageBreakBefore w:val="0"/>
              <w:widowControl w:val="0"/>
              <w:kinsoku/>
              <w:wordWrap/>
              <w:overflowPunct/>
              <w:topLinePunct w:val="0"/>
              <w:autoSpaceDE/>
              <w:autoSpaceDN/>
              <w:bidi w:val="0"/>
              <w:spacing w:before="69" w:line="320" w:lineRule="exact"/>
              <w:ind w:left="204" w:leftChars="0" w:right="59" w:rightChars="0" w:firstLine="404" w:firstLineChars="200"/>
              <w:rPr>
                <w:rFonts w:ascii="宋体" w:hAnsi="宋体" w:eastAsia="宋体" w:cs="宋体"/>
                <w:spacing w:val="-4"/>
                <w:sz w:val="21"/>
                <w:szCs w:val="21"/>
              </w:rPr>
            </w:pPr>
          </w:p>
        </w:tc>
      </w:tr>
      <w:tr w14:paraId="0EAECB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3" w:hRule="atLeast"/>
        </w:trPr>
        <w:tc>
          <w:tcPr>
            <w:tcW w:w="557" w:type="dxa"/>
            <w:shd w:val="clear" w:color="auto" w:fill="auto"/>
            <w:vAlign w:val="center"/>
          </w:tcPr>
          <w:p w14:paraId="2EE25655">
            <w:pPr>
              <w:keepNext w:val="0"/>
              <w:keepLines w:val="0"/>
              <w:pageBreakBefore w:val="0"/>
              <w:widowControl w:val="0"/>
              <w:kinsoku/>
              <w:wordWrap/>
              <w:overflowPunct/>
              <w:topLinePunct w:val="0"/>
              <w:autoSpaceDE/>
              <w:autoSpaceDN/>
              <w:bidi w:val="0"/>
              <w:spacing w:before="68" w:line="320" w:lineRule="exact"/>
              <w:ind w:left="0" w:leftChars="0" w:firstLine="0" w:firstLineChars="0"/>
              <w:jc w:val="center"/>
              <w:rPr>
                <w:rFonts w:hint="eastAsia" w:ascii="仿宋_GB2312" w:hAnsi="仿宋_GB2312" w:eastAsia="仿宋_GB2312" w:cs="仿宋_GB2312"/>
                <w:spacing w:val="-8"/>
                <w:sz w:val="24"/>
                <w:szCs w:val="24"/>
                <w:lang w:val="en-US" w:eastAsia="zh-CN"/>
              </w:rPr>
            </w:pPr>
            <w:r>
              <w:rPr>
                <w:rFonts w:hint="eastAsia" w:ascii="仿宋_GB2312" w:hAnsi="仿宋_GB2312" w:eastAsia="仿宋_GB2312" w:cs="仿宋_GB2312"/>
                <w:spacing w:val="-8"/>
                <w:sz w:val="24"/>
                <w:szCs w:val="24"/>
                <w:lang w:val="en-US" w:eastAsia="zh-CN"/>
              </w:rPr>
              <w:t>115</w:t>
            </w:r>
          </w:p>
        </w:tc>
        <w:tc>
          <w:tcPr>
            <w:tcW w:w="2355" w:type="dxa"/>
            <w:shd w:val="clear" w:color="auto" w:fill="auto"/>
            <w:vAlign w:val="center"/>
          </w:tcPr>
          <w:p w14:paraId="3D5BCB1D">
            <w:pPr>
              <w:keepNext w:val="0"/>
              <w:keepLines w:val="0"/>
              <w:pageBreakBefore w:val="0"/>
              <w:widowControl w:val="0"/>
              <w:kinsoku/>
              <w:wordWrap/>
              <w:overflowPunct/>
              <w:topLinePunct w:val="0"/>
              <w:autoSpaceDE/>
              <w:autoSpaceDN/>
              <w:bidi w:val="0"/>
              <w:spacing w:before="68" w:line="320" w:lineRule="exact"/>
              <w:ind w:left="240" w:leftChars="100" w:right="127" w:rightChars="53" w:firstLine="0" w:firstLineChars="0"/>
              <w:jc w:val="center"/>
              <w:rPr>
                <w:rFonts w:hint="eastAsia" w:ascii="宋体" w:hAnsi="宋体" w:eastAsia="宋体" w:cs="宋体"/>
                <w:spacing w:val="-8"/>
                <w:kern w:val="2"/>
                <w:sz w:val="21"/>
                <w:szCs w:val="21"/>
                <w:lang w:val="en-US" w:eastAsia="zh-CN" w:bidi="ar-SA"/>
              </w:rPr>
            </w:pPr>
            <w:r>
              <w:rPr>
                <w:rFonts w:hint="eastAsia" w:ascii="宋体" w:hAnsi="宋体" w:eastAsia="宋体" w:cs="宋体"/>
                <w:spacing w:val="-8"/>
                <w:sz w:val="21"/>
                <w:szCs w:val="21"/>
                <w:lang w:val="en-US" w:eastAsia="zh-CN"/>
              </w:rPr>
              <w:t>对伪造、变造废弃电器电子产品处理资格证书等行为的行政处罚</w:t>
            </w:r>
          </w:p>
        </w:tc>
        <w:tc>
          <w:tcPr>
            <w:tcW w:w="1094" w:type="dxa"/>
            <w:shd w:val="clear" w:color="auto" w:fill="auto"/>
            <w:vAlign w:val="center"/>
          </w:tcPr>
          <w:p w14:paraId="58147C6A">
            <w:pPr>
              <w:keepNext w:val="0"/>
              <w:keepLines w:val="0"/>
              <w:pageBreakBefore w:val="0"/>
              <w:widowControl w:val="0"/>
              <w:kinsoku/>
              <w:wordWrap/>
              <w:overflowPunct/>
              <w:topLinePunct w:val="0"/>
              <w:autoSpaceDE/>
              <w:autoSpaceDN/>
              <w:bidi w:val="0"/>
              <w:spacing w:before="68" w:line="320" w:lineRule="exact"/>
              <w:ind w:left="0" w:leftChars="0" w:firstLine="0" w:firstLineChars="0"/>
              <w:jc w:val="center"/>
              <w:rPr>
                <w:rFonts w:hint="eastAsia" w:ascii="仿宋_GB2312" w:hAnsi="仿宋_GB2312" w:eastAsia="仿宋_GB2312" w:cs="仿宋_GB2312"/>
                <w:spacing w:val="-8"/>
                <w:kern w:val="2"/>
                <w:sz w:val="24"/>
                <w:szCs w:val="24"/>
                <w:lang w:val="en-US" w:eastAsia="zh-CN" w:bidi="ar-SA"/>
              </w:rPr>
            </w:pPr>
            <w:r>
              <w:rPr>
                <w:rFonts w:hint="eastAsia" w:ascii="仿宋_GB2312" w:hAnsi="仿宋_GB2312" w:eastAsia="仿宋_GB2312" w:cs="仿宋_GB2312"/>
                <w:spacing w:val="-8"/>
                <w:sz w:val="24"/>
                <w:szCs w:val="24"/>
                <w:lang w:val="en-US" w:eastAsia="zh-CN"/>
              </w:rPr>
              <w:t>行政处罚</w:t>
            </w:r>
          </w:p>
        </w:tc>
        <w:tc>
          <w:tcPr>
            <w:tcW w:w="8317" w:type="dxa"/>
            <w:shd w:val="clear" w:color="auto" w:fill="auto"/>
            <w:vAlign w:val="top"/>
          </w:tcPr>
          <w:p w14:paraId="3E3034E3">
            <w:pPr>
              <w:keepNext w:val="0"/>
              <w:keepLines w:val="0"/>
              <w:pageBreakBefore w:val="0"/>
              <w:widowControl w:val="0"/>
              <w:suppressLineNumbers w:val="0"/>
              <w:kinsoku/>
              <w:wordWrap/>
              <w:overflowPunct/>
              <w:topLinePunct w:val="0"/>
              <w:autoSpaceDE/>
              <w:autoSpaceDN/>
              <w:bidi w:val="0"/>
              <w:adjustRightInd/>
              <w:snapToGrid/>
              <w:spacing w:after="0" w:afterLines="-2147483648" w:line="320" w:lineRule="exact"/>
              <w:ind w:left="240" w:leftChars="100" w:firstLine="420" w:firstLineChars="200"/>
              <w:jc w:val="both"/>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废弃电器电子产品处理资格许可管理办法》第二十四条伪造、变造废弃电器电子产品处理资格证书的，由县级以上地方人民政府环境保护主管部门收缴伪造、变造的处理资格证书，处3万元以下罚款；构成违反治安管理行为的，移送公安机关依法予以治安管理处罚；构成犯罪的，移送司法机关依法追究其刑事责任。倒卖、出租、出借或者以其他形式非法转让废弃电器电子产品处理资格证书的，由县级以上地方人民政府环境保护主管部门责令停止违法行为，限期改正，处3万元以下罚款；情节严重的，由发证机关收回废弃电器电子产品处理资格证书；构成犯罪的，移送司法机关依法追究其刑事责任。</w:t>
            </w:r>
          </w:p>
        </w:tc>
        <w:tc>
          <w:tcPr>
            <w:tcW w:w="1129" w:type="dxa"/>
          </w:tcPr>
          <w:p w14:paraId="2D318626">
            <w:pPr>
              <w:keepNext w:val="0"/>
              <w:keepLines w:val="0"/>
              <w:pageBreakBefore w:val="0"/>
              <w:widowControl w:val="0"/>
              <w:kinsoku/>
              <w:wordWrap/>
              <w:overflowPunct/>
              <w:topLinePunct w:val="0"/>
              <w:autoSpaceDE/>
              <w:autoSpaceDN/>
              <w:bidi w:val="0"/>
              <w:spacing w:before="69" w:line="320" w:lineRule="exact"/>
              <w:ind w:left="49" w:leftChars="0" w:right="26" w:rightChars="0" w:firstLine="404" w:firstLineChars="200"/>
              <w:rPr>
                <w:rFonts w:ascii="宋体" w:hAnsi="宋体" w:eastAsia="宋体" w:cs="宋体"/>
                <w:spacing w:val="-4"/>
                <w:sz w:val="21"/>
                <w:szCs w:val="21"/>
              </w:rPr>
            </w:pPr>
          </w:p>
        </w:tc>
        <w:tc>
          <w:tcPr>
            <w:tcW w:w="990" w:type="dxa"/>
            <w:gridSpan w:val="2"/>
          </w:tcPr>
          <w:p w14:paraId="55AC0B30">
            <w:pPr>
              <w:keepNext w:val="0"/>
              <w:keepLines w:val="0"/>
              <w:pageBreakBefore w:val="0"/>
              <w:widowControl w:val="0"/>
              <w:kinsoku/>
              <w:wordWrap/>
              <w:overflowPunct/>
              <w:topLinePunct w:val="0"/>
              <w:autoSpaceDE/>
              <w:autoSpaceDN/>
              <w:bidi w:val="0"/>
              <w:spacing w:before="69" w:line="320" w:lineRule="exact"/>
              <w:ind w:left="204" w:leftChars="0" w:right="59" w:rightChars="0" w:firstLine="404" w:firstLineChars="200"/>
              <w:rPr>
                <w:rFonts w:ascii="宋体" w:hAnsi="宋体" w:eastAsia="宋体" w:cs="宋体"/>
                <w:spacing w:val="-4"/>
                <w:sz w:val="21"/>
                <w:szCs w:val="21"/>
              </w:rPr>
            </w:pPr>
          </w:p>
        </w:tc>
      </w:tr>
      <w:tr w14:paraId="15B7E6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6" w:hRule="atLeast"/>
        </w:trPr>
        <w:tc>
          <w:tcPr>
            <w:tcW w:w="557" w:type="dxa"/>
            <w:shd w:val="clear" w:color="auto" w:fill="auto"/>
            <w:vAlign w:val="center"/>
          </w:tcPr>
          <w:p w14:paraId="2FD2A6F3">
            <w:pPr>
              <w:keepNext w:val="0"/>
              <w:keepLines w:val="0"/>
              <w:pageBreakBefore w:val="0"/>
              <w:widowControl w:val="0"/>
              <w:kinsoku/>
              <w:wordWrap/>
              <w:overflowPunct/>
              <w:topLinePunct w:val="0"/>
              <w:autoSpaceDE/>
              <w:autoSpaceDN/>
              <w:bidi w:val="0"/>
              <w:spacing w:before="68" w:line="320" w:lineRule="exact"/>
              <w:ind w:left="0" w:leftChars="0" w:firstLine="0" w:firstLineChars="0"/>
              <w:jc w:val="center"/>
              <w:rPr>
                <w:rFonts w:hint="eastAsia" w:ascii="仿宋_GB2312" w:hAnsi="仿宋_GB2312" w:eastAsia="仿宋_GB2312" w:cs="仿宋_GB2312"/>
                <w:spacing w:val="-8"/>
                <w:sz w:val="24"/>
                <w:szCs w:val="24"/>
                <w:lang w:val="en-US" w:eastAsia="zh-CN"/>
              </w:rPr>
            </w:pPr>
            <w:r>
              <w:rPr>
                <w:rFonts w:hint="eastAsia" w:ascii="仿宋_GB2312" w:hAnsi="仿宋_GB2312" w:eastAsia="仿宋_GB2312" w:cs="仿宋_GB2312"/>
                <w:spacing w:val="-8"/>
                <w:sz w:val="24"/>
                <w:szCs w:val="24"/>
                <w:lang w:val="en-US" w:eastAsia="zh-CN"/>
              </w:rPr>
              <w:t>116</w:t>
            </w:r>
          </w:p>
        </w:tc>
        <w:tc>
          <w:tcPr>
            <w:tcW w:w="2355" w:type="dxa"/>
            <w:shd w:val="clear" w:color="auto" w:fill="auto"/>
            <w:vAlign w:val="center"/>
          </w:tcPr>
          <w:p w14:paraId="14B20C61">
            <w:pPr>
              <w:keepNext w:val="0"/>
              <w:keepLines w:val="0"/>
              <w:pageBreakBefore w:val="0"/>
              <w:widowControl w:val="0"/>
              <w:kinsoku/>
              <w:wordWrap/>
              <w:overflowPunct/>
              <w:topLinePunct w:val="0"/>
              <w:autoSpaceDE/>
              <w:autoSpaceDN/>
              <w:bidi w:val="0"/>
              <w:spacing w:before="68" w:line="320" w:lineRule="exact"/>
              <w:ind w:left="240" w:leftChars="100" w:right="127" w:rightChars="53" w:firstLine="0" w:firstLineChars="0"/>
              <w:jc w:val="center"/>
              <w:rPr>
                <w:rFonts w:hint="eastAsia" w:ascii="宋体" w:hAnsi="宋体" w:eastAsia="宋体" w:cs="宋体"/>
                <w:spacing w:val="-8"/>
                <w:kern w:val="2"/>
                <w:sz w:val="21"/>
                <w:szCs w:val="21"/>
                <w:lang w:val="en-US" w:eastAsia="zh-CN" w:bidi="ar-SA"/>
              </w:rPr>
            </w:pPr>
            <w:r>
              <w:rPr>
                <w:rFonts w:hint="eastAsia" w:ascii="宋体" w:hAnsi="宋体" w:eastAsia="宋体" w:cs="宋体"/>
                <w:spacing w:val="-8"/>
                <w:sz w:val="21"/>
                <w:szCs w:val="21"/>
                <w:lang w:val="en-US" w:eastAsia="zh-CN"/>
              </w:rPr>
              <w:t>对贮存、拆解、利用、处置电子废物的作业场所不符合要求等行为的行政处罚</w:t>
            </w:r>
          </w:p>
        </w:tc>
        <w:tc>
          <w:tcPr>
            <w:tcW w:w="1094" w:type="dxa"/>
            <w:shd w:val="clear" w:color="auto" w:fill="auto"/>
            <w:vAlign w:val="center"/>
          </w:tcPr>
          <w:p w14:paraId="0C1CF84E">
            <w:pPr>
              <w:keepNext w:val="0"/>
              <w:keepLines w:val="0"/>
              <w:pageBreakBefore w:val="0"/>
              <w:widowControl w:val="0"/>
              <w:kinsoku/>
              <w:wordWrap/>
              <w:overflowPunct/>
              <w:topLinePunct w:val="0"/>
              <w:autoSpaceDE/>
              <w:autoSpaceDN/>
              <w:bidi w:val="0"/>
              <w:spacing w:before="68" w:line="320" w:lineRule="exact"/>
              <w:ind w:left="0" w:leftChars="0" w:firstLine="0" w:firstLineChars="0"/>
              <w:jc w:val="center"/>
              <w:rPr>
                <w:rFonts w:hint="eastAsia" w:ascii="仿宋_GB2312" w:hAnsi="仿宋_GB2312" w:eastAsia="仿宋_GB2312" w:cs="仿宋_GB2312"/>
                <w:spacing w:val="-8"/>
                <w:kern w:val="2"/>
                <w:sz w:val="24"/>
                <w:szCs w:val="24"/>
                <w:lang w:val="en-US" w:eastAsia="zh-CN" w:bidi="ar-SA"/>
              </w:rPr>
            </w:pPr>
            <w:r>
              <w:rPr>
                <w:rFonts w:hint="eastAsia" w:ascii="仿宋_GB2312" w:hAnsi="仿宋_GB2312" w:eastAsia="仿宋_GB2312" w:cs="仿宋_GB2312"/>
                <w:spacing w:val="-8"/>
                <w:sz w:val="24"/>
                <w:szCs w:val="24"/>
                <w:lang w:val="en-US" w:eastAsia="zh-CN"/>
              </w:rPr>
              <w:t>行政处罚</w:t>
            </w:r>
          </w:p>
        </w:tc>
        <w:tc>
          <w:tcPr>
            <w:tcW w:w="8317" w:type="dxa"/>
            <w:shd w:val="clear" w:color="auto" w:fill="auto"/>
            <w:vAlign w:val="top"/>
          </w:tcPr>
          <w:p w14:paraId="1B3C509D">
            <w:pPr>
              <w:keepNext w:val="0"/>
              <w:keepLines w:val="0"/>
              <w:pageBreakBefore w:val="0"/>
              <w:widowControl w:val="0"/>
              <w:suppressLineNumbers w:val="0"/>
              <w:kinsoku/>
              <w:wordWrap/>
              <w:overflowPunct/>
              <w:topLinePunct w:val="0"/>
              <w:autoSpaceDE/>
              <w:autoSpaceDN/>
              <w:bidi w:val="0"/>
              <w:adjustRightInd/>
              <w:snapToGrid/>
              <w:spacing w:after="0" w:afterLines="-2147483648" w:line="320" w:lineRule="exact"/>
              <w:ind w:left="240" w:leftChars="100" w:firstLine="420" w:firstLineChars="200"/>
              <w:jc w:val="both"/>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电子废物污染环境防治管理办法》第二十一条违反本办法规定，有下列行为之一的，由所在地县级以上人民政府环境保护行政主管部门责令限期整改，并处3万元以下罚款：（一)将未完全拆解、利用或者处置的电子废物提供或者委托给列入名录（包括临时名录）且具有相应经营范围的拆解利用处置单位（包括个体工商户）以外的单位或者个人从事拆解、利用、处置活动的；（二）拆解、利用和处置电子废物不符合有关电子废物污染防治的相关标准、技术规范和技术政策的要求，或者违反本办法规定的禁止性技术、工艺、设备要求的；（三）贮存、拆解、利用、处置电子废物的作业场所不符合要求的；（四）未按规定记录经营情况、日常环境监测数据、所产生工业电子废物的有关情况等，或者环境监测数据、经营情况记录弄虚作假的；（五）未按培训制度和计划进行培训的；（六）贮存电子废物超过一年的。</w:t>
            </w:r>
          </w:p>
        </w:tc>
        <w:tc>
          <w:tcPr>
            <w:tcW w:w="1129" w:type="dxa"/>
          </w:tcPr>
          <w:p w14:paraId="77D3CF37">
            <w:pPr>
              <w:keepNext w:val="0"/>
              <w:keepLines w:val="0"/>
              <w:pageBreakBefore w:val="0"/>
              <w:widowControl w:val="0"/>
              <w:kinsoku/>
              <w:wordWrap/>
              <w:overflowPunct/>
              <w:topLinePunct w:val="0"/>
              <w:autoSpaceDE/>
              <w:autoSpaceDN/>
              <w:bidi w:val="0"/>
              <w:spacing w:before="69" w:line="320" w:lineRule="exact"/>
              <w:ind w:left="49" w:leftChars="0" w:right="26" w:rightChars="0" w:firstLine="404" w:firstLineChars="200"/>
              <w:rPr>
                <w:rFonts w:ascii="宋体" w:hAnsi="宋体" w:eastAsia="宋体" w:cs="宋体"/>
                <w:spacing w:val="-4"/>
                <w:sz w:val="21"/>
                <w:szCs w:val="21"/>
              </w:rPr>
            </w:pPr>
          </w:p>
        </w:tc>
        <w:tc>
          <w:tcPr>
            <w:tcW w:w="990" w:type="dxa"/>
            <w:gridSpan w:val="2"/>
          </w:tcPr>
          <w:p w14:paraId="3CA2AC3C">
            <w:pPr>
              <w:keepNext w:val="0"/>
              <w:keepLines w:val="0"/>
              <w:pageBreakBefore w:val="0"/>
              <w:widowControl w:val="0"/>
              <w:kinsoku/>
              <w:wordWrap/>
              <w:overflowPunct/>
              <w:topLinePunct w:val="0"/>
              <w:autoSpaceDE/>
              <w:autoSpaceDN/>
              <w:bidi w:val="0"/>
              <w:spacing w:before="69" w:line="320" w:lineRule="exact"/>
              <w:ind w:left="204" w:leftChars="0" w:right="59" w:rightChars="0" w:firstLine="404" w:firstLineChars="200"/>
              <w:rPr>
                <w:rFonts w:ascii="宋体" w:hAnsi="宋体" w:eastAsia="宋体" w:cs="宋体"/>
                <w:spacing w:val="-4"/>
                <w:sz w:val="21"/>
                <w:szCs w:val="21"/>
              </w:rPr>
            </w:pPr>
          </w:p>
        </w:tc>
      </w:tr>
      <w:tr w14:paraId="133383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6" w:hRule="atLeast"/>
        </w:trPr>
        <w:tc>
          <w:tcPr>
            <w:tcW w:w="557" w:type="dxa"/>
            <w:shd w:val="clear" w:color="auto" w:fill="auto"/>
            <w:vAlign w:val="center"/>
          </w:tcPr>
          <w:p w14:paraId="144416F6">
            <w:pPr>
              <w:keepNext w:val="0"/>
              <w:keepLines w:val="0"/>
              <w:pageBreakBefore w:val="0"/>
              <w:widowControl w:val="0"/>
              <w:kinsoku/>
              <w:wordWrap/>
              <w:overflowPunct/>
              <w:topLinePunct w:val="0"/>
              <w:autoSpaceDE/>
              <w:autoSpaceDN/>
              <w:bidi w:val="0"/>
              <w:spacing w:before="68" w:line="320" w:lineRule="exact"/>
              <w:ind w:left="0" w:leftChars="0" w:firstLine="0" w:firstLineChars="0"/>
              <w:jc w:val="center"/>
              <w:rPr>
                <w:rFonts w:hint="eastAsia" w:ascii="仿宋_GB2312" w:hAnsi="仿宋_GB2312" w:eastAsia="仿宋_GB2312" w:cs="仿宋_GB2312"/>
                <w:spacing w:val="-8"/>
                <w:sz w:val="24"/>
                <w:szCs w:val="24"/>
                <w:lang w:val="en-US" w:eastAsia="zh-CN"/>
              </w:rPr>
            </w:pPr>
            <w:r>
              <w:rPr>
                <w:rFonts w:hint="eastAsia" w:ascii="仿宋_GB2312" w:hAnsi="仿宋_GB2312" w:eastAsia="仿宋_GB2312" w:cs="仿宋_GB2312"/>
                <w:spacing w:val="-8"/>
                <w:sz w:val="24"/>
                <w:szCs w:val="24"/>
                <w:lang w:val="en-US" w:eastAsia="zh-CN"/>
              </w:rPr>
              <w:t>117</w:t>
            </w:r>
          </w:p>
        </w:tc>
        <w:tc>
          <w:tcPr>
            <w:tcW w:w="2355" w:type="dxa"/>
            <w:shd w:val="clear" w:color="auto" w:fill="auto"/>
            <w:vAlign w:val="center"/>
          </w:tcPr>
          <w:p w14:paraId="3586E5A6">
            <w:pPr>
              <w:keepNext w:val="0"/>
              <w:keepLines w:val="0"/>
              <w:pageBreakBefore w:val="0"/>
              <w:widowControl w:val="0"/>
              <w:kinsoku/>
              <w:wordWrap/>
              <w:overflowPunct/>
              <w:topLinePunct w:val="0"/>
              <w:autoSpaceDE/>
              <w:autoSpaceDN/>
              <w:bidi w:val="0"/>
              <w:spacing w:before="68" w:line="320" w:lineRule="exact"/>
              <w:ind w:left="240" w:leftChars="100" w:right="127" w:rightChars="53" w:firstLine="0" w:firstLineChars="0"/>
              <w:jc w:val="center"/>
              <w:rPr>
                <w:rFonts w:hint="eastAsia" w:ascii="宋体" w:hAnsi="宋体" w:eastAsia="宋体" w:cs="宋体"/>
                <w:spacing w:val="-8"/>
                <w:kern w:val="2"/>
                <w:sz w:val="21"/>
                <w:szCs w:val="21"/>
                <w:lang w:val="en-US" w:eastAsia="zh-CN" w:bidi="ar-SA"/>
              </w:rPr>
            </w:pPr>
            <w:r>
              <w:rPr>
                <w:rFonts w:hint="eastAsia" w:ascii="宋体" w:hAnsi="宋体" w:eastAsia="宋体" w:cs="宋体"/>
                <w:spacing w:val="-8"/>
                <w:sz w:val="21"/>
                <w:szCs w:val="21"/>
                <w:lang w:val="en-US" w:eastAsia="zh-CN"/>
              </w:rPr>
              <w:t>对从事畜禽规模养殖未按照国家有关规定收集、贮存、处置畜禽粪便，造成环境污染的行政处罚</w:t>
            </w:r>
          </w:p>
        </w:tc>
        <w:tc>
          <w:tcPr>
            <w:tcW w:w="1094" w:type="dxa"/>
            <w:shd w:val="clear" w:color="auto" w:fill="auto"/>
            <w:vAlign w:val="center"/>
          </w:tcPr>
          <w:p w14:paraId="7DB0EFA5">
            <w:pPr>
              <w:keepNext w:val="0"/>
              <w:keepLines w:val="0"/>
              <w:pageBreakBefore w:val="0"/>
              <w:widowControl w:val="0"/>
              <w:kinsoku/>
              <w:wordWrap/>
              <w:overflowPunct/>
              <w:topLinePunct w:val="0"/>
              <w:autoSpaceDE/>
              <w:autoSpaceDN/>
              <w:bidi w:val="0"/>
              <w:spacing w:before="68" w:line="320" w:lineRule="exact"/>
              <w:ind w:left="0" w:leftChars="0" w:firstLine="0" w:firstLineChars="0"/>
              <w:jc w:val="center"/>
              <w:rPr>
                <w:rFonts w:hint="eastAsia" w:ascii="仿宋_GB2312" w:hAnsi="仿宋_GB2312" w:eastAsia="仿宋_GB2312" w:cs="仿宋_GB2312"/>
                <w:spacing w:val="-8"/>
                <w:kern w:val="2"/>
                <w:sz w:val="24"/>
                <w:szCs w:val="24"/>
                <w:lang w:val="en-US" w:eastAsia="zh-CN" w:bidi="ar-SA"/>
              </w:rPr>
            </w:pPr>
            <w:r>
              <w:rPr>
                <w:rFonts w:hint="eastAsia" w:ascii="仿宋_GB2312" w:hAnsi="仿宋_GB2312" w:eastAsia="仿宋_GB2312" w:cs="仿宋_GB2312"/>
                <w:spacing w:val="-8"/>
                <w:sz w:val="24"/>
                <w:szCs w:val="24"/>
                <w:lang w:val="en-US" w:eastAsia="zh-CN"/>
              </w:rPr>
              <w:t>行政处罚</w:t>
            </w:r>
          </w:p>
        </w:tc>
        <w:tc>
          <w:tcPr>
            <w:tcW w:w="8317" w:type="dxa"/>
            <w:shd w:val="clear" w:color="auto" w:fill="auto"/>
            <w:vAlign w:val="top"/>
          </w:tcPr>
          <w:p w14:paraId="4B5D1581">
            <w:pPr>
              <w:keepNext w:val="0"/>
              <w:keepLines w:val="0"/>
              <w:pageBreakBefore w:val="0"/>
              <w:widowControl w:val="0"/>
              <w:suppressLineNumbers w:val="0"/>
              <w:kinsoku/>
              <w:wordWrap/>
              <w:overflowPunct/>
              <w:topLinePunct w:val="0"/>
              <w:autoSpaceDE/>
              <w:autoSpaceDN/>
              <w:bidi w:val="0"/>
              <w:adjustRightInd/>
              <w:snapToGrid/>
              <w:spacing w:after="0" w:afterLines="-2147483648" w:line="320" w:lineRule="exact"/>
              <w:ind w:left="240" w:leftChars="100" w:firstLine="420" w:firstLineChars="200"/>
              <w:jc w:val="both"/>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中华人民共和国固体废物污染环境防治法》第一百零七条从事畜禽规模养殖未及时收集、贮存、利用或者处置养殖过程中产生的畜禽粪污等固体废物的，由生态环境主管部门责令改正，可以处十万元以下的罚款；情节严重的，报经有批准权的人民政府批准，责令停业或者关闭。</w:t>
            </w:r>
          </w:p>
        </w:tc>
        <w:tc>
          <w:tcPr>
            <w:tcW w:w="1129" w:type="dxa"/>
          </w:tcPr>
          <w:p w14:paraId="1F76BC83">
            <w:pPr>
              <w:keepNext w:val="0"/>
              <w:keepLines w:val="0"/>
              <w:pageBreakBefore w:val="0"/>
              <w:widowControl w:val="0"/>
              <w:kinsoku/>
              <w:wordWrap/>
              <w:overflowPunct/>
              <w:topLinePunct w:val="0"/>
              <w:autoSpaceDE/>
              <w:autoSpaceDN/>
              <w:bidi w:val="0"/>
              <w:spacing w:before="69" w:line="320" w:lineRule="exact"/>
              <w:ind w:left="49" w:leftChars="0" w:right="26" w:rightChars="0" w:firstLine="404" w:firstLineChars="200"/>
              <w:rPr>
                <w:rFonts w:ascii="宋体" w:hAnsi="宋体" w:eastAsia="宋体" w:cs="宋体"/>
                <w:spacing w:val="-4"/>
                <w:sz w:val="21"/>
                <w:szCs w:val="21"/>
              </w:rPr>
            </w:pPr>
          </w:p>
        </w:tc>
        <w:tc>
          <w:tcPr>
            <w:tcW w:w="990" w:type="dxa"/>
            <w:gridSpan w:val="2"/>
          </w:tcPr>
          <w:p w14:paraId="27E94378">
            <w:pPr>
              <w:keepNext w:val="0"/>
              <w:keepLines w:val="0"/>
              <w:pageBreakBefore w:val="0"/>
              <w:widowControl w:val="0"/>
              <w:kinsoku/>
              <w:wordWrap/>
              <w:overflowPunct/>
              <w:topLinePunct w:val="0"/>
              <w:autoSpaceDE/>
              <w:autoSpaceDN/>
              <w:bidi w:val="0"/>
              <w:spacing w:before="69" w:line="320" w:lineRule="exact"/>
              <w:ind w:left="204" w:leftChars="0" w:right="59" w:rightChars="0" w:firstLine="404" w:firstLineChars="200"/>
              <w:rPr>
                <w:rFonts w:ascii="宋体" w:hAnsi="宋体" w:eastAsia="宋体" w:cs="宋体"/>
                <w:spacing w:val="-4"/>
                <w:sz w:val="21"/>
                <w:szCs w:val="21"/>
              </w:rPr>
            </w:pPr>
          </w:p>
        </w:tc>
      </w:tr>
      <w:tr w14:paraId="3CA843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6" w:hRule="atLeast"/>
        </w:trPr>
        <w:tc>
          <w:tcPr>
            <w:tcW w:w="557" w:type="dxa"/>
            <w:shd w:val="clear" w:color="auto" w:fill="auto"/>
            <w:vAlign w:val="center"/>
          </w:tcPr>
          <w:p w14:paraId="1E0FC7F5">
            <w:pPr>
              <w:keepNext w:val="0"/>
              <w:keepLines w:val="0"/>
              <w:pageBreakBefore w:val="0"/>
              <w:widowControl w:val="0"/>
              <w:kinsoku/>
              <w:wordWrap/>
              <w:overflowPunct/>
              <w:topLinePunct w:val="0"/>
              <w:autoSpaceDE/>
              <w:autoSpaceDN/>
              <w:bidi w:val="0"/>
              <w:spacing w:before="68" w:line="320" w:lineRule="exact"/>
              <w:ind w:left="0" w:leftChars="0" w:firstLine="0" w:firstLineChars="0"/>
              <w:jc w:val="center"/>
              <w:rPr>
                <w:rFonts w:hint="eastAsia" w:ascii="仿宋_GB2312" w:hAnsi="仿宋_GB2312" w:eastAsia="仿宋_GB2312" w:cs="仿宋_GB2312"/>
                <w:spacing w:val="-8"/>
                <w:sz w:val="24"/>
                <w:szCs w:val="24"/>
                <w:lang w:val="en-US" w:eastAsia="zh-CN"/>
              </w:rPr>
            </w:pPr>
            <w:r>
              <w:rPr>
                <w:rFonts w:hint="eastAsia" w:ascii="仿宋_GB2312" w:hAnsi="仿宋_GB2312" w:eastAsia="仿宋_GB2312" w:cs="仿宋_GB2312"/>
                <w:spacing w:val="-8"/>
                <w:sz w:val="24"/>
                <w:szCs w:val="24"/>
                <w:lang w:val="en-US" w:eastAsia="zh-CN"/>
              </w:rPr>
              <w:t>118</w:t>
            </w:r>
          </w:p>
        </w:tc>
        <w:tc>
          <w:tcPr>
            <w:tcW w:w="2355" w:type="dxa"/>
            <w:shd w:val="clear" w:color="auto" w:fill="auto"/>
            <w:vAlign w:val="center"/>
          </w:tcPr>
          <w:p w14:paraId="0475DE36">
            <w:pPr>
              <w:keepNext w:val="0"/>
              <w:keepLines w:val="0"/>
              <w:pageBreakBefore w:val="0"/>
              <w:widowControl w:val="0"/>
              <w:kinsoku/>
              <w:wordWrap/>
              <w:overflowPunct/>
              <w:topLinePunct w:val="0"/>
              <w:autoSpaceDE/>
              <w:autoSpaceDN/>
              <w:bidi w:val="0"/>
              <w:spacing w:before="68" w:line="320" w:lineRule="exact"/>
              <w:ind w:left="240" w:leftChars="100" w:right="127" w:rightChars="53" w:firstLine="0" w:firstLineChars="0"/>
              <w:jc w:val="center"/>
              <w:rPr>
                <w:rFonts w:hint="eastAsia" w:ascii="宋体" w:hAnsi="宋体" w:eastAsia="宋体" w:cs="宋体"/>
                <w:spacing w:val="-8"/>
                <w:kern w:val="2"/>
                <w:sz w:val="21"/>
                <w:szCs w:val="21"/>
                <w:lang w:val="en-US" w:eastAsia="zh-CN" w:bidi="ar-SA"/>
              </w:rPr>
            </w:pPr>
            <w:r>
              <w:rPr>
                <w:rFonts w:hint="eastAsia" w:ascii="宋体" w:hAnsi="宋体" w:eastAsia="宋体" w:cs="宋体"/>
                <w:spacing w:val="-8"/>
                <w:sz w:val="21"/>
                <w:szCs w:val="21"/>
                <w:lang w:val="en-US" w:eastAsia="zh-CN"/>
              </w:rPr>
              <w:t>对在禁止养殖区域内建设畜禽养殖场、养殖小区的行政处罚</w:t>
            </w:r>
          </w:p>
        </w:tc>
        <w:tc>
          <w:tcPr>
            <w:tcW w:w="1094" w:type="dxa"/>
            <w:shd w:val="clear" w:color="auto" w:fill="auto"/>
            <w:vAlign w:val="center"/>
          </w:tcPr>
          <w:p w14:paraId="522EF006">
            <w:pPr>
              <w:keepNext w:val="0"/>
              <w:keepLines w:val="0"/>
              <w:pageBreakBefore w:val="0"/>
              <w:widowControl w:val="0"/>
              <w:kinsoku/>
              <w:wordWrap/>
              <w:overflowPunct/>
              <w:topLinePunct w:val="0"/>
              <w:autoSpaceDE/>
              <w:autoSpaceDN/>
              <w:bidi w:val="0"/>
              <w:spacing w:before="68" w:line="320" w:lineRule="exact"/>
              <w:ind w:left="0" w:leftChars="0" w:firstLine="0" w:firstLineChars="0"/>
              <w:jc w:val="center"/>
              <w:rPr>
                <w:rFonts w:hint="eastAsia" w:ascii="仿宋_GB2312" w:hAnsi="仿宋_GB2312" w:eastAsia="仿宋_GB2312" w:cs="仿宋_GB2312"/>
                <w:spacing w:val="-8"/>
                <w:kern w:val="2"/>
                <w:sz w:val="24"/>
                <w:szCs w:val="24"/>
                <w:lang w:val="en-US" w:eastAsia="zh-CN" w:bidi="ar-SA"/>
              </w:rPr>
            </w:pPr>
            <w:r>
              <w:rPr>
                <w:rFonts w:hint="eastAsia" w:ascii="仿宋_GB2312" w:hAnsi="仿宋_GB2312" w:eastAsia="仿宋_GB2312" w:cs="仿宋_GB2312"/>
                <w:spacing w:val="-8"/>
                <w:sz w:val="24"/>
                <w:szCs w:val="24"/>
                <w:lang w:val="en-US" w:eastAsia="zh-CN"/>
              </w:rPr>
              <w:t>行政处罚</w:t>
            </w:r>
          </w:p>
        </w:tc>
        <w:tc>
          <w:tcPr>
            <w:tcW w:w="8317" w:type="dxa"/>
            <w:shd w:val="clear" w:color="auto" w:fill="auto"/>
            <w:vAlign w:val="top"/>
          </w:tcPr>
          <w:p w14:paraId="05B32C85">
            <w:pPr>
              <w:keepNext w:val="0"/>
              <w:keepLines w:val="0"/>
              <w:pageBreakBefore w:val="0"/>
              <w:widowControl w:val="0"/>
              <w:suppressLineNumbers w:val="0"/>
              <w:kinsoku/>
              <w:wordWrap/>
              <w:overflowPunct/>
              <w:topLinePunct w:val="0"/>
              <w:autoSpaceDE/>
              <w:autoSpaceDN/>
              <w:bidi w:val="0"/>
              <w:adjustRightInd/>
              <w:snapToGrid/>
              <w:spacing w:after="0" w:afterLines="-2147483648" w:line="320" w:lineRule="exact"/>
              <w:ind w:left="240" w:leftChars="100" w:firstLine="420" w:firstLineChars="200"/>
              <w:jc w:val="both"/>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畜禽规模养殖污染防治条例》第三十七条违反本条例规定，在禁止养殖区域内建设畜禽养殖场、养殖小区的，由县级以上地方人民政府环境保护主管部门责令停止违法行为；拒不停止违法行为的，处3万元以上10万元以下的罚款，并报县级以上人民政府责令拆除或者关闭。在饮用水水源保护区建设畜禽养殖场、养殖小区的，由县级以上地方人民政府环境保护主管部门责令停止违法行为，处10万元以上50万元以下的罚款，并报经有批准权的人民政府批准，责令拆除或者关闭。</w:t>
            </w:r>
          </w:p>
        </w:tc>
        <w:tc>
          <w:tcPr>
            <w:tcW w:w="1129" w:type="dxa"/>
          </w:tcPr>
          <w:p w14:paraId="7C911185">
            <w:pPr>
              <w:keepNext w:val="0"/>
              <w:keepLines w:val="0"/>
              <w:pageBreakBefore w:val="0"/>
              <w:widowControl w:val="0"/>
              <w:kinsoku/>
              <w:wordWrap/>
              <w:overflowPunct/>
              <w:topLinePunct w:val="0"/>
              <w:autoSpaceDE/>
              <w:autoSpaceDN/>
              <w:bidi w:val="0"/>
              <w:spacing w:before="69" w:line="320" w:lineRule="exact"/>
              <w:ind w:left="49" w:leftChars="0" w:right="26" w:rightChars="0" w:firstLine="404" w:firstLineChars="200"/>
              <w:rPr>
                <w:rFonts w:ascii="宋体" w:hAnsi="宋体" w:eastAsia="宋体" w:cs="宋体"/>
                <w:spacing w:val="-4"/>
                <w:sz w:val="21"/>
                <w:szCs w:val="21"/>
              </w:rPr>
            </w:pPr>
          </w:p>
        </w:tc>
        <w:tc>
          <w:tcPr>
            <w:tcW w:w="990" w:type="dxa"/>
            <w:gridSpan w:val="2"/>
          </w:tcPr>
          <w:p w14:paraId="776C8E9C">
            <w:pPr>
              <w:keepNext w:val="0"/>
              <w:keepLines w:val="0"/>
              <w:pageBreakBefore w:val="0"/>
              <w:widowControl w:val="0"/>
              <w:kinsoku/>
              <w:wordWrap/>
              <w:overflowPunct/>
              <w:topLinePunct w:val="0"/>
              <w:autoSpaceDE/>
              <w:autoSpaceDN/>
              <w:bidi w:val="0"/>
              <w:spacing w:before="69" w:line="320" w:lineRule="exact"/>
              <w:ind w:left="204" w:leftChars="0" w:right="59" w:rightChars="0" w:firstLine="404" w:firstLineChars="200"/>
              <w:rPr>
                <w:rFonts w:ascii="宋体" w:hAnsi="宋体" w:eastAsia="宋体" w:cs="宋体"/>
                <w:spacing w:val="-4"/>
                <w:sz w:val="21"/>
                <w:szCs w:val="21"/>
              </w:rPr>
            </w:pPr>
          </w:p>
        </w:tc>
      </w:tr>
      <w:tr w14:paraId="065707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6" w:hRule="atLeast"/>
        </w:trPr>
        <w:tc>
          <w:tcPr>
            <w:tcW w:w="557" w:type="dxa"/>
            <w:shd w:val="clear" w:color="auto" w:fill="auto"/>
            <w:vAlign w:val="center"/>
          </w:tcPr>
          <w:p w14:paraId="1FAA724B">
            <w:pPr>
              <w:keepNext w:val="0"/>
              <w:keepLines w:val="0"/>
              <w:pageBreakBefore w:val="0"/>
              <w:widowControl w:val="0"/>
              <w:kinsoku/>
              <w:wordWrap/>
              <w:overflowPunct/>
              <w:topLinePunct w:val="0"/>
              <w:autoSpaceDE/>
              <w:autoSpaceDN/>
              <w:bidi w:val="0"/>
              <w:spacing w:before="68" w:line="320" w:lineRule="exact"/>
              <w:ind w:left="0" w:leftChars="0" w:firstLine="0" w:firstLineChars="0"/>
              <w:jc w:val="center"/>
              <w:rPr>
                <w:rFonts w:hint="eastAsia" w:ascii="仿宋_GB2312" w:hAnsi="仿宋_GB2312" w:eastAsia="仿宋_GB2312" w:cs="仿宋_GB2312"/>
                <w:spacing w:val="-8"/>
                <w:sz w:val="24"/>
                <w:szCs w:val="24"/>
                <w:lang w:val="en-US" w:eastAsia="zh-CN"/>
              </w:rPr>
            </w:pPr>
            <w:r>
              <w:rPr>
                <w:rFonts w:hint="eastAsia" w:ascii="仿宋_GB2312" w:hAnsi="仿宋_GB2312" w:eastAsia="仿宋_GB2312" w:cs="仿宋_GB2312"/>
                <w:spacing w:val="-8"/>
                <w:sz w:val="24"/>
                <w:szCs w:val="24"/>
                <w:lang w:val="en-US" w:eastAsia="zh-CN"/>
              </w:rPr>
              <w:t>119</w:t>
            </w:r>
          </w:p>
        </w:tc>
        <w:tc>
          <w:tcPr>
            <w:tcW w:w="2355" w:type="dxa"/>
            <w:shd w:val="clear" w:color="auto" w:fill="auto"/>
            <w:vAlign w:val="center"/>
          </w:tcPr>
          <w:p w14:paraId="589D7B19">
            <w:pPr>
              <w:keepNext w:val="0"/>
              <w:keepLines w:val="0"/>
              <w:pageBreakBefore w:val="0"/>
              <w:widowControl w:val="0"/>
              <w:kinsoku/>
              <w:wordWrap/>
              <w:overflowPunct/>
              <w:topLinePunct w:val="0"/>
              <w:autoSpaceDE/>
              <w:autoSpaceDN/>
              <w:bidi w:val="0"/>
              <w:spacing w:before="68" w:line="320" w:lineRule="exact"/>
              <w:ind w:left="240" w:leftChars="100" w:right="127" w:rightChars="53" w:firstLine="0" w:firstLineChars="0"/>
              <w:jc w:val="center"/>
              <w:rPr>
                <w:rFonts w:hint="eastAsia" w:ascii="宋体" w:hAnsi="宋体" w:eastAsia="宋体" w:cs="宋体"/>
                <w:spacing w:val="-8"/>
                <w:kern w:val="2"/>
                <w:sz w:val="21"/>
                <w:szCs w:val="21"/>
                <w:lang w:val="en-US" w:eastAsia="zh-CN" w:bidi="ar-SA"/>
              </w:rPr>
            </w:pPr>
            <w:r>
              <w:rPr>
                <w:rFonts w:hint="eastAsia" w:ascii="宋体" w:hAnsi="宋体" w:eastAsia="宋体" w:cs="宋体"/>
                <w:spacing w:val="-8"/>
                <w:sz w:val="21"/>
                <w:szCs w:val="21"/>
                <w:lang w:val="en-US" w:eastAsia="zh-CN"/>
              </w:rPr>
              <w:t>对未建设畜禽养殖污染防治配套设施等行为的行政处罚</w:t>
            </w:r>
          </w:p>
        </w:tc>
        <w:tc>
          <w:tcPr>
            <w:tcW w:w="1094" w:type="dxa"/>
            <w:shd w:val="clear" w:color="auto" w:fill="auto"/>
            <w:vAlign w:val="center"/>
          </w:tcPr>
          <w:p w14:paraId="007C4681">
            <w:pPr>
              <w:keepNext w:val="0"/>
              <w:keepLines w:val="0"/>
              <w:pageBreakBefore w:val="0"/>
              <w:widowControl w:val="0"/>
              <w:kinsoku/>
              <w:wordWrap/>
              <w:overflowPunct/>
              <w:topLinePunct w:val="0"/>
              <w:autoSpaceDE/>
              <w:autoSpaceDN/>
              <w:bidi w:val="0"/>
              <w:spacing w:before="68" w:line="320" w:lineRule="exact"/>
              <w:ind w:left="0" w:leftChars="0" w:firstLine="0" w:firstLineChars="0"/>
              <w:jc w:val="center"/>
              <w:rPr>
                <w:rFonts w:hint="eastAsia" w:ascii="仿宋_GB2312" w:hAnsi="仿宋_GB2312" w:eastAsia="仿宋_GB2312" w:cs="仿宋_GB2312"/>
                <w:spacing w:val="-8"/>
                <w:kern w:val="2"/>
                <w:sz w:val="24"/>
                <w:szCs w:val="24"/>
                <w:lang w:val="en-US" w:eastAsia="zh-CN" w:bidi="ar-SA"/>
              </w:rPr>
            </w:pPr>
            <w:r>
              <w:rPr>
                <w:rFonts w:hint="eastAsia" w:ascii="仿宋_GB2312" w:hAnsi="仿宋_GB2312" w:eastAsia="仿宋_GB2312" w:cs="仿宋_GB2312"/>
                <w:spacing w:val="-8"/>
                <w:sz w:val="24"/>
                <w:szCs w:val="24"/>
                <w:lang w:val="en-US" w:eastAsia="zh-CN"/>
              </w:rPr>
              <w:t>行政处罚</w:t>
            </w:r>
          </w:p>
        </w:tc>
        <w:tc>
          <w:tcPr>
            <w:tcW w:w="8317" w:type="dxa"/>
            <w:shd w:val="clear" w:color="auto" w:fill="auto"/>
            <w:vAlign w:val="top"/>
          </w:tcPr>
          <w:p w14:paraId="7EEFE94A">
            <w:pPr>
              <w:keepNext w:val="0"/>
              <w:keepLines w:val="0"/>
              <w:pageBreakBefore w:val="0"/>
              <w:widowControl w:val="0"/>
              <w:suppressLineNumbers w:val="0"/>
              <w:kinsoku/>
              <w:wordWrap/>
              <w:overflowPunct/>
              <w:topLinePunct w:val="0"/>
              <w:autoSpaceDE/>
              <w:autoSpaceDN/>
              <w:bidi w:val="0"/>
              <w:adjustRightInd/>
              <w:snapToGrid/>
              <w:spacing w:after="0" w:afterLines="-2147483648" w:line="320" w:lineRule="exact"/>
              <w:ind w:left="240" w:leftChars="100" w:firstLine="420" w:firstLineChars="200"/>
              <w:jc w:val="both"/>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畜禽规模养殖污染防治条例》第三十九条违反本条例规定，未建设污染防治配套设施或者自行建设的配套设施不合格，也未委托他人对畜禽养殖废弃物进行综合利用和无害化处理，畜禽养殖场、养殖小区即投入生产、使用，或者建设的污染防治配套设施未正常运行的，由县级以上人民政府环境保护主管部门责令停止生产或者使用，可以处10万元以下的罚款。</w:t>
            </w:r>
          </w:p>
        </w:tc>
        <w:tc>
          <w:tcPr>
            <w:tcW w:w="1129" w:type="dxa"/>
          </w:tcPr>
          <w:p w14:paraId="1F8B18C4">
            <w:pPr>
              <w:keepNext w:val="0"/>
              <w:keepLines w:val="0"/>
              <w:pageBreakBefore w:val="0"/>
              <w:widowControl w:val="0"/>
              <w:kinsoku/>
              <w:wordWrap/>
              <w:overflowPunct/>
              <w:topLinePunct w:val="0"/>
              <w:autoSpaceDE/>
              <w:autoSpaceDN/>
              <w:bidi w:val="0"/>
              <w:spacing w:before="69" w:line="320" w:lineRule="exact"/>
              <w:ind w:left="49" w:leftChars="0" w:right="26" w:rightChars="0" w:firstLine="404" w:firstLineChars="200"/>
              <w:rPr>
                <w:rFonts w:ascii="宋体" w:hAnsi="宋体" w:eastAsia="宋体" w:cs="宋体"/>
                <w:spacing w:val="-4"/>
                <w:sz w:val="21"/>
                <w:szCs w:val="21"/>
              </w:rPr>
            </w:pPr>
          </w:p>
        </w:tc>
        <w:tc>
          <w:tcPr>
            <w:tcW w:w="990" w:type="dxa"/>
            <w:gridSpan w:val="2"/>
          </w:tcPr>
          <w:p w14:paraId="2D4029E2">
            <w:pPr>
              <w:keepNext w:val="0"/>
              <w:keepLines w:val="0"/>
              <w:pageBreakBefore w:val="0"/>
              <w:widowControl w:val="0"/>
              <w:kinsoku/>
              <w:wordWrap/>
              <w:overflowPunct/>
              <w:topLinePunct w:val="0"/>
              <w:autoSpaceDE/>
              <w:autoSpaceDN/>
              <w:bidi w:val="0"/>
              <w:spacing w:before="69" w:line="320" w:lineRule="exact"/>
              <w:ind w:left="204" w:leftChars="0" w:right="59" w:rightChars="0" w:firstLine="404" w:firstLineChars="200"/>
              <w:rPr>
                <w:rFonts w:ascii="宋体" w:hAnsi="宋体" w:eastAsia="宋体" w:cs="宋体"/>
                <w:spacing w:val="-4"/>
                <w:sz w:val="21"/>
                <w:szCs w:val="21"/>
              </w:rPr>
            </w:pPr>
          </w:p>
        </w:tc>
      </w:tr>
      <w:tr w14:paraId="4EA814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6" w:hRule="atLeast"/>
        </w:trPr>
        <w:tc>
          <w:tcPr>
            <w:tcW w:w="557" w:type="dxa"/>
            <w:shd w:val="clear" w:color="auto" w:fill="auto"/>
            <w:vAlign w:val="center"/>
          </w:tcPr>
          <w:p w14:paraId="29719ED5">
            <w:pPr>
              <w:keepNext w:val="0"/>
              <w:keepLines w:val="0"/>
              <w:pageBreakBefore w:val="0"/>
              <w:widowControl w:val="0"/>
              <w:kinsoku/>
              <w:wordWrap/>
              <w:overflowPunct/>
              <w:topLinePunct w:val="0"/>
              <w:autoSpaceDE/>
              <w:autoSpaceDN/>
              <w:bidi w:val="0"/>
              <w:spacing w:before="68" w:line="320" w:lineRule="exact"/>
              <w:ind w:left="0" w:leftChars="0" w:firstLine="0" w:firstLineChars="0"/>
              <w:jc w:val="center"/>
              <w:rPr>
                <w:rFonts w:hint="eastAsia" w:ascii="仿宋_GB2312" w:hAnsi="仿宋_GB2312" w:eastAsia="仿宋_GB2312" w:cs="仿宋_GB2312"/>
                <w:spacing w:val="-8"/>
                <w:sz w:val="24"/>
                <w:szCs w:val="24"/>
                <w:lang w:val="en-US" w:eastAsia="zh-CN"/>
              </w:rPr>
            </w:pPr>
            <w:r>
              <w:rPr>
                <w:rFonts w:hint="eastAsia" w:ascii="仿宋_GB2312" w:hAnsi="仿宋_GB2312" w:eastAsia="仿宋_GB2312" w:cs="仿宋_GB2312"/>
                <w:spacing w:val="-8"/>
                <w:sz w:val="24"/>
                <w:szCs w:val="24"/>
                <w:lang w:val="en-US" w:eastAsia="zh-CN"/>
              </w:rPr>
              <w:t>120</w:t>
            </w:r>
          </w:p>
        </w:tc>
        <w:tc>
          <w:tcPr>
            <w:tcW w:w="2355" w:type="dxa"/>
            <w:shd w:val="clear" w:color="auto" w:fill="auto"/>
            <w:vAlign w:val="center"/>
          </w:tcPr>
          <w:p w14:paraId="4363B617">
            <w:pPr>
              <w:keepNext w:val="0"/>
              <w:keepLines w:val="0"/>
              <w:pageBreakBefore w:val="0"/>
              <w:widowControl w:val="0"/>
              <w:kinsoku/>
              <w:wordWrap/>
              <w:overflowPunct/>
              <w:topLinePunct w:val="0"/>
              <w:autoSpaceDE/>
              <w:autoSpaceDN/>
              <w:bidi w:val="0"/>
              <w:spacing w:before="68" w:line="320" w:lineRule="exact"/>
              <w:ind w:left="240" w:leftChars="100" w:right="127" w:rightChars="53" w:firstLine="0" w:firstLineChars="0"/>
              <w:jc w:val="center"/>
              <w:rPr>
                <w:rFonts w:hint="eastAsia" w:ascii="宋体" w:hAnsi="宋体" w:eastAsia="宋体" w:cs="宋体"/>
                <w:spacing w:val="-8"/>
                <w:kern w:val="2"/>
                <w:sz w:val="21"/>
                <w:szCs w:val="21"/>
                <w:lang w:val="en-US" w:eastAsia="zh-CN" w:bidi="ar-SA"/>
              </w:rPr>
            </w:pPr>
            <w:r>
              <w:rPr>
                <w:rFonts w:hint="eastAsia" w:ascii="宋体" w:hAnsi="宋体" w:eastAsia="宋体" w:cs="宋体"/>
                <w:spacing w:val="-8"/>
                <w:sz w:val="21"/>
                <w:szCs w:val="21"/>
                <w:lang w:val="en-US" w:eastAsia="zh-CN"/>
              </w:rPr>
              <w:t>对将畜禽养殖废弃物用作肥料造成环境污染行为等行为的行政处罚</w:t>
            </w:r>
          </w:p>
        </w:tc>
        <w:tc>
          <w:tcPr>
            <w:tcW w:w="1094" w:type="dxa"/>
            <w:shd w:val="clear" w:color="auto" w:fill="auto"/>
            <w:vAlign w:val="center"/>
          </w:tcPr>
          <w:p w14:paraId="3C1F9B9C">
            <w:pPr>
              <w:keepNext w:val="0"/>
              <w:keepLines w:val="0"/>
              <w:pageBreakBefore w:val="0"/>
              <w:widowControl w:val="0"/>
              <w:kinsoku/>
              <w:wordWrap/>
              <w:overflowPunct/>
              <w:topLinePunct w:val="0"/>
              <w:autoSpaceDE/>
              <w:autoSpaceDN/>
              <w:bidi w:val="0"/>
              <w:spacing w:before="68" w:line="320" w:lineRule="exact"/>
              <w:ind w:left="0" w:leftChars="0" w:firstLine="0" w:firstLineChars="0"/>
              <w:jc w:val="center"/>
              <w:rPr>
                <w:rFonts w:hint="eastAsia" w:ascii="仿宋_GB2312" w:hAnsi="仿宋_GB2312" w:eastAsia="仿宋_GB2312" w:cs="仿宋_GB2312"/>
                <w:spacing w:val="-8"/>
                <w:kern w:val="2"/>
                <w:sz w:val="24"/>
                <w:szCs w:val="24"/>
                <w:lang w:val="en-US" w:eastAsia="zh-CN" w:bidi="ar-SA"/>
              </w:rPr>
            </w:pPr>
            <w:r>
              <w:rPr>
                <w:rFonts w:hint="eastAsia" w:ascii="仿宋_GB2312" w:hAnsi="仿宋_GB2312" w:eastAsia="仿宋_GB2312" w:cs="仿宋_GB2312"/>
                <w:spacing w:val="-8"/>
                <w:sz w:val="24"/>
                <w:szCs w:val="24"/>
                <w:lang w:val="en-US" w:eastAsia="zh-CN"/>
              </w:rPr>
              <w:t>行政处罚</w:t>
            </w:r>
          </w:p>
        </w:tc>
        <w:tc>
          <w:tcPr>
            <w:tcW w:w="8317" w:type="dxa"/>
            <w:shd w:val="clear" w:color="auto" w:fill="auto"/>
            <w:vAlign w:val="top"/>
          </w:tcPr>
          <w:p w14:paraId="618E7016">
            <w:pPr>
              <w:keepNext w:val="0"/>
              <w:keepLines w:val="0"/>
              <w:pageBreakBefore w:val="0"/>
              <w:widowControl w:val="0"/>
              <w:suppressLineNumbers w:val="0"/>
              <w:kinsoku/>
              <w:wordWrap/>
              <w:overflowPunct/>
              <w:topLinePunct w:val="0"/>
              <w:autoSpaceDE/>
              <w:autoSpaceDN/>
              <w:bidi w:val="0"/>
              <w:adjustRightInd/>
              <w:snapToGrid/>
              <w:spacing w:after="0" w:afterLines="-2147483648" w:line="320" w:lineRule="exact"/>
              <w:ind w:left="240" w:leftChars="100" w:firstLine="420" w:firstLineChars="200"/>
              <w:jc w:val="both"/>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中华人民共和国固体废物污染环境防治法》第一百零七条从事畜禽规模养殖未及时收集、贮存、利用或者处置养殖过程中产生的畜禽粪污等固体废物的，由生态环境主管部门责令改正，可以处十万元以下的罚款；情节严重的，报经有批准权的人民政府批准，责令停业或者关闭。</w:t>
            </w:r>
          </w:p>
          <w:p w14:paraId="2B1DAFC8">
            <w:pPr>
              <w:keepNext w:val="0"/>
              <w:keepLines w:val="0"/>
              <w:pageBreakBefore w:val="0"/>
              <w:widowControl w:val="0"/>
              <w:suppressLineNumbers w:val="0"/>
              <w:kinsoku/>
              <w:wordWrap/>
              <w:overflowPunct/>
              <w:topLinePunct w:val="0"/>
              <w:autoSpaceDE/>
              <w:autoSpaceDN/>
              <w:bidi w:val="0"/>
              <w:adjustRightInd/>
              <w:snapToGrid/>
              <w:spacing w:after="0" w:afterLines="-2147483648" w:line="320" w:lineRule="exact"/>
              <w:ind w:left="240" w:leftChars="100" w:firstLine="420" w:firstLineChars="200"/>
              <w:jc w:val="both"/>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畜禽规模养殖污染防治条例》第四十条违反本条例规定，有下列行为之一的，由县级以上地方人民政府环境保护主管部门责令停止违法行为，限期采取治理措施消除污染，依照《中华人民共和国水污染防治法》、《中华人民共和国固体废物污染环境防治法》的有关规定予以处罚：（一）将畜禽养殖废弃物用作肥料，超出土地消纳能力，造成环境污染的；（二）从事畜禽养殖活动或者畜禽养殖废弃物处理活动，未采取有效措施，导致畜禽养殖废弃物渗出、泄漏的。</w:t>
            </w:r>
          </w:p>
        </w:tc>
        <w:tc>
          <w:tcPr>
            <w:tcW w:w="1129" w:type="dxa"/>
          </w:tcPr>
          <w:p w14:paraId="259464B1">
            <w:pPr>
              <w:keepNext w:val="0"/>
              <w:keepLines w:val="0"/>
              <w:pageBreakBefore w:val="0"/>
              <w:widowControl w:val="0"/>
              <w:kinsoku/>
              <w:wordWrap/>
              <w:overflowPunct/>
              <w:topLinePunct w:val="0"/>
              <w:autoSpaceDE/>
              <w:autoSpaceDN/>
              <w:bidi w:val="0"/>
              <w:spacing w:before="69" w:line="320" w:lineRule="exact"/>
              <w:ind w:left="49" w:leftChars="0" w:right="26" w:rightChars="0" w:firstLine="404" w:firstLineChars="200"/>
              <w:rPr>
                <w:rFonts w:ascii="宋体" w:hAnsi="宋体" w:eastAsia="宋体" w:cs="宋体"/>
                <w:spacing w:val="-4"/>
                <w:sz w:val="21"/>
                <w:szCs w:val="21"/>
              </w:rPr>
            </w:pPr>
          </w:p>
        </w:tc>
        <w:tc>
          <w:tcPr>
            <w:tcW w:w="990" w:type="dxa"/>
            <w:gridSpan w:val="2"/>
          </w:tcPr>
          <w:p w14:paraId="597D33BF">
            <w:pPr>
              <w:keepNext w:val="0"/>
              <w:keepLines w:val="0"/>
              <w:pageBreakBefore w:val="0"/>
              <w:widowControl w:val="0"/>
              <w:kinsoku/>
              <w:wordWrap/>
              <w:overflowPunct/>
              <w:topLinePunct w:val="0"/>
              <w:autoSpaceDE/>
              <w:autoSpaceDN/>
              <w:bidi w:val="0"/>
              <w:spacing w:before="69" w:line="320" w:lineRule="exact"/>
              <w:ind w:left="204" w:leftChars="0" w:right="59" w:rightChars="0" w:firstLine="404" w:firstLineChars="200"/>
              <w:rPr>
                <w:rFonts w:ascii="宋体" w:hAnsi="宋体" w:eastAsia="宋体" w:cs="宋体"/>
                <w:spacing w:val="-4"/>
                <w:sz w:val="21"/>
                <w:szCs w:val="21"/>
              </w:rPr>
            </w:pPr>
          </w:p>
        </w:tc>
      </w:tr>
      <w:tr w14:paraId="353B44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6" w:hRule="atLeast"/>
        </w:trPr>
        <w:tc>
          <w:tcPr>
            <w:tcW w:w="557" w:type="dxa"/>
            <w:shd w:val="clear" w:color="auto" w:fill="auto"/>
            <w:vAlign w:val="center"/>
          </w:tcPr>
          <w:p w14:paraId="40E1A1B8">
            <w:pPr>
              <w:keepNext w:val="0"/>
              <w:keepLines w:val="0"/>
              <w:pageBreakBefore w:val="0"/>
              <w:widowControl w:val="0"/>
              <w:kinsoku/>
              <w:wordWrap/>
              <w:overflowPunct/>
              <w:topLinePunct w:val="0"/>
              <w:autoSpaceDE/>
              <w:autoSpaceDN/>
              <w:bidi w:val="0"/>
              <w:spacing w:before="68" w:line="320" w:lineRule="exact"/>
              <w:ind w:left="0" w:leftChars="0" w:firstLine="0" w:firstLineChars="0"/>
              <w:jc w:val="center"/>
              <w:rPr>
                <w:rFonts w:hint="eastAsia" w:ascii="仿宋_GB2312" w:hAnsi="仿宋_GB2312" w:eastAsia="仿宋_GB2312" w:cs="仿宋_GB2312"/>
                <w:spacing w:val="-8"/>
                <w:sz w:val="24"/>
                <w:szCs w:val="24"/>
                <w:lang w:val="en-US" w:eastAsia="zh-CN"/>
              </w:rPr>
            </w:pPr>
            <w:r>
              <w:rPr>
                <w:rFonts w:hint="eastAsia" w:ascii="仿宋_GB2312" w:hAnsi="仿宋_GB2312" w:eastAsia="仿宋_GB2312" w:cs="仿宋_GB2312"/>
                <w:spacing w:val="-8"/>
                <w:sz w:val="24"/>
                <w:szCs w:val="24"/>
                <w:lang w:val="en-US" w:eastAsia="zh-CN"/>
              </w:rPr>
              <w:t>121</w:t>
            </w:r>
          </w:p>
        </w:tc>
        <w:tc>
          <w:tcPr>
            <w:tcW w:w="2355" w:type="dxa"/>
            <w:shd w:val="clear" w:color="auto" w:fill="auto"/>
            <w:vAlign w:val="center"/>
          </w:tcPr>
          <w:p w14:paraId="7BAFDFD3">
            <w:pPr>
              <w:keepNext w:val="0"/>
              <w:keepLines w:val="0"/>
              <w:pageBreakBefore w:val="0"/>
              <w:widowControl w:val="0"/>
              <w:kinsoku/>
              <w:wordWrap/>
              <w:overflowPunct/>
              <w:topLinePunct w:val="0"/>
              <w:autoSpaceDE/>
              <w:autoSpaceDN/>
              <w:bidi w:val="0"/>
              <w:spacing w:before="68" w:line="320" w:lineRule="exact"/>
              <w:ind w:left="240" w:leftChars="100" w:right="127" w:rightChars="53" w:firstLine="0" w:firstLineChars="0"/>
              <w:jc w:val="center"/>
              <w:rPr>
                <w:rFonts w:hint="eastAsia" w:ascii="宋体" w:hAnsi="宋体" w:eastAsia="宋体" w:cs="宋体"/>
                <w:spacing w:val="-8"/>
                <w:kern w:val="2"/>
                <w:sz w:val="21"/>
                <w:szCs w:val="21"/>
                <w:lang w:val="en-US" w:eastAsia="zh-CN" w:bidi="ar-SA"/>
              </w:rPr>
            </w:pPr>
            <w:r>
              <w:rPr>
                <w:rFonts w:hint="eastAsia" w:ascii="宋体" w:hAnsi="宋体" w:eastAsia="宋体" w:cs="宋体"/>
                <w:spacing w:val="-8"/>
                <w:sz w:val="21"/>
                <w:szCs w:val="21"/>
                <w:lang w:val="en-US" w:eastAsia="zh-CN"/>
              </w:rPr>
              <w:t>对排放畜禽养殖废弃物超标、超总量或未经无害化处理直接向环境排放畜禽养殖废弃物行为的行政处罚</w:t>
            </w:r>
          </w:p>
        </w:tc>
        <w:tc>
          <w:tcPr>
            <w:tcW w:w="1094" w:type="dxa"/>
            <w:shd w:val="clear" w:color="auto" w:fill="auto"/>
            <w:vAlign w:val="center"/>
          </w:tcPr>
          <w:p w14:paraId="7F51E20E">
            <w:pPr>
              <w:keepNext w:val="0"/>
              <w:keepLines w:val="0"/>
              <w:pageBreakBefore w:val="0"/>
              <w:widowControl w:val="0"/>
              <w:kinsoku/>
              <w:wordWrap/>
              <w:overflowPunct/>
              <w:topLinePunct w:val="0"/>
              <w:autoSpaceDE/>
              <w:autoSpaceDN/>
              <w:bidi w:val="0"/>
              <w:spacing w:before="68" w:line="320" w:lineRule="exact"/>
              <w:ind w:left="0" w:leftChars="0" w:firstLine="0" w:firstLineChars="0"/>
              <w:jc w:val="center"/>
              <w:rPr>
                <w:rFonts w:hint="eastAsia" w:ascii="仿宋_GB2312" w:hAnsi="仿宋_GB2312" w:eastAsia="仿宋_GB2312" w:cs="仿宋_GB2312"/>
                <w:spacing w:val="-8"/>
                <w:kern w:val="2"/>
                <w:sz w:val="24"/>
                <w:szCs w:val="24"/>
                <w:lang w:val="en-US" w:eastAsia="zh-CN" w:bidi="ar-SA"/>
              </w:rPr>
            </w:pPr>
            <w:r>
              <w:rPr>
                <w:rFonts w:hint="eastAsia" w:ascii="仿宋_GB2312" w:hAnsi="仿宋_GB2312" w:eastAsia="仿宋_GB2312" w:cs="仿宋_GB2312"/>
                <w:spacing w:val="-8"/>
                <w:sz w:val="24"/>
                <w:szCs w:val="24"/>
                <w:lang w:val="en-US" w:eastAsia="zh-CN"/>
              </w:rPr>
              <w:t>行政处罚</w:t>
            </w:r>
          </w:p>
        </w:tc>
        <w:tc>
          <w:tcPr>
            <w:tcW w:w="8317" w:type="dxa"/>
            <w:shd w:val="clear" w:color="auto" w:fill="auto"/>
            <w:vAlign w:val="top"/>
          </w:tcPr>
          <w:p w14:paraId="20FDD91A">
            <w:pPr>
              <w:keepNext w:val="0"/>
              <w:keepLines w:val="0"/>
              <w:pageBreakBefore w:val="0"/>
              <w:widowControl w:val="0"/>
              <w:suppressLineNumbers w:val="0"/>
              <w:kinsoku/>
              <w:wordWrap/>
              <w:overflowPunct/>
              <w:topLinePunct w:val="0"/>
              <w:autoSpaceDE/>
              <w:autoSpaceDN/>
              <w:bidi w:val="0"/>
              <w:adjustRightInd/>
              <w:snapToGrid/>
              <w:spacing w:after="0" w:afterLines="-2147483648" w:line="320" w:lineRule="exact"/>
              <w:ind w:left="240" w:leftChars="100" w:firstLine="420" w:firstLineChars="200"/>
              <w:jc w:val="both"/>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畜禽规模养殖污染防治条例》第四十一条排放畜禽养殖废弃物不符合国家或者地方规定的污染物排放标准或者总量控制指标，或者未经无害化处理直接向环境排放畜禽养殖废弃物的，由县级以上地方人民政府环境保护主管部门责令限期治理，可以处5万元以下的罚款。县级以上地方人民政府环境保护主管部门作出限期治理决定后，应当会同同级人民政府农牧等有关部门对整改措施的落实情况及时进行核查，并向社会公布核查结果。</w:t>
            </w:r>
          </w:p>
        </w:tc>
        <w:tc>
          <w:tcPr>
            <w:tcW w:w="1129" w:type="dxa"/>
          </w:tcPr>
          <w:p w14:paraId="2FB90FC1">
            <w:pPr>
              <w:keepNext w:val="0"/>
              <w:keepLines w:val="0"/>
              <w:pageBreakBefore w:val="0"/>
              <w:widowControl w:val="0"/>
              <w:kinsoku/>
              <w:wordWrap/>
              <w:overflowPunct/>
              <w:topLinePunct w:val="0"/>
              <w:autoSpaceDE/>
              <w:autoSpaceDN/>
              <w:bidi w:val="0"/>
              <w:spacing w:before="69" w:line="320" w:lineRule="exact"/>
              <w:ind w:left="49" w:leftChars="0" w:right="26" w:rightChars="0" w:firstLine="404" w:firstLineChars="200"/>
              <w:rPr>
                <w:rFonts w:ascii="宋体" w:hAnsi="宋体" w:eastAsia="宋体" w:cs="宋体"/>
                <w:spacing w:val="-4"/>
                <w:sz w:val="21"/>
                <w:szCs w:val="21"/>
              </w:rPr>
            </w:pPr>
          </w:p>
        </w:tc>
        <w:tc>
          <w:tcPr>
            <w:tcW w:w="990" w:type="dxa"/>
            <w:gridSpan w:val="2"/>
          </w:tcPr>
          <w:p w14:paraId="0AC21C01">
            <w:pPr>
              <w:keepNext w:val="0"/>
              <w:keepLines w:val="0"/>
              <w:pageBreakBefore w:val="0"/>
              <w:widowControl w:val="0"/>
              <w:kinsoku/>
              <w:wordWrap/>
              <w:overflowPunct/>
              <w:topLinePunct w:val="0"/>
              <w:autoSpaceDE/>
              <w:autoSpaceDN/>
              <w:bidi w:val="0"/>
              <w:spacing w:before="69" w:line="320" w:lineRule="exact"/>
              <w:ind w:left="204" w:leftChars="0" w:right="59" w:rightChars="0" w:firstLine="404" w:firstLineChars="200"/>
              <w:rPr>
                <w:rFonts w:ascii="宋体" w:hAnsi="宋体" w:eastAsia="宋体" w:cs="宋体"/>
                <w:spacing w:val="-4"/>
                <w:sz w:val="21"/>
                <w:szCs w:val="21"/>
              </w:rPr>
            </w:pPr>
          </w:p>
        </w:tc>
      </w:tr>
      <w:tr w14:paraId="3289EB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6" w:hRule="atLeast"/>
        </w:trPr>
        <w:tc>
          <w:tcPr>
            <w:tcW w:w="557" w:type="dxa"/>
            <w:shd w:val="clear" w:color="auto" w:fill="auto"/>
            <w:vAlign w:val="center"/>
          </w:tcPr>
          <w:p w14:paraId="5625840B">
            <w:pPr>
              <w:keepNext w:val="0"/>
              <w:keepLines w:val="0"/>
              <w:pageBreakBefore w:val="0"/>
              <w:widowControl w:val="0"/>
              <w:kinsoku/>
              <w:wordWrap/>
              <w:overflowPunct/>
              <w:topLinePunct w:val="0"/>
              <w:autoSpaceDE/>
              <w:autoSpaceDN/>
              <w:bidi w:val="0"/>
              <w:spacing w:before="68" w:line="320" w:lineRule="exact"/>
              <w:ind w:left="0" w:leftChars="0" w:firstLine="0" w:firstLineChars="0"/>
              <w:jc w:val="center"/>
              <w:rPr>
                <w:rFonts w:hint="eastAsia" w:ascii="仿宋_GB2312" w:hAnsi="仿宋_GB2312" w:eastAsia="仿宋_GB2312" w:cs="仿宋_GB2312"/>
                <w:spacing w:val="-8"/>
                <w:sz w:val="24"/>
                <w:szCs w:val="24"/>
                <w:lang w:val="en-US" w:eastAsia="zh-CN"/>
              </w:rPr>
            </w:pPr>
            <w:r>
              <w:rPr>
                <w:rFonts w:hint="eastAsia" w:ascii="仿宋_GB2312" w:hAnsi="仿宋_GB2312" w:eastAsia="仿宋_GB2312" w:cs="仿宋_GB2312"/>
                <w:spacing w:val="-8"/>
                <w:sz w:val="24"/>
                <w:szCs w:val="24"/>
                <w:lang w:val="en-US" w:eastAsia="zh-CN"/>
              </w:rPr>
              <w:t>122</w:t>
            </w:r>
          </w:p>
        </w:tc>
        <w:tc>
          <w:tcPr>
            <w:tcW w:w="2355" w:type="dxa"/>
            <w:shd w:val="clear" w:color="auto" w:fill="auto"/>
            <w:vAlign w:val="center"/>
          </w:tcPr>
          <w:p w14:paraId="4A59B50A">
            <w:pPr>
              <w:keepNext w:val="0"/>
              <w:keepLines w:val="0"/>
              <w:pageBreakBefore w:val="0"/>
              <w:widowControl w:val="0"/>
              <w:kinsoku/>
              <w:wordWrap/>
              <w:overflowPunct/>
              <w:topLinePunct w:val="0"/>
              <w:autoSpaceDE/>
              <w:autoSpaceDN/>
              <w:bidi w:val="0"/>
              <w:spacing w:before="68" w:line="320" w:lineRule="exact"/>
              <w:ind w:left="240" w:leftChars="100" w:right="127" w:rightChars="53" w:firstLine="0" w:firstLineChars="0"/>
              <w:jc w:val="center"/>
              <w:rPr>
                <w:rFonts w:hint="eastAsia" w:ascii="宋体" w:hAnsi="宋体" w:eastAsia="宋体" w:cs="宋体"/>
                <w:spacing w:val="-8"/>
                <w:kern w:val="2"/>
                <w:sz w:val="21"/>
                <w:szCs w:val="21"/>
                <w:lang w:val="en-US" w:eastAsia="zh-CN" w:bidi="ar-SA"/>
              </w:rPr>
            </w:pPr>
            <w:r>
              <w:rPr>
                <w:rFonts w:hint="eastAsia" w:ascii="宋体" w:hAnsi="宋体" w:eastAsia="宋体" w:cs="宋体"/>
                <w:spacing w:val="-8"/>
                <w:sz w:val="21"/>
                <w:szCs w:val="21"/>
                <w:lang w:val="en-US" w:eastAsia="zh-CN"/>
              </w:rPr>
              <w:t>对土地复垦义务人将重金属污染物或者其他有毒有害物质用作回填或者充填材料行为的行政处罚</w:t>
            </w:r>
          </w:p>
        </w:tc>
        <w:tc>
          <w:tcPr>
            <w:tcW w:w="1094" w:type="dxa"/>
            <w:shd w:val="clear" w:color="auto" w:fill="auto"/>
            <w:vAlign w:val="center"/>
          </w:tcPr>
          <w:p w14:paraId="3C795AD7">
            <w:pPr>
              <w:keepNext w:val="0"/>
              <w:keepLines w:val="0"/>
              <w:pageBreakBefore w:val="0"/>
              <w:widowControl w:val="0"/>
              <w:kinsoku/>
              <w:wordWrap/>
              <w:overflowPunct/>
              <w:topLinePunct w:val="0"/>
              <w:autoSpaceDE/>
              <w:autoSpaceDN/>
              <w:bidi w:val="0"/>
              <w:spacing w:before="68" w:line="320" w:lineRule="exact"/>
              <w:ind w:left="0" w:leftChars="0" w:firstLine="0" w:firstLineChars="0"/>
              <w:jc w:val="center"/>
              <w:rPr>
                <w:rFonts w:hint="eastAsia" w:ascii="仿宋_GB2312" w:hAnsi="仿宋_GB2312" w:eastAsia="仿宋_GB2312" w:cs="仿宋_GB2312"/>
                <w:spacing w:val="-8"/>
                <w:kern w:val="2"/>
                <w:sz w:val="24"/>
                <w:szCs w:val="24"/>
                <w:lang w:val="en-US" w:eastAsia="zh-CN" w:bidi="ar-SA"/>
              </w:rPr>
            </w:pPr>
            <w:r>
              <w:rPr>
                <w:rFonts w:hint="eastAsia" w:ascii="仿宋_GB2312" w:hAnsi="仿宋_GB2312" w:eastAsia="仿宋_GB2312" w:cs="仿宋_GB2312"/>
                <w:spacing w:val="-8"/>
                <w:sz w:val="24"/>
                <w:szCs w:val="24"/>
                <w:lang w:val="en-US" w:eastAsia="zh-CN"/>
              </w:rPr>
              <w:t>行政处罚</w:t>
            </w:r>
          </w:p>
        </w:tc>
        <w:tc>
          <w:tcPr>
            <w:tcW w:w="8317" w:type="dxa"/>
            <w:shd w:val="clear" w:color="auto" w:fill="auto"/>
            <w:vAlign w:val="top"/>
          </w:tcPr>
          <w:p w14:paraId="5B1046AE">
            <w:pPr>
              <w:keepNext w:val="0"/>
              <w:keepLines w:val="0"/>
              <w:pageBreakBefore w:val="0"/>
              <w:widowControl w:val="0"/>
              <w:suppressLineNumbers w:val="0"/>
              <w:kinsoku/>
              <w:wordWrap/>
              <w:overflowPunct/>
              <w:topLinePunct w:val="0"/>
              <w:autoSpaceDE/>
              <w:autoSpaceDN/>
              <w:bidi w:val="0"/>
              <w:adjustRightInd/>
              <w:snapToGrid/>
              <w:spacing w:after="0" w:afterLines="-2147483648" w:line="320" w:lineRule="exact"/>
              <w:ind w:left="240" w:leftChars="100" w:firstLine="420" w:firstLineChars="200"/>
              <w:jc w:val="both"/>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土地复垦条例》第四十条土地复垦义务人将重金属污染物或者其他有毒有害物质用作回填或者充填材料的，由县级以上地方人民政府环境保护主管部门责令停止违法行为，限期采取治理措施，消除污染，处10万元以上50万元以下的罚款；逾期不采取治理措施的，环境保护主管部门可以指定有治理能力的单位代为治理，所需费用由违法者承担。</w:t>
            </w:r>
          </w:p>
        </w:tc>
        <w:tc>
          <w:tcPr>
            <w:tcW w:w="1129" w:type="dxa"/>
          </w:tcPr>
          <w:p w14:paraId="706A6571">
            <w:pPr>
              <w:keepNext w:val="0"/>
              <w:keepLines w:val="0"/>
              <w:pageBreakBefore w:val="0"/>
              <w:widowControl w:val="0"/>
              <w:kinsoku/>
              <w:wordWrap/>
              <w:overflowPunct/>
              <w:topLinePunct w:val="0"/>
              <w:autoSpaceDE/>
              <w:autoSpaceDN/>
              <w:bidi w:val="0"/>
              <w:spacing w:before="69" w:line="320" w:lineRule="exact"/>
              <w:ind w:left="49" w:leftChars="0" w:right="26" w:rightChars="0" w:firstLine="404" w:firstLineChars="200"/>
              <w:rPr>
                <w:rFonts w:ascii="宋体" w:hAnsi="宋体" w:eastAsia="宋体" w:cs="宋体"/>
                <w:spacing w:val="-4"/>
                <w:sz w:val="21"/>
                <w:szCs w:val="21"/>
              </w:rPr>
            </w:pPr>
          </w:p>
        </w:tc>
        <w:tc>
          <w:tcPr>
            <w:tcW w:w="990" w:type="dxa"/>
            <w:gridSpan w:val="2"/>
          </w:tcPr>
          <w:p w14:paraId="38BD4726">
            <w:pPr>
              <w:keepNext w:val="0"/>
              <w:keepLines w:val="0"/>
              <w:pageBreakBefore w:val="0"/>
              <w:widowControl w:val="0"/>
              <w:kinsoku/>
              <w:wordWrap/>
              <w:overflowPunct/>
              <w:topLinePunct w:val="0"/>
              <w:autoSpaceDE/>
              <w:autoSpaceDN/>
              <w:bidi w:val="0"/>
              <w:spacing w:before="69" w:line="320" w:lineRule="exact"/>
              <w:ind w:left="204" w:leftChars="0" w:right="59" w:rightChars="0" w:firstLine="404" w:firstLineChars="200"/>
              <w:rPr>
                <w:rFonts w:ascii="宋体" w:hAnsi="宋体" w:eastAsia="宋体" w:cs="宋体"/>
                <w:spacing w:val="-4"/>
                <w:sz w:val="21"/>
                <w:szCs w:val="21"/>
              </w:rPr>
            </w:pPr>
          </w:p>
        </w:tc>
      </w:tr>
      <w:tr w14:paraId="370BC7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6" w:hRule="atLeast"/>
        </w:trPr>
        <w:tc>
          <w:tcPr>
            <w:tcW w:w="557" w:type="dxa"/>
            <w:shd w:val="clear" w:color="auto" w:fill="auto"/>
            <w:vAlign w:val="center"/>
          </w:tcPr>
          <w:p w14:paraId="199C51D3">
            <w:pPr>
              <w:keepNext w:val="0"/>
              <w:keepLines w:val="0"/>
              <w:pageBreakBefore w:val="0"/>
              <w:widowControl w:val="0"/>
              <w:kinsoku/>
              <w:wordWrap/>
              <w:overflowPunct/>
              <w:topLinePunct w:val="0"/>
              <w:autoSpaceDE/>
              <w:autoSpaceDN/>
              <w:bidi w:val="0"/>
              <w:spacing w:before="68" w:line="320" w:lineRule="exact"/>
              <w:ind w:left="0" w:leftChars="0" w:firstLine="0" w:firstLineChars="0"/>
              <w:jc w:val="center"/>
              <w:rPr>
                <w:rFonts w:hint="eastAsia" w:ascii="仿宋_GB2312" w:hAnsi="仿宋_GB2312" w:eastAsia="仿宋_GB2312" w:cs="仿宋_GB2312"/>
                <w:spacing w:val="-8"/>
                <w:sz w:val="24"/>
                <w:szCs w:val="24"/>
                <w:lang w:val="en-US" w:eastAsia="zh-CN"/>
              </w:rPr>
            </w:pPr>
            <w:r>
              <w:rPr>
                <w:rFonts w:hint="eastAsia" w:ascii="仿宋_GB2312" w:hAnsi="仿宋_GB2312" w:eastAsia="仿宋_GB2312" w:cs="仿宋_GB2312"/>
                <w:spacing w:val="-8"/>
                <w:sz w:val="24"/>
                <w:szCs w:val="24"/>
                <w:lang w:val="en-US" w:eastAsia="zh-CN"/>
              </w:rPr>
              <w:t>123</w:t>
            </w:r>
          </w:p>
        </w:tc>
        <w:tc>
          <w:tcPr>
            <w:tcW w:w="2355" w:type="dxa"/>
            <w:shd w:val="clear" w:color="auto" w:fill="auto"/>
            <w:vAlign w:val="center"/>
          </w:tcPr>
          <w:p w14:paraId="08F0CA62">
            <w:pPr>
              <w:keepNext w:val="0"/>
              <w:keepLines w:val="0"/>
              <w:pageBreakBefore w:val="0"/>
              <w:widowControl w:val="0"/>
              <w:kinsoku/>
              <w:wordWrap/>
              <w:overflowPunct/>
              <w:topLinePunct w:val="0"/>
              <w:autoSpaceDE/>
              <w:autoSpaceDN/>
              <w:bidi w:val="0"/>
              <w:spacing w:before="68" w:line="320" w:lineRule="exact"/>
              <w:ind w:left="240" w:leftChars="100" w:right="127" w:rightChars="53" w:firstLine="0" w:firstLineChars="0"/>
              <w:jc w:val="center"/>
              <w:rPr>
                <w:rFonts w:hint="eastAsia" w:ascii="宋体" w:hAnsi="宋体" w:eastAsia="宋体" w:cs="宋体"/>
                <w:spacing w:val="-8"/>
                <w:kern w:val="2"/>
                <w:sz w:val="21"/>
                <w:szCs w:val="21"/>
                <w:lang w:val="en-US" w:eastAsia="zh-CN" w:bidi="ar-SA"/>
              </w:rPr>
            </w:pPr>
            <w:r>
              <w:rPr>
                <w:rFonts w:hint="eastAsia" w:ascii="宋体" w:hAnsi="宋体" w:eastAsia="宋体" w:cs="宋体"/>
                <w:spacing w:val="-8"/>
                <w:sz w:val="21"/>
                <w:szCs w:val="21"/>
                <w:lang w:val="en-US" w:eastAsia="zh-CN"/>
              </w:rPr>
              <w:t>对土地复垦义务人将重金属污染物或者其他有毒有害物质用作回填或者充填材料行为的行政强制</w:t>
            </w:r>
          </w:p>
        </w:tc>
        <w:tc>
          <w:tcPr>
            <w:tcW w:w="1094" w:type="dxa"/>
            <w:shd w:val="clear" w:color="auto" w:fill="auto"/>
            <w:vAlign w:val="center"/>
          </w:tcPr>
          <w:p w14:paraId="1A4DCD06">
            <w:pPr>
              <w:keepNext w:val="0"/>
              <w:keepLines w:val="0"/>
              <w:pageBreakBefore w:val="0"/>
              <w:widowControl w:val="0"/>
              <w:kinsoku/>
              <w:wordWrap/>
              <w:overflowPunct/>
              <w:topLinePunct w:val="0"/>
              <w:autoSpaceDE/>
              <w:autoSpaceDN/>
              <w:bidi w:val="0"/>
              <w:spacing w:before="68" w:line="320" w:lineRule="exact"/>
              <w:ind w:left="0" w:leftChars="0" w:firstLine="0" w:firstLineChars="0"/>
              <w:jc w:val="center"/>
              <w:rPr>
                <w:rFonts w:hint="eastAsia" w:ascii="仿宋_GB2312" w:hAnsi="仿宋_GB2312" w:eastAsia="仿宋_GB2312" w:cs="仿宋_GB2312"/>
                <w:spacing w:val="-8"/>
                <w:kern w:val="2"/>
                <w:sz w:val="24"/>
                <w:szCs w:val="24"/>
                <w:lang w:val="en-US" w:eastAsia="zh-CN" w:bidi="ar-SA"/>
              </w:rPr>
            </w:pPr>
            <w:r>
              <w:rPr>
                <w:rFonts w:hint="eastAsia" w:ascii="仿宋_GB2312" w:hAnsi="仿宋_GB2312" w:eastAsia="仿宋_GB2312" w:cs="仿宋_GB2312"/>
                <w:spacing w:val="-8"/>
                <w:sz w:val="24"/>
                <w:szCs w:val="24"/>
                <w:lang w:val="en-US" w:eastAsia="zh-CN"/>
              </w:rPr>
              <w:t>行政强制</w:t>
            </w:r>
          </w:p>
        </w:tc>
        <w:tc>
          <w:tcPr>
            <w:tcW w:w="8317" w:type="dxa"/>
            <w:shd w:val="clear" w:color="auto" w:fill="auto"/>
            <w:vAlign w:val="top"/>
          </w:tcPr>
          <w:p w14:paraId="2C8316A5">
            <w:pPr>
              <w:keepNext w:val="0"/>
              <w:keepLines w:val="0"/>
              <w:pageBreakBefore w:val="0"/>
              <w:widowControl w:val="0"/>
              <w:suppressLineNumbers w:val="0"/>
              <w:kinsoku/>
              <w:wordWrap/>
              <w:overflowPunct/>
              <w:topLinePunct w:val="0"/>
              <w:autoSpaceDE/>
              <w:autoSpaceDN/>
              <w:bidi w:val="0"/>
              <w:adjustRightInd/>
              <w:snapToGrid/>
              <w:spacing w:after="0" w:afterLines="-2147483648" w:line="320" w:lineRule="exact"/>
              <w:ind w:left="240" w:leftChars="100" w:firstLine="420" w:firstLineChars="200"/>
              <w:jc w:val="both"/>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土地复垦条例》第四十条土地复垦义务人将重金属污染物或者其他有毒有害物质用作回填或者充填材料的，由县级以上地方人民政府环境保护主管部门责令停止违法行为，限期采取治理措施，消除污染，处10万元以上50万元以下的罚款；逾期不采取治理措施的，环境保护主管部门可以指定有治理能力的单位代为治理，所需费用由违法者承担。</w:t>
            </w:r>
          </w:p>
        </w:tc>
        <w:tc>
          <w:tcPr>
            <w:tcW w:w="1129" w:type="dxa"/>
          </w:tcPr>
          <w:p w14:paraId="78F687E0">
            <w:pPr>
              <w:keepNext w:val="0"/>
              <w:keepLines w:val="0"/>
              <w:pageBreakBefore w:val="0"/>
              <w:widowControl w:val="0"/>
              <w:kinsoku/>
              <w:wordWrap/>
              <w:overflowPunct/>
              <w:topLinePunct w:val="0"/>
              <w:autoSpaceDE/>
              <w:autoSpaceDN/>
              <w:bidi w:val="0"/>
              <w:spacing w:before="69" w:line="320" w:lineRule="exact"/>
              <w:ind w:left="49" w:leftChars="0" w:right="26" w:rightChars="0" w:firstLine="404" w:firstLineChars="200"/>
              <w:rPr>
                <w:rFonts w:ascii="宋体" w:hAnsi="宋体" w:eastAsia="宋体" w:cs="宋体"/>
                <w:spacing w:val="-4"/>
                <w:sz w:val="21"/>
                <w:szCs w:val="21"/>
              </w:rPr>
            </w:pPr>
          </w:p>
        </w:tc>
        <w:tc>
          <w:tcPr>
            <w:tcW w:w="990" w:type="dxa"/>
            <w:gridSpan w:val="2"/>
          </w:tcPr>
          <w:p w14:paraId="51CD7163">
            <w:pPr>
              <w:keepNext w:val="0"/>
              <w:keepLines w:val="0"/>
              <w:pageBreakBefore w:val="0"/>
              <w:widowControl w:val="0"/>
              <w:kinsoku/>
              <w:wordWrap/>
              <w:overflowPunct/>
              <w:topLinePunct w:val="0"/>
              <w:autoSpaceDE/>
              <w:autoSpaceDN/>
              <w:bidi w:val="0"/>
              <w:spacing w:before="69" w:line="320" w:lineRule="exact"/>
              <w:ind w:left="204" w:leftChars="0" w:right="59" w:rightChars="0" w:firstLine="404" w:firstLineChars="200"/>
              <w:rPr>
                <w:rFonts w:ascii="宋体" w:hAnsi="宋体" w:eastAsia="宋体" w:cs="宋体"/>
                <w:spacing w:val="-4"/>
                <w:sz w:val="21"/>
                <w:szCs w:val="21"/>
              </w:rPr>
            </w:pPr>
          </w:p>
        </w:tc>
      </w:tr>
      <w:tr w14:paraId="7BC8C5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6" w:hRule="atLeast"/>
        </w:trPr>
        <w:tc>
          <w:tcPr>
            <w:tcW w:w="557" w:type="dxa"/>
            <w:shd w:val="clear" w:color="auto" w:fill="auto"/>
            <w:vAlign w:val="center"/>
          </w:tcPr>
          <w:p w14:paraId="7B59AB8D">
            <w:pPr>
              <w:keepNext w:val="0"/>
              <w:keepLines w:val="0"/>
              <w:pageBreakBefore w:val="0"/>
              <w:widowControl w:val="0"/>
              <w:kinsoku/>
              <w:wordWrap/>
              <w:overflowPunct/>
              <w:topLinePunct w:val="0"/>
              <w:autoSpaceDE/>
              <w:autoSpaceDN/>
              <w:bidi w:val="0"/>
              <w:spacing w:before="68" w:line="320" w:lineRule="exact"/>
              <w:ind w:left="0" w:leftChars="0" w:firstLine="0" w:firstLineChars="0"/>
              <w:jc w:val="center"/>
              <w:rPr>
                <w:rFonts w:hint="eastAsia" w:ascii="仿宋_GB2312" w:hAnsi="仿宋_GB2312" w:eastAsia="仿宋_GB2312" w:cs="仿宋_GB2312"/>
                <w:spacing w:val="-8"/>
                <w:sz w:val="24"/>
                <w:szCs w:val="24"/>
                <w:lang w:val="en-US" w:eastAsia="zh-CN"/>
              </w:rPr>
            </w:pPr>
            <w:r>
              <w:rPr>
                <w:rFonts w:hint="eastAsia" w:ascii="仿宋_GB2312" w:hAnsi="仿宋_GB2312" w:eastAsia="仿宋_GB2312" w:cs="仿宋_GB2312"/>
                <w:spacing w:val="-8"/>
                <w:sz w:val="24"/>
                <w:szCs w:val="24"/>
                <w:lang w:val="en-US" w:eastAsia="zh-CN"/>
              </w:rPr>
              <w:t>124</w:t>
            </w:r>
          </w:p>
        </w:tc>
        <w:tc>
          <w:tcPr>
            <w:tcW w:w="2355" w:type="dxa"/>
            <w:shd w:val="clear" w:color="auto" w:fill="auto"/>
            <w:vAlign w:val="center"/>
          </w:tcPr>
          <w:p w14:paraId="6876190D">
            <w:pPr>
              <w:keepNext w:val="0"/>
              <w:keepLines w:val="0"/>
              <w:pageBreakBefore w:val="0"/>
              <w:widowControl w:val="0"/>
              <w:kinsoku/>
              <w:wordWrap/>
              <w:overflowPunct/>
              <w:topLinePunct w:val="0"/>
              <w:autoSpaceDE/>
              <w:autoSpaceDN/>
              <w:bidi w:val="0"/>
              <w:spacing w:before="68" w:line="320" w:lineRule="exact"/>
              <w:ind w:left="240" w:leftChars="100" w:right="127" w:rightChars="53" w:firstLine="0" w:firstLineChars="0"/>
              <w:jc w:val="center"/>
              <w:rPr>
                <w:rFonts w:hint="eastAsia" w:ascii="宋体" w:hAnsi="宋体" w:eastAsia="宋体" w:cs="宋体"/>
                <w:spacing w:val="-8"/>
                <w:kern w:val="2"/>
                <w:sz w:val="21"/>
                <w:szCs w:val="21"/>
                <w:lang w:val="en-US" w:eastAsia="zh-CN" w:bidi="ar-SA"/>
              </w:rPr>
            </w:pPr>
            <w:r>
              <w:rPr>
                <w:rFonts w:hint="eastAsia" w:ascii="宋体" w:hAnsi="宋体" w:eastAsia="宋体" w:cs="宋体"/>
                <w:spacing w:val="-8"/>
                <w:sz w:val="21"/>
                <w:szCs w:val="21"/>
                <w:lang w:val="en-US" w:eastAsia="zh-CN"/>
              </w:rPr>
              <w:t>对因开发土地造成土地荒漠化、盐渍化的行政处罚</w:t>
            </w:r>
          </w:p>
        </w:tc>
        <w:tc>
          <w:tcPr>
            <w:tcW w:w="1094" w:type="dxa"/>
            <w:shd w:val="clear" w:color="auto" w:fill="auto"/>
            <w:vAlign w:val="center"/>
          </w:tcPr>
          <w:p w14:paraId="2D132956">
            <w:pPr>
              <w:keepNext w:val="0"/>
              <w:keepLines w:val="0"/>
              <w:pageBreakBefore w:val="0"/>
              <w:widowControl w:val="0"/>
              <w:kinsoku/>
              <w:wordWrap/>
              <w:overflowPunct/>
              <w:topLinePunct w:val="0"/>
              <w:autoSpaceDE/>
              <w:autoSpaceDN/>
              <w:bidi w:val="0"/>
              <w:spacing w:before="68" w:line="320" w:lineRule="exact"/>
              <w:ind w:left="0" w:leftChars="0" w:firstLine="0" w:firstLineChars="0"/>
              <w:jc w:val="center"/>
              <w:rPr>
                <w:rFonts w:hint="eastAsia" w:ascii="仿宋_GB2312" w:hAnsi="仿宋_GB2312" w:eastAsia="仿宋_GB2312" w:cs="仿宋_GB2312"/>
                <w:spacing w:val="-8"/>
                <w:kern w:val="2"/>
                <w:sz w:val="24"/>
                <w:szCs w:val="24"/>
                <w:lang w:val="en-US" w:eastAsia="zh-CN" w:bidi="ar-SA"/>
              </w:rPr>
            </w:pPr>
            <w:r>
              <w:rPr>
                <w:rFonts w:hint="eastAsia" w:ascii="仿宋_GB2312" w:hAnsi="仿宋_GB2312" w:eastAsia="仿宋_GB2312" w:cs="仿宋_GB2312"/>
                <w:spacing w:val="-8"/>
                <w:sz w:val="24"/>
                <w:szCs w:val="24"/>
                <w:lang w:val="en-US" w:eastAsia="zh-CN"/>
              </w:rPr>
              <w:t>行政处罚</w:t>
            </w:r>
          </w:p>
        </w:tc>
        <w:tc>
          <w:tcPr>
            <w:tcW w:w="8317" w:type="dxa"/>
            <w:shd w:val="clear" w:color="auto" w:fill="auto"/>
            <w:vAlign w:val="top"/>
          </w:tcPr>
          <w:p w14:paraId="12E79803">
            <w:pPr>
              <w:keepNext w:val="0"/>
              <w:keepLines w:val="0"/>
              <w:pageBreakBefore w:val="0"/>
              <w:widowControl w:val="0"/>
              <w:suppressLineNumbers w:val="0"/>
              <w:kinsoku/>
              <w:wordWrap/>
              <w:overflowPunct/>
              <w:topLinePunct w:val="0"/>
              <w:autoSpaceDE/>
              <w:autoSpaceDN/>
              <w:bidi w:val="0"/>
              <w:adjustRightInd/>
              <w:snapToGrid/>
              <w:spacing w:after="0" w:afterLines="-2147483648" w:line="320" w:lineRule="exact"/>
              <w:ind w:left="240" w:leftChars="100" w:firstLine="420" w:firstLineChars="200"/>
              <w:jc w:val="both"/>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中华人民共和国土地管理法》第七十五条违反本法规定，占用耕地建窑、建坟或者擅自在耕地上建房、挖砂、采石、采矿、取土等，破坏种植条件的，或者因开发土地造成土地荒漠化、盐渍化的，由县级以上人民政府自然资源主管部门、农业农村主管部门等按照职责责令限期改正或者治理，可以并处罚款；构成犯罪的，依法追究刑事责任。（备注：执法部门为县级以上人民政府自然资源主管部门、农业农村主管部门）</w:t>
            </w:r>
          </w:p>
        </w:tc>
        <w:tc>
          <w:tcPr>
            <w:tcW w:w="1129" w:type="dxa"/>
          </w:tcPr>
          <w:p w14:paraId="65448601">
            <w:pPr>
              <w:keepNext w:val="0"/>
              <w:keepLines w:val="0"/>
              <w:pageBreakBefore w:val="0"/>
              <w:widowControl w:val="0"/>
              <w:kinsoku/>
              <w:wordWrap/>
              <w:overflowPunct/>
              <w:topLinePunct w:val="0"/>
              <w:autoSpaceDE/>
              <w:autoSpaceDN/>
              <w:bidi w:val="0"/>
              <w:spacing w:before="69" w:line="320" w:lineRule="exact"/>
              <w:ind w:left="49" w:leftChars="0" w:right="26" w:rightChars="0" w:firstLine="404" w:firstLineChars="200"/>
              <w:rPr>
                <w:rFonts w:ascii="宋体" w:hAnsi="宋体" w:eastAsia="宋体" w:cs="宋体"/>
                <w:spacing w:val="-4"/>
                <w:sz w:val="21"/>
                <w:szCs w:val="21"/>
              </w:rPr>
            </w:pPr>
          </w:p>
        </w:tc>
        <w:tc>
          <w:tcPr>
            <w:tcW w:w="990" w:type="dxa"/>
            <w:gridSpan w:val="2"/>
          </w:tcPr>
          <w:p w14:paraId="7F3FAD0D">
            <w:pPr>
              <w:keepNext w:val="0"/>
              <w:keepLines w:val="0"/>
              <w:pageBreakBefore w:val="0"/>
              <w:widowControl w:val="0"/>
              <w:kinsoku/>
              <w:wordWrap/>
              <w:overflowPunct/>
              <w:topLinePunct w:val="0"/>
              <w:autoSpaceDE/>
              <w:autoSpaceDN/>
              <w:bidi w:val="0"/>
              <w:spacing w:before="69" w:line="320" w:lineRule="exact"/>
              <w:ind w:left="204" w:leftChars="0" w:right="59" w:rightChars="0" w:firstLine="404" w:firstLineChars="200"/>
              <w:rPr>
                <w:rFonts w:ascii="宋体" w:hAnsi="宋体" w:eastAsia="宋体" w:cs="宋体"/>
                <w:spacing w:val="-4"/>
                <w:sz w:val="21"/>
                <w:szCs w:val="21"/>
              </w:rPr>
            </w:pPr>
          </w:p>
        </w:tc>
      </w:tr>
      <w:tr w14:paraId="7B66BD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6" w:hRule="atLeast"/>
        </w:trPr>
        <w:tc>
          <w:tcPr>
            <w:tcW w:w="557" w:type="dxa"/>
            <w:shd w:val="clear" w:color="auto" w:fill="auto"/>
            <w:vAlign w:val="center"/>
          </w:tcPr>
          <w:p w14:paraId="6F9EE523">
            <w:pPr>
              <w:keepNext w:val="0"/>
              <w:keepLines w:val="0"/>
              <w:pageBreakBefore w:val="0"/>
              <w:widowControl w:val="0"/>
              <w:kinsoku/>
              <w:wordWrap/>
              <w:overflowPunct/>
              <w:topLinePunct w:val="0"/>
              <w:autoSpaceDE/>
              <w:autoSpaceDN/>
              <w:bidi w:val="0"/>
              <w:spacing w:before="68" w:line="320" w:lineRule="exact"/>
              <w:ind w:left="0" w:leftChars="0" w:firstLine="0" w:firstLineChars="0"/>
              <w:jc w:val="center"/>
              <w:rPr>
                <w:rFonts w:hint="eastAsia" w:ascii="仿宋_GB2312" w:hAnsi="仿宋_GB2312" w:eastAsia="仿宋_GB2312" w:cs="仿宋_GB2312"/>
                <w:spacing w:val="-8"/>
                <w:sz w:val="24"/>
                <w:szCs w:val="24"/>
                <w:lang w:val="en-US" w:eastAsia="zh-CN"/>
              </w:rPr>
            </w:pPr>
            <w:r>
              <w:rPr>
                <w:rFonts w:hint="eastAsia" w:ascii="仿宋_GB2312" w:hAnsi="仿宋_GB2312" w:eastAsia="仿宋_GB2312" w:cs="仿宋_GB2312"/>
                <w:spacing w:val="-8"/>
                <w:sz w:val="24"/>
                <w:szCs w:val="24"/>
                <w:lang w:val="en-US" w:eastAsia="zh-CN"/>
              </w:rPr>
              <w:t>125</w:t>
            </w:r>
          </w:p>
        </w:tc>
        <w:tc>
          <w:tcPr>
            <w:tcW w:w="2355" w:type="dxa"/>
            <w:shd w:val="clear" w:color="auto" w:fill="auto"/>
            <w:vAlign w:val="center"/>
          </w:tcPr>
          <w:p w14:paraId="6B3633BD">
            <w:pPr>
              <w:keepNext w:val="0"/>
              <w:keepLines w:val="0"/>
              <w:pageBreakBefore w:val="0"/>
              <w:widowControl w:val="0"/>
              <w:kinsoku/>
              <w:wordWrap/>
              <w:overflowPunct/>
              <w:topLinePunct w:val="0"/>
              <w:autoSpaceDE/>
              <w:autoSpaceDN/>
              <w:bidi w:val="0"/>
              <w:spacing w:before="68" w:line="320" w:lineRule="exact"/>
              <w:ind w:left="240" w:leftChars="100" w:right="127" w:rightChars="53" w:firstLine="0" w:firstLineChars="0"/>
              <w:jc w:val="center"/>
              <w:rPr>
                <w:rFonts w:hint="eastAsia" w:ascii="宋体" w:hAnsi="宋体" w:eastAsia="宋体" w:cs="宋体"/>
                <w:spacing w:val="-8"/>
                <w:kern w:val="2"/>
                <w:sz w:val="21"/>
                <w:szCs w:val="21"/>
                <w:lang w:val="en-US" w:eastAsia="zh-CN" w:bidi="ar-SA"/>
              </w:rPr>
            </w:pPr>
            <w:r>
              <w:rPr>
                <w:rFonts w:hint="eastAsia" w:ascii="宋体" w:hAnsi="宋体" w:eastAsia="宋体" w:cs="宋体"/>
                <w:spacing w:val="-8"/>
                <w:sz w:val="21"/>
                <w:szCs w:val="21"/>
                <w:lang w:val="en-US" w:eastAsia="zh-CN"/>
              </w:rPr>
              <w:t>对不按照规定报告有关环境监测结果行为的行政处罚</w:t>
            </w:r>
          </w:p>
        </w:tc>
        <w:tc>
          <w:tcPr>
            <w:tcW w:w="1094" w:type="dxa"/>
            <w:shd w:val="clear" w:color="auto" w:fill="auto"/>
            <w:vAlign w:val="center"/>
          </w:tcPr>
          <w:p w14:paraId="71F5844C">
            <w:pPr>
              <w:keepNext w:val="0"/>
              <w:keepLines w:val="0"/>
              <w:pageBreakBefore w:val="0"/>
              <w:widowControl w:val="0"/>
              <w:kinsoku/>
              <w:wordWrap/>
              <w:overflowPunct/>
              <w:topLinePunct w:val="0"/>
              <w:autoSpaceDE/>
              <w:autoSpaceDN/>
              <w:bidi w:val="0"/>
              <w:spacing w:before="68" w:line="320" w:lineRule="exact"/>
              <w:ind w:left="0" w:leftChars="0" w:firstLine="0" w:firstLineChars="0"/>
              <w:jc w:val="center"/>
              <w:rPr>
                <w:rFonts w:hint="eastAsia" w:ascii="仿宋_GB2312" w:hAnsi="仿宋_GB2312" w:eastAsia="仿宋_GB2312" w:cs="仿宋_GB2312"/>
                <w:spacing w:val="-8"/>
                <w:kern w:val="2"/>
                <w:sz w:val="24"/>
                <w:szCs w:val="24"/>
                <w:lang w:val="en-US" w:eastAsia="zh-CN" w:bidi="ar-SA"/>
              </w:rPr>
            </w:pPr>
            <w:r>
              <w:rPr>
                <w:rFonts w:hint="eastAsia" w:ascii="仿宋_GB2312" w:hAnsi="仿宋_GB2312" w:eastAsia="仿宋_GB2312" w:cs="仿宋_GB2312"/>
                <w:spacing w:val="-8"/>
                <w:sz w:val="24"/>
                <w:szCs w:val="24"/>
                <w:lang w:val="en-US" w:eastAsia="zh-CN"/>
              </w:rPr>
              <w:t>行政处罚</w:t>
            </w:r>
          </w:p>
        </w:tc>
        <w:tc>
          <w:tcPr>
            <w:tcW w:w="8317" w:type="dxa"/>
            <w:shd w:val="clear" w:color="auto" w:fill="auto"/>
            <w:vAlign w:val="top"/>
          </w:tcPr>
          <w:p w14:paraId="4EAC2E7E">
            <w:pPr>
              <w:keepNext w:val="0"/>
              <w:keepLines w:val="0"/>
              <w:pageBreakBefore w:val="0"/>
              <w:widowControl w:val="0"/>
              <w:suppressLineNumbers w:val="0"/>
              <w:kinsoku/>
              <w:wordWrap/>
              <w:overflowPunct/>
              <w:topLinePunct w:val="0"/>
              <w:autoSpaceDE/>
              <w:autoSpaceDN/>
              <w:bidi w:val="0"/>
              <w:adjustRightInd/>
              <w:snapToGrid/>
              <w:spacing w:after="0" w:afterLines="-2147483648" w:line="320" w:lineRule="exact"/>
              <w:ind w:left="240" w:leftChars="100" w:firstLine="420" w:firstLineChars="200"/>
              <w:jc w:val="both"/>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中华人民共和国放射性污染防治法》第四十九条第一项违反本法规定，有下列行为之一的，由县级以上人民政府环境保护行政主管部门或者其他有关部门依据职权责令限期改正，可以处二万元以下罚款：（一）不按照规定报告有关环境监测结果的；</w:t>
            </w:r>
          </w:p>
        </w:tc>
        <w:tc>
          <w:tcPr>
            <w:tcW w:w="1129" w:type="dxa"/>
          </w:tcPr>
          <w:p w14:paraId="0111DF4A">
            <w:pPr>
              <w:keepNext w:val="0"/>
              <w:keepLines w:val="0"/>
              <w:pageBreakBefore w:val="0"/>
              <w:widowControl w:val="0"/>
              <w:kinsoku/>
              <w:wordWrap/>
              <w:overflowPunct/>
              <w:topLinePunct w:val="0"/>
              <w:autoSpaceDE/>
              <w:autoSpaceDN/>
              <w:bidi w:val="0"/>
              <w:spacing w:before="69" w:line="320" w:lineRule="exact"/>
              <w:ind w:left="49" w:leftChars="0" w:right="26" w:rightChars="0" w:firstLine="404" w:firstLineChars="200"/>
              <w:rPr>
                <w:rFonts w:ascii="宋体" w:hAnsi="宋体" w:eastAsia="宋体" w:cs="宋体"/>
                <w:spacing w:val="-4"/>
                <w:sz w:val="21"/>
                <w:szCs w:val="21"/>
              </w:rPr>
            </w:pPr>
          </w:p>
        </w:tc>
        <w:tc>
          <w:tcPr>
            <w:tcW w:w="990" w:type="dxa"/>
            <w:gridSpan w:val="2"/>
          </w:tcPr>
          <w:p w14:paraId="16B11143">
            <w:pPr>
              <w:keepNext w:val="0"/>
              <w:keepLines w:val="0"/>
              <w:pageBreakBefore w:val="0"/>
              <w:widowControl w:val="0"/>
              <w:kinsoku/>
              <w:wordWrap/>
              <w:overflowPunct/>
              <w:topLinePunct w:val="0"/>
              <w:autoSpaceDE/>
              <w:autoSpaceDN/>
              <w:bidi w:val="0"/>
              <w:spacing w:before="69" w:line="320" w:lineRule="exact"/>
              <w:ind w:left="204" w:leftChars="0" w:right="59" w:rightChars="0" w:firstLine="404" w:firstLineChars="200"/>
              <w:rPr>
                <w:rFonts w:ascii="宋体" w:hAnsi="宋体" w:eastAsia="宋体" w:cs="宋体"/>
                <w:spacing w:val="-4"/>
                <w:sz w:val="21"/>
                <w:szCs w:val="21"/>
              </w:rPr>
            </w:pPr>
          </w:p>
        </w:tc>
      </w:tr>
      <w:tr w14:paraId="79EC40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6" w:hRule="atLeast"/>
        </w:trPr>
        <w:tc>
          <w:tcPr>
            <w:tcW w:w="557" w:type="dxa"/>
            <w:shd w:val="clear" w:color="auto" w:fill="auto"/>
            <w:vAlign w:val="center"/>
          </w:tcPr>
          <w:p w14:paraId="47F200EA">
            <w:pPr>
              <w:keepNext w:val="0"/>
              <w:keepLines w:val="0"/>
              <w:pageBreakBefore w:val="0"/>
              <w:widowControl w:val="0"/>
              <w:kinsoku/>
              <w:wordWrap/>
              <w:overflowPunct/>
              <w:topLinePunct w:val="0"/>
              <w:autoSpaceDE/>
              <w:autoSpaceDN/>
              <w:bidi w:val="0"/>
              <w:spacing w:before="68" w:line="320" w:lineRule="exact"/>
              <w:ind w:left="0" w:leftChars="0" w:firstLine="0" w:firstLineChars="0"/>
              <w:jc w:val="center"/>
              <w:rPr>
                <w:rFonts w:hint="eastAsia" w:ascii="仿宋_GB2312" w:hAnsi="仿宋_GB2312" w:eastAsia="仿宋_GB2312" w:cs="仿宋_GB2312"/>
                <w:spacing w:val="-8"/>
                <w:sz w:val="24"/>
                <w:szCs w:val="24"/>
                <w:lang w:val="en-US" w:eastAsia="zh-CN"/>
              </w:rPr>
            </w:pPr>
            <w:r>
              <w:rPr>
                <w:rFonts w:hint="eastAsia" w:ascii="仿宋_GB2312" w:hAnsi="仿宋_GB2312" w:eastAsia="仿宋_GB2312" w:cs="仿宋_GB2312"/>
                <w:spacing w:val="-8"/>
                <w:sz w:val="24"/>
                <w:szCs w:val="24"/>
                <w:lang w:val="en-US" w:eastAsia="zh-CN"/>
              </w:rPr>
              <w:t>126</w:t>
            </w:r>
          </w:p>
        </w:tc>
        <w:tc>
          <w:tcPr>
            <w:tcW w:w="2355" w:type="dxa"/>
            <w:shd w:val="clear" w:color="auto" w:fill="auto"/>
            <w:vAlign w:val="center"/>
          </w:tcPr>
          <w:p w14:paraId="7B2E5E64">
            <w:pPr>
              <w:keepNext w:val="0"/>
              <w:keepLines w:val="0"/>
              <w:pageBreakBefore w:val="0"/>
              <w:widowControl w:val="0"/>
              <w:kinsoku/>
              <w:wordWrap/>
              <w:overflowPunct/>
              <w:topLinePunct w:val="0"/>
              <w:autoSpaceDE/>
              <w:autoSpaceDN/>
              <w:bidi w:val="0"/>
              <w:spacing w:before="68" w:line="320" w:lineRule="exact"/>
              <w:ind w:left="240" w:leftChars="100" w:right="127" w:rightChars="53" w:firstLine="0" w:firstLineChars="0"/>
              <w:jc w:val="center"/>
              <w:rPr>
                <w:rFonts w:hint="eastAsia" w:ascii="宋体" w:hAnsi="宋体" w:eastAsia="宋体" w:cs="宋体"/>
                <w:spacing w:val="-8"/>
                <w:kern w:val="2"/>
                <w:sz w:val="21"/>
                <w:szCs w:val="21"/>
                <w:lang w:val="en-US" w:eastAsia="zh-CN" w:bidi="ar-SA"/>
              </w:rPr>
            </w:pPr>
            <w:r>
              <w:rPr>
                <w:rFonts w:hint="eastAsia" w:ascii="宋体" w:hAnsi="宋体" w:eastAsia="宋体" w:cs="宋体"/>
                <w:spacing w:val="-8"/>
                <w:sz w:val="21"/>
                <w:szCs w:val="21"/>
                <w:lang w:val="en-US" w:eastAsia="zh-CN"/>
              </w:rPr>
              <w:t>对拒不接受放射性污染检查或被检查时不如实反映情况和提供必要资料的行政处罚</w:t>
            </w:r>
          </w:p>
        </w:tc>
        <w:tc>
          <w:tcPr>
            <w:tcW w:w="1094" w:type="dxa"/>
            <w:shd w:val="clear" w:color="auto" w:fill="auto"/>
            <w:vAlign w:val="center"/>
          </w:tcPr>
          <w:p w14:paraId="68A5A6AC">
            <w:pPr>
              <w:keepNext w:val="0"/>
              <w:keepLines w:val="0"/>
              <w:pageBreakBefore w:val="0"/>
              <w:widowControl w:val="0"/>
              <w:kinsoku/>
              <w:wordWrap/>
              <w:overflowPunct/>
              <w:topLinePunct w:val="0"/>
              <w:autoSpaceDE/>
              <w:autoSpaceDN/>
              <w:bidi w:val="0"/>
              <w:spacing w:before="68" w:line="320" w:lineRule="exact"/>
              <w:ind w:left="0" w:leftChars="0" w:firstLine="0" w:firstLineChars="0"/>
              <w:jc w:val="center"/>
              <w:rPr>
                <w:rFonts w:hint="eastAsia" w:ascii="仿宋_GB2312" w:hAnsi="仿宋_GB2312" w:eastAsia="仿宋_GB2312" w:cs="仿宋_GB2312"/>
                <w:spacing w:val="-8"/>
                <w:kern w:val="2"/>
                <w:sz w:val="24"/>
                <w:szCs w:val="24"/>
                <w:lang w:val="en-US" w:eastAsia="zh-CN" w:bidi="ar-SA"/>
              </w:rPr>
            </w:pPr>
            <w:r>
              <w:rPr>
                <w:rFonts w:hint="eastAsia" w:ascii="仿宋_GB2312" w:hAnsi="仿宋_GB2312" w:eastAsia="仿宋_GB2312" w:cs="仿宋_GB2312"/>
                <w:spacing w:val="-8"/>
                <w:sz w:val="24"/>
                <w:szCs w:val="24"/>
                <w:lang w:val="en-US" w:eastAsia="zh-CN"/>
              </w:rPr>
              <w:t>行政处罚</w:t>
            </w:r>
          </w:p>
        </w:tc>
        <w:tc>
          <w:tcPr>
            <w:tcW w:w="8317" w:type="dxa"/>
            <w:shd w:val="clear" w:color="auto" w:fill="auto"/>
            <w:vAlign w:val="top"/>
          </w:tcPr>
          <w:p w14:paraId="1CB3530C">
            <w:pPr>
              <w:keepNext w:val="0"/>
              <w:keepLines w:val="0"/>
              <w:pageBreakBefore w:val="0"/>
              <w:widowControl w:val="0"/>
              <w:suppressLineNumbers w:val="0"/>
              <w:kinsoku/>
              <w:wordWrap/>
              <w:overflowPunct/>
              <w:topLinePunct w:val="0"/>
              <w:autoSpaceDE/>
              <w:autoSpaceDN/>
              <w:bidi w:val="0"/>
              <w:adjustRightInd/>
              <w:snapToGrid/>
              <w:spacing w:after="0" w:afterLines="-2147483648" w:line="320" w:lineRule="exact"/>
              <w:ind w:left="240" w:leftChars="100" w:firstLine="420" w:firstLineChars="200"/>
              <w:jc w:val="both"/>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中华人民共和国放射性污染防治法》第四十九条第二项违反本法规定，有下列行为之一的，由县级以上人民政府环境保护行政主管部门或者其他有关部门依据职权责令限期改正，可以处二万元以下罚款：（二）拒绝环境保护行政主管部门和其他有关部门进行现场检查，或者被检查时不如实反映情况和提供必要资料的。</w:t>
            </w:r>
          </w:p>
        </w:tc>
        <w:tc>
          <w:tcPr>
            <w:tcW w:w="1129" w:type="dxa"/>
          </w:tcPr>
          <w:p w14:paraId="21CCFC70">
            <w:pPr>
              <w:keepNext w:val="0"/>
              <w:keepLines w:val="0"/>
              <w:pageBreakBefore w:val="0"/>
              <w:widowControl w:val="0"/>
              <w:kinsoku/>
              <w:wordWrap/>
              <w:overflowPunct/>
              <w:topLinePunct w:val="0"/>
              <w:autoSpaceDE/>
              <w:autoSpaceDN/>
              <w:bidi w:val="0"/>
              <w:spacing w:before="69" w:line="320" w:lineRule="exact"/>
              <w:ind w:left="49" w:leftChars="0" w:right="26" w:rightChars="0" w:firstLine="404" w:firstLineChars="200"/>
              <w:rPr>
                <w:rFonts w:ascii="宋体" w:hAnsi="宋体" w:eastAsia="宋体" w:cs="宋体"/>
                <w:spacing w:val="-4"/>
                <w:sz w:val="21"/>
                <w:szCs w:val="21"/>
              </w:rPr>
            </w:pPr>
          </w:p>
        </w:tc>
        <w:tc>
          <w:tcPr>
            <w:tcW w:w="990" w:type="dxa"/>
            <w:gridSpan w:val="2"/>
          </w:tcPr>
          <w:p w14:paraId="5A889436">
            <w:pPr>
              <w:keepNext w:val="0"/>
              <w:keepLines w:val="0"/>
              <w:pageBreakBefore w:val="0"/>
              <w:widowControl w:val="0"/>
              <w:kinsoku/>
              <w:wordWrap/>
              <w:overflowPunct/>
              <w:topLinePunct w:val="0"/>
              <w:autoSpaceDE/>
              <w:autoSpaceDN/>
              <w:bidi w:val="0"/>
              <w:spacing w:before="69" w:line="320" w:lineRule="exact"/>
              <w:ind w:left="204" w:leftChars="0" w:right="59" w:rightChars="0" w:firstLine="404" w:firstLineChars="200"/>
              <w:rPr>
                <w:rFonts w:ascii="宋体" w:hAnsi="宋体" w:eastAsia="宋体" w:cs="宋体"/>
                <w:spacing w:val="-4"/>
                <w:sz w:val="21"/>
                <w:szCs w:val="21"/>
              </w:rPr>
            </w:pPr>
          </w:p>
        </w:tc>
      </w:tr>
      <w:tr w14:paraId="5A35E0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6" w:hRule="atLeast"/>
        </w:trPr>
        <w:tc>
          <w:tcPr>
            <w:tcW w:w="557" w:type="dxa"/>
            <w:shd w:val="clear" w:color="auto" w:fill="auto"/>
            <w:vAlign w:val="center"/>
          </w:tcPr>
          <w:p w14:paraId="0DFA5F2F">
            <w:pPr>
              <w:keepNext w:val="0"/>
              <w:keepLines w:val="0"/>
              <w:pageBreakBefore w:val="0"/>
              <w:widowControl w:val="0"/>
              <w:kinsoku/>
              <w:wordWrap/>
              <w:overflowPunct/>
              <w:topLinePunct w:val="0"/>
              <w:autoSpaceDE/>
              <w:autoSpaceDN/>
              <w:bidi w:val="0"/>
              <w:spacing w:before="68" w:line="320" w:lineRule="exact"/>
              <w:ind w:left="0" w:leftChars="0" w:firstLine="0" w:firstLineChars="0"/>
              <w:jc w:val="center"/>
              <w:rPr>
                <w:rFonts w:hint="eastAsia" w:ascii="仿宋_GB2312" w:hAnsi="仿宋_GB2312" w:eastAsia="仿宋_GB2312" w:cs="仿宋_GB2312"/>
                <w:spacing w:val="-8"/>
                <w:sz w:val="24"/>
                <w:szCs w:val="24"/>
                <w:lang w:val="en-US" w:eastAsia="zh-CN"/>
              </w:rPr>
            </w:pPr>
            <w:r>
              <w:rPr>
                <w:rFonts w:hint="eastAsia" w:ascii="仿宋_GB2312" w:hAnsi="仿宋_GB2312" w:eastAsia="仿宋_GB2312" w:cs="仿宋_GB2312"/>
                <w:spacing w:val="-8"/>
                <w:sz w:val="24"/>
                <w:szCs w:val="24"/>
                <w:lang w:val="en-US" w:eastAsia="zh-CN"/>
              </w:rPr>
              <w:t>127</w:t>
            </w:r>
          </w:p>
        </w:tc>
        <w:tc>
          <w:tcPr>
            <w:tcW w:w="2355" w:type="dxa"/>
            <w:shd w:val="clear" w:color="auto" w:fill="auto"/>
            <w:vAlign w:val="center"/>
          </w:tcPr>
          <w:p w14:paraId="1DC695D8">
            <w:pPr>
              <w:keepNext w:val="0"/>
              <w:keepLines w:val="0"/>
              <w:pageBreakBefore w:val="0"/>
              <w:widowControl w:val="0"/>
              <w:kinsoku/>
              <w:wordWrap/>
              <w:overflowPunct/>
              <w:topLinePunct w:val="0"/>
              <w:autoSpaceDE/>
              <w:autoSpaceDN/>
              <w:bidi w:val="0"/>
              <w:spacing w:before="68" w:line="320" w:lineRule="exact"/>
              <w:ind w:left="240" w:leftChars="100" w:right="127" w:rightChars="53" w:firstLine="0" w:firstLineChars="0"/>
              <w:jc w:val="center"/>
              <w:rPr>
                <w:rFonts w:hint="eastAsia" w:ascii="宋体" w:hAnsi="宋体" w:eastAsia="宋体" w:cs="宋体"/>
                <w:spacing w:val="-8"/>
                <w:kern w:val="2"/>
                <w:sz w:val="21"/>
                <w:szCs w:val="21"/>
                <w:lang w:val="en-US" w:eastAsia="zh-CN" w:bidi="ar-SA"/>
              </w:rPr>
            </w:pPr>
            <w:r>
              <w:rPr>
                <w:rFonts w:hint="eastAsia" w:ascii="宋体" w:hAnsi="宋体" w:eastAsia="宋体" w:cs="宋体"/>
                <w:spacing w:val="-8"/>
                <w:sz w:val="21"/>
                <w:szCs w:val="21"/>
                <w:lang w:val="en-US" w:eastAsia="zh-CN"/>
              </w:rPr>
              <w:t>对拒不接受放射性废物检查或在检查时弄虚作假的行政处罚</w:t>
            </w:r>
          </w:p>
        </w:tc>
        <w:tc>
          <w:tcPr>
            <w:tcW w:w="1094" w:type="dxa"/>
            <w:shd w:val="clear" w:color="auto" w:fill="auto"/>
            <w:vAlign w:val="center"/>
          </w:tcPr>
          <w:p w14:paraId="49CFD85B">
            <w:pPr>
              <w:keepNext w:val="0"/>
              <w:keepLines w:val="0"/>
              <w:pageBreakBefore w:val="0"/>
              <w:widowControl w:val="0"/>
              <w:kinsoku/>
              <w:wordWrap/>
              <w:overflowPunct/>
              <w:topLinePunct w:val="0"/>
              <w:autoSpaceDE/>
              <w:autoSpaceDN/>
              <w:bidi w:val="0"/>
              <w:spacing w:before="68" w:line="320" w:lineRule="exact"/>
              <w:ind w:left="0" w:leftChars="0" w:firstLine="0" w:firstLineChars="0"/>
              <w:jc w:val="center"/>
              <w:rPr>
                <w:rFonts w:hint="eastAsia" w:ascii="仿宋_GB2312" w:hAnsi="仿宋_GB2312" w:eastAsia="仿宋_GB2312" w:cs="仿宋_GB2312"/>
                <w:spacing w:val="-8"/>
                <w:kern w:val="2"/>
                <w:sz w:val="24"/>
                <w:szCs w:val="24"/>
                <w:lang w:val="en-US" w:eastAsia="zh-CN" w:bidi="ar-SA"/>
              </w:rPr>
            </w:pPr>
            <w:r>
              <w:rPr>
                <w:rFonts w:hint="eastAsia" w:ascii="仿宋_GB2312" w:hAnsi="仿宋_GB2312" w:eastAsia="仿宋_GB2312" w:cs="仿宋_GB2312"/>
                <w:spacing w:val="-8"/>
                <w:sz w:val="24"/>
                <w:szCs w:val="24"/>
                <w:lang w:val="en-US" w:eastAsia="zh-CN"/>
              </w:rPr>
              <w:t>行政处罚</w:t>
            </w:r>
          </w:p>
        </w:tc>
        <w:tc>
          <w:tcPr>
            <w:tcW w:w="8317" w:type="dxa"/>
            <w:shd w:val="clear" w:color="auto" w:fill="auto"/>
            <w:vAlign w:val="top"/>
          </w:tcPr>
          <w:p w14:paraId="41311CE9">
            <w:pPr>
              <w:keepNext w:val="0"/>
              <w:keepLines w:val="0"/>
              <w:pageBreakBefore w:val="0"/>
              <w:widowControl w:val="0"/>
              <w:suppressLineNumbers w:val="0"/>
              <w:kinsoku/>
              <w:wordWrap/>
              <w:overflowPunct/>
              <w:topLinePunct w:val="0"/>
              <w:autoSpaceDE/>
              <w:autoSpaceDN/>
              <w:bidi w:val="0"/>
              <w:adjustRightInd/>
              <w:snapToGrid/>
              <w:spacing w:after="0" w:afterLines="-2147483648" w:line="320" w:lineRule="exact"/>
              <w:ind w:left="240" w:leftChars="100" w:firstLine="420" w:firstLineChars="200"/>
              <w:jc w:val="both"/>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放射性废物安全管理条例》第四十一条违反本条例规定，拒绝、阻碍环境保护主管部门或者其他有关部门的监督检查，或者在接受监督检查时弄虚作假的，由监督检查部门责令改正，处2万元以下的罚款；构成违反治安管理行为的，由公安机关依法给予治安管理处罚；构成犯罪的，依法追究刑事责任。</w:t>
            </w:r>
          </w:p>
        </w:tc>
        <w:tc>
          <w:tcPr>
            <w:tcW w:w="1129" w:type="dxa"/>
          </w:tcPr>
          <w:p w14:paraId="4D5B7D52">
            <w:pPr>
              <w:keepNext w:val="0"/>
              <w:keepLines w:val="0"/>
              <w:pageBreakBefore w:val="0"/>
              <w:widowControl w:val="0"/>
              <w:kinsoku/>
              <w:wordWrap/>
              <w:overflowPunct/>
              <w:topLinePunct w:val="0"/>
              <w:autoSpaceDE/>
              <w:autoSpaceDN/>
              <w:bidi w:val="0"/>
              <w:spacing w:before="69" w:line="320" w:lineRule="exact"/>
              <w:ind w:left="49" w:leftChars="0" w:right="26" w:rightChars="0" w:firstLine="404" w:firstLineChars="200"/>
              <w:rPr>
                <w:rFonts w:ascii="宋体" w:hAnsi="宋体" w:eastAsia="宋体" w:cs="宋体"/>
                <w:spacing w:val="-4"/>
                <w:sz w:val="21"/>
                <w:szCs w:val="21"/>
              </w:rPr>
            </w:pPr>
          </w:p>
        </w:tc>
        <w:tc>
          <w:tcPr>
            <w:tcW w:w="990" w:type="dxa"/>
            <w:gridSpan w:val="2"/>
          </w:tcPr>
          <w:p w14:paraId="28FBD77A">
            <w:pPr>
              <w:keepNext w:val="0"/>
              <w:keepLines w:val="0"/>
              <w:pageBreakBefore w:val="0"/>
              <w:widowControl w:val="0"/>
              <w:kinsoku/>
              <w:wordWrap/>
              <w:overflowPunct/>
              <w:topLinePunct w:val="0"/>
              <w:autoSpaceDE/>
              <w:autoSpaceDN/>
              <w:bidi w:val="0"/>
              <w:spacing w:before="69" w:line="320" w:lineRule="exact"/>
              <w:ind w:left="204" w:leftChars="0" w:right="59" w:rightChars="0" w:firstLine="404" w:firstLineChars="200"/>
              <w:rPr>
                <w:rFonts w:ascii="宋体" w:hAnsi="宋体" w:eastAsia="宋体" w:cs="宋体"/>
                <w:spacing w:val="-4"/>
                <w:sz w:val="21"/>
                <w:szCs w:val="21"/>
              </w:rPr>
            </w:pPr>
          </w:p>
        </w:tc>
      </w:tr>
      <w:tr w14:paraId="437EEA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6" w:hRule="atLeast"/>
        </w:trPr>
        <w:tc>
          <w:tcPr>
            <w:tcW w:w="557" w:type="dxa"/>
            <w:shd w:val="clear" w:color="auto" w:fill="auto"/>
            <w:vAlign w:val="center"/>
          </w:tcPr>
          <w:p w14:paraId="42773D6F">
            <w:pPr>
              <w:keepNext w:val="0"/>
              <w:keepLines w:val="0"/>
              <w:pageBreakBefore w:val="0"/>
              <w:widowControl w:val="0"/>
              <w:kinsoku/>
              <w:wordWrap/>
              <w:overflowPunct/>
              <w:topLinePunct w:val="0"/>
              <w:autoSpaceDE/>
              <w:autoSpaceDN/>
              <w:bidi w:val="0"/>
              <w:spacing w:before="68" w:line="320" w:lineRule="exact"/>
              <w:ind w:left="0" w:leftChars="0" w:firstLine="0" w:firstLineChars="0"/>
              <w:jc w:val="center"/>
              <w:rPr>
                <w:rFonts w:hint="eastAsia" w:ascii="仿宋_GB2312" w:hAnsi="仿宋_GB2312" w:eastAsia="仿宋_GB2312" w:cs="仿宋_GB2312"/>
                <w:spacing w:val="-8"/>
                <w:sz w:val="24"/>
                <w:szCs w:val="24"/>
                <w:lang w:val="en-US" w:eastAsia="zh-CN"/>
              </w:rPr>
            </w:pPr>
            <w:r>
              <w:rPr>
                <w:rFonts w:hint="eastAsia" w:ascii="仿宋_GB2312" w:hAnsi="仿宋_GB2312" w:eastAsia="仿宋_GB2312" w:cs="仿宋_GB2312"/>
                <w:spacing w:val="-8"/>
                <w:sz w:val="24"/>
                <w:szCs w:val="24"/>
                <w:lang w:val="en-US" w:eastAsia="zh-CN"/>
              </w:rPr>
              <w:t>128</w:t>
            </w:r>
          </w:p>
        </w:tc>
        <w:tc>
          <w:tcPr>
            <w:tcW w:w="2355" w:type="dxa"/>
            <w:shd w:val="clear" w:color="auto" w:fill="auto"/>
            <w:vAlign w:val="center"/>
          </w:tcPr>
          <w:p w14:paraId="6986A8B9">
            <w:pPr>
              <w:keepNext w:val="0"/>
              <w:keepLines w:val="0"/>
              <w:pageBreakBefore w:val="0"/>
              <w:widowControl w:val="0"/>
              <w:kinsoku/>
              <w:wordWrap/>
              <w:overflowPunct/>
              <w:topLinePunct w:val="0"/>
              <w:autoSpaceDE/>
              <w:autoSpaceDN/>
              <w:bidi w:val="0"/>
              <w:spacing w:before="68" w:line="320" w:lineRule="exact"/>
              <w:ind w:left="240" w:leftChars="100" w:right="127" w:rightChars="53" w:firstLine="0" w:firstLineChars="0"/>
              <w:jc w:val="center"/>
              <w:rPr>
                <w:rFonts w:hint="eastAsia" w:ascii="宋体" w:hAnsi="宋体" w:eastAsia="宋体" w:cs="宋体"/>
                <w:spacing w:val="-8"/>
                <w:kern w:val="2"/>
                <w:sz w:val="21"/>
                <w:szCs w:val="21"/>
                <w:lang w:val="en-US" w:eastAsia="zh-CN" w:bidi="ar-SA"/>
              </w:rPr>
            </w:pPr>
            <w:r>
              <w:rPr>
                <w:rFonts w:hint="eastAsia" w:ascii="宋体" w:hAnsi="宋体" w:eastAsia="宋体" w:cs="宋体"/>
                <w:spacing w:val="-8"/>
                <w:sz w:val="21"/>
                <w:szCs w:val="21"/>
                <w:lang w:val="en-US" w:eastAsia="zh-CN"/>
              </w:rPr>
              <w:t>对拒不接受放射性物品运输检查或在检查时弄虚作假的行政处罚</w:t>
            </w:r>
          </w:p>
        </w:tc>
        <w:tc>
          <w:tcPr>
            <w:tcW w:w="1094" w:type="dxa"/>
            <w:shd w:val="clear" w:color="auto" w:fill="auto"/>
            <w:vAlign w:val="center"/>
          </w:tcPr>
          <w:p w14:paraId="43E70FF9">
            <w:pPr>
              <w:keepNext w:val="0"/>
              <w:keepLines w:val="0"/>
              <w:pageBreakBefore w:val="0"/>
              <w:widowControl w:val="0"/>
              <w:kinsoku/>
              <w:wordWrap/>
              <w:overflowPunct/>
              <w:topLinePunct w:val="0"/>
              <w:autoSpaceDE/>
              <w:autoSpaceDN/>
              <w:bidi w:val="0"/>
              <w:spacing w:before="68" w:line="320" w:lineRule="exact"/>
              <w:ind w:left="0" w:leftChars="0" w:firstLine="0" w:firstLineChars="0"/>
              <w:jc w:val="center"/>
              <w:rPr>
                <w:rFonts w:hint="eastAsia" w:ascii="仿宋_GB2312" w:hAnsi="仿宋_GB2312" w:eastAsia="仿宋_GB2312" w:cs="仿宋_GB2312"/>
                <w:spacing w:val="-8"/>
                <w:kern w:val="2"/>
                <w:sz w:val="24"/>
                <w:szCs w:val="24"/>
                <w:lang w:val="en-US" w:eastAsia="zh-CN" w:bidi="ar-SA"/>
              </w:rPr>
            </w:pPr>
            <w:r>
              <w:rPr>
                <w:rFonts w:hint="eastAsia" w:ascii="仿宋_GB2312" w:hAnsi="仿宋_GB2312" w:eastAsia="仿宋_GB2312" w:cs="仿宋_GB2312"/>
                <w:spacing w:val="-8"/>
                <w:sz w:val="24"/>
                <w:szCs w:val="24"/>
                <w:lang w:val="en-US" w:eastAsia="zh-CN"/>
              </w:rPr>
              <w:t>行政处罚</w:t>
            </w:r>
          </w:p>
        </w:tc>
        <w:tc>
          <w:tcPr>
            <w:tcW w:w="8317" w:type="dxa"/>
            <w:shd w:val="clear" w:color="auto" w:fill="auto"/>
            <w:vAlign w:val="top"/>
          </w:tcPr>
          <w:p w14:paraId="0D0E3DA5">
            <w:pPr>
              <w:keepNext w:val="0"/>
              <w:keepLines w:val="0"/>
              <w:pageBreakBefore w:val="0"/>
              <w:widowControl w:val="0"/>
              <w:suppressLineNumbers w:val="0"/>
              <w:kinsoku/>
              <w:wordWrap/>
              <w:overflowPunct/>
              <w:topLinePunct w:val="0"/>
              <w:autoSpaceDE/>
              <w:autoSpaceDN/>
              <w:bidi w:val="0"/>
              <w:adjustRightInd/>
              <w:snapToGrid/>
              <w:spacing w:after="0" w:afterLines="-2147483648" w:line="320" w:lineRule="exact"/>
              <w:ind w:left="240" w:leftChars="100" w:firstLine="420" w:firstLineChars="200"/>
              <w:jc w:val="both"/>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放射性物品运输安全管理条例》第六十六条拒绝、阻碍国务院核安全监管部门或者其他依法履行放射性物品运输安全监督管理职责的部门进行监督检查，或者在接受监督检查时弄虚作假的，由监督检查部门责令改正，处1万元以上2万元以下的罚款；构成违反治安管理行为的，由公安机关依法给予治安管理处罚；构成犯罪的，依法追究刑事责任。</w:t>
            </w:r>
          </w:p>
        </w:tc>
        <w:tc>
          <w:tcPr>
            <w:tcW w:w="1129" w:type="dxa"/>
          </w:tcPr>
          <w:p w14:paraId="40610E94">
            <w:pPr>
              <w:keepNext w:val="0"/>
              <w:keepLines w:val="0"/>
              <w:pageBreakBefore w:val="0"/>
              <w:widowControl w:val="0"/>
              <w:kinsoku/>
              <w:wordWrap/>
              <w:overflowPunct/>
              <w:topLinePunct w:val="0"/>
              <w:autoSpaceDE/>
              <w:autoSpaceDN/>
              <w:bidi w:val="0"/>
              <w:spacing w:before="69" w:line="320" w:lineRule="exact"/>
              <w:ind w:left="49" w:leftChars="0" w:right="26" w:rightChars="0" w:firstLine="404" w:firstLineChars="200"/>
              <w:rPr>
                <w:rFonts w:ascii="宋体" w:hAnsi="宋体" w:eastAsia="宋体" w:cs="宋体"/>
                <w:spacing w:val="-4"/>
                <w:sz w:val="21"/>
                <w:szCs w:val="21"/>
              </w:rPr>
            </w:pPr>
          </w:p>
        </w:tc>
        <w:tc>
          <w:tcPr>
            <w:tcW w:w="990" w:type="dxa"/>
            <w:gridSpan w:val="2"/>
          </w:tcPr>
          <w:p w14:paraId="4AC72038">
            <w:pPr>
              <w:keepNext w:val="0"/>
              <w:keepLines w:val="0"/>
              <w:pageBreakBefore w:val="0"/>
              <w:widowControl w:val="0"/>
              <w:kinsoku/>
              <w:wordWrap/>
              <w:overflowPunct/>
              <w:topLinePunct w:val="0"/>
              <w:autoSpaceDE/>
              <w:autoSpaceDN/>
              <w:bidi w:val="0"/>
              <w:spacing w:before="69" w:line="320" w:lineRule="exact"/>
              <w:ind w:left="204" w:leftChars="0" w:right="59" w:rightChars="0" w:firstLine="404" w:firstLineChars="200"/>
              <w:rPr>
                <w:rFonts w:ascii="宋体" w:hAnsi="宋体" w:eastAsia="宋体" w:cs="宋体"/>
                <w:spacing w:val="-4"/>
                <w:sz w:val="21"/>
                <w:szCs w:val="21"/>
              </w:rPr>
            </w:pPr>
          </w:p>
        </w:tc>
      </w:tr>
      <w:tr w14:paraId="5662D4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6" w:hRule="atLeast"/>
        </w:trPr>
        <w:tc>
          <w:tcPr>
            <w:tcW w:w="557" w:type="dxa"/>
            <w:shd w:val="clear" w:color="auto" w:fill="auto"/>
            <w:vAlign w:val="center"/>
          </w:tcPr>
          <w:p w14:paraId="73E6348C">
            <w:pPr>
              <w:keepNext w:val="0"/>
              <w:keepLines w:val="0"/>
              <w:pageBreakBefore w:val="0"/>
              <w:widowControl w:val="0"/>
              <w:kinsoku/>
              <w:wordWrap/>
              <w:overflowPunct/>
              <w:topLinePunct w:val="0"/>
              <w:autoSpaceDE/>
              <w:autoSpaceDN/>
              <w:bidi w:val="0"/>
              <w:spacing w:before="68" w:line="320" w:lineRule="exact"/>
              <w:ind w:left="0" w:leftChars="0" w:firstLine="0" w:firstLineChars="0"/>
              <w:jc w:val="center"/>
              <w:rPr>
                <w:rFonts w:hint="eastAsia" w:ascii="仿宋_GB2312" w:hAnsi="仿宋_GB2312" w:eastAsia="仿宋_GB2312" w:cs="仿宋_GB2312"/>
                <w:spacing w:val="-8"/>
                <w:sz w:val="24"/>
                <w:szCs w:val="24"/>
                <w:lang w:val="en-US" w:eastAsia="zh-CN"/>
              </w:rPr>
            </w:pPr>
            <w:r>
              <w:rPr>
                <w:rFonts w:hint="eastAsia" w:ascii="仿宋_GB2312" w:hAnsi="仿宋_GB2312" w:eastAsia="仿宋_GB2312" w:cs="仿宋_GB2312"/>
                <w:spacing w:val="-8"/>
                <w:sz w:val="24"/>
                <w:szCs w:val="24"/>
                <w:lang w:val="en-US" w:eastAsia="zh-CN"/>
              </w:rPr>
              <w:t>129</w:t>
            </w:r>
          </w:p>
        </w:tc>
        <w:tc>
          <w:tcPr>
            <w:tcW w:w="2355" w:type="dxa"/>
            <w:shd w:val="clear" w:color="auto" w:fill="auto"/>
            <w:vAlign w:val="center"/>
          </w:tcPr>
          <w:p w14:paraId="1164EBB5">
            <w:pPr>
              <w:keepNext w:val="0"/>
              <w:keepLines w:val="0"/>
              <w:pageBreakBefore w:val="0"/>
              <w:widowControl w:val="0"/>
              <w:kinsoku/>
              <w:wordWrap/>
              <w:overflowPunct/>
              <w:topLinePunct w:val="0"/>
              <w:autoSpaceDE/>
              <w:autoSpaceDN/>
              <w:bidi w:val="0"/>
              <w:spacing w:before="68" w:line="320" w:lineRule="exact"/>
              <w:ind w:left="240" w:leftChars="100" w:right="127" w:rightChars="53" w:firstLine="0" w:firstLineChars="0"/>
              <w:jc w:val="center"/>
              <w:rPr>
                <w:rFonts w:hint="eastAsia" w:ascii="宋体" w:hAnsi="宋体" w:eastAsia="宋体" w:cs="宋体"/>
                <w:spacing w:val="-8"/>
                <w:kern w:val="2"/>
                <w:sz w:val="21"/>
                <w:szCs w:val="21"/>
                <w:lang w:val="en-US" w:eastAsia="zh-CN" w:bidi="ar-SA"/>
              </w:rPr>
            </w:pPr>
            <w:r>
              <w:rPr>
                <w:rFonts w:hint="eastAsia" w:ascii="宋体" w:hAnsi="宋体" w:eastAsia="宋体" w:cs="宋体"/>
                <w:spacing w:val="-8"/>
                <w:sz w:val="21"/>
                <w:szCs w:val="21"/>
                <w:lang w:val="en-US" w:eastAsia="zh-CN"/>
              </w:rPr>
              <w:t>对未建造放射性污染防治设施等行为的行政处罚</w:t>
            </w:r>
          </w:p>
        </w:tc>
        <w:tc>
          <w:tcPr>
            <w:tcW w:w="1094" w:type="dxa"/>
            <w:shd w:val="clear" w:color="auto" w:fill="auto"/>
            <w:vAlign w:val="center"/>
          </w:tcPr>
          <w:p w14:paraId="38B79A07">
            <w:pPr>
              <w:keepNext w:val="0"/>
              <w:keepLines w:val="0"/>
              <w:pageBreakBefore w:val="0"/>
              <w:widowControl w:val="0"/>
              <w:kinsoku/>
              <w:wordWrap/>
              <w:overflowPunct/>
              <w:topLinePunct w:val="0"/>
              <w:autoSpaceDE/>
              <w:autoSpaceDN/>
              <w:bidi w:val="0"/>
              <w:spacing w:before="68" w:line="320" w:lineRule="exact"/>
              <w:ind w:left="0" w:leftChars="0" w:firstLine="0" w:firstLineChars="0"/>
              <w:jc w:val="center"/>
              <w:rPr>
                <w:rFonts w:hint="eastAsia" w:ascii="仿宋_GB2312" w:hAnsi="仿宋_GB2312" w:eastAsia="仿宋_GB2312" w:cs="仿宋_GB2312"/>
                <w:spacing w:val="-8"/>
                <w:kern w:val="2"/>
                <w:sz w:val="24"/>
                <w:szCs w:val="24"/>
                <w:lang w:val="en-US" w:eastAsia="zh-CN" w:bidi="ar-SA"/>
              </w:rPr>
            </w:pPr>
            <w:r>
              <w:rPr>
                <w:rFonts w:hint="eastAsia" w:ascii="仿宋_GB2312" w:hAnsi="仿宋_GB2312" w:eastAsia="仿宋_GB2312" w:cs="仿宋_GB2312"/>
                <w:spacing w:val="-8"/>
                <w:sz w:val="24"/>
                <w:szCs w:val="24"/>
                <w:lang w:val="en-US" w:eastAsia="zh-CN"/>
              </w:rPr>
              <w:t>行政处罚</w:t>
            </w:r>
          </w:p>
        </w:tc>
        <w:tc>
          <w:tcPr>
            <w:tcW w:w="8317" w:type="dxa"/>
            <w:shd w:val="clear" w:color="auto" w:fill="auto"/>
            <w:vAlign w:val="top"/>
          </w:tcPr>
          <w:p w14:paraId="56EC8E42">
            <w:pPr>
              <w:keepNext w:val="0"/>
              <w:keepLines w:val="0"/>
              <w:pageBreakBefore w:val="0"/>
              <w:widowControl w:val="0"/>
              <w:suppressLineNumbers w:val="0"/>
              <w:kinsoku/>
              <w:wordWrap/>
              <w:overflowPunct/>
              <w:topLinePunct w:val="0"/>
              <w:autoSpaceDE/>
              <w:autoSpaceDN/>
              <w:bidi w:val="0"/>
              <w:adjustRightInd/>
              <w:snapToGrid/>
              <w:spacing w:after="0" w:afterLines="-2147483648" w:line="320" w:lineRule="exact"/>
              <w:ind w:left="240" w:leftChars="100" w:firstLine="420" w:firstLineChars="200"/>
              <w:jc w:val="both"/>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中华人民共和国放射性污染防治法》第五十一条违反本法规定，未建造放射性污染防治设施、放射防护设施，或者防治防护设施未经验收合格，主体工程即投入生产或者使用的，由审批环境影响评价文件的环境保护行政主管部门责令停止违法行为，限期改正，并处五万元以上二十万元以下罚款。</w:t>
            </w:r>
          </w:p>
        </w:tc>
        <w:tc>
          <w:tcPr>
            <w:tcW w:w="1129" w:type="dxa"/>
          </w:tcPr>
          <w:p w14:paraId="1DEF0D6C">
            <w:pPr>
              <w:keepNext w:val="0"/>
              <w:keepLines w:val="0"/>
              <w:pageBreakBefore w:val="0"/>
              <w:widowControl w:val="0"/>
              <w:kinsoku/>
              <w:wordWrap/>
              <w:overflowPunct/>
              <w:topLinePunct w:val="0"/>
              <w:autoSpaceDE/>
              <w:autoSpaceDN/>
              <w:bidi w:val="0"/>
              <w:spacing w:before="69" w:line="320" w:lineRule="exact"/>
              <w:ind w:left="49" w:leftChars="0" w:right="26" w:rightChars="0" w:firstLine="404" w:firstLineChars="200"/>
              <w:rPr>
                <w:rFonts w:ascii="宋体" w:hAnsi="宋体" w:eastAsia="宋体" w:cs="宋体"/>
                <w:spacing w:val="-4"/>
                <w:sz w:val="21"/>
                <w:szCs w:val="21"/>
              </w:rPr>
            </w:pPr>
          </w:p>
        </w:tc>
        <w:tc>
          <w:tcPr>
            <w:tcW w:w="990" w:type="dxa"/>
            <w:gridSpan w:val="2"/>
          </w:tcPr>
          <w:p w14:paraId="57271AEA">
            <w:pPr>
              <w:keepNext w:val="0"/>
              <w:keepLines w:val="0"/>
              <w:pageBreakBefore w:val="0"/>
              <w:widowControl w:val="0"/>
              <w:kinsoku/>
              <w:wordWrap/>
              <w:overflowPunct/>
              <w:topLinePunct w:val="0"/>
              <w:autoSpaceDE/>
              <w:autoSpaceDN/>
              <w:bidi w:val="0"/>
              <w:spacing w:before="69" w:line="320" w:lineRule="exact"/>
              <w:ind w:left="204" w:leftChars="0" w:right="59" w:rightChars="0" w:firstLine="404" w:firstLineChars="200"/>
              <w:rPr>
                <w:rFonts w:ascii="宋体" w:hAnsi="宋体" w:eastAsia="宋体" w:cs="宋体"/>
                <w:spacing w:val="-4"/>
                <w:sz w:val="21"/>
                <w:szCs w:val="21"/>
              </w:rPr>
            </w:pPr>
          </w:p>
        </w:tc>
      </w:tr>
      <w:tr w14:paraId="6A5942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6" w:hRule="atLeast"/>
        </w:trPr>
        <w:tc>
          <w:tcPr>
            <w:tcW w:w="557" w:type="dxa"/>
            <w:shd w:val="clear" w:color="auto" w:fill="auto"/>
            <w:vAlign w:val="center"/>
          </w:tcPr>
          <w:p w14:paraId="42046969">
            <w:pPr>
              <w:keepNext w:val="0"/>
              <w:keepLines w:val="0"/>
              <w:pageBreakBefore w:val="0"/>
              <w:widowControl w:val="0"/>
              <w:kinsoku/>
              <w:wordWrap/>
              <w:overflowPunct/>
              <w:topLinePunct w:val="0"/>
              <w:autoSpaceDE/>
              <w:autoSpaceDN/>
              <w:bidi w:val="0"/>
              <w:spacing w:before="68" w:line="320" w:lineRule="exact"/>
              <w:ind w:left="0" w:leftChars="0" w:firstLine="0" w:firstLineChars="0"/>
              <w:jc w:val="center"/>
              <w:rPr>
                <w:rFonts w:hint="eastAsia" w:ascii="仿宋_GB2312" w:hAnsi="仿宋_GB2312" w:eastAsia="仿宋_GB2312" w:cs="仿宋_GB2312"/>
                <w:spacing w:val="-8"/>
                <w:sz w:val="24"/>
                <w:szCs w:val="24"/>
                <w:lang w:val="en-US" w:eastAsia="zh-CN"/>
              </w:rPr>
            </w:pPr>
            <w:r>
              <w:rPr>
                <w:rFonts w:hint="eastAsia" w:ascii="仿宋_GB2312" w:hAnsi="仿宋_GB2312" w:eastAsia="仿宋_GB2312" w:cs="仿宋_GB2312"/>
                <w:spacing w:val="-8"/>
                <w:sz w:val="24"/>
                <w:szCs w:val="24"/>
                <w:lang w:val="en-US" w:eastAsia="zh-CN"/>
              </w:rPr>
              <w:t>130</w:t>
            </w:r>
          </w:p>
        </w:tc>
        <w:tc>
          <w:tcPr>
            <w:tcW w:w="2355" w:type="dxa"/>
            <w:shd w:val="clear" w:color="auto" w:fill="auto"/>
            <w:vAlign w:val="center"/>
          </w:tcPr>
          <w:p w14:paraId="686CEF90">
            <w:pPr>
              <w:keepNext w:val="0"/>
              <w:keepLines w:val="0"/>
              <w:pageBreakBefore w:val="0"/>
              <w:widowControl w:val="0"/>
              <w:kinsoku/>
              <w:wordWrap/>
              <w:overflowPunct/>
              <w:topLinePunct w:val="0"/>
              <w:autoSpaceDE/>
              <w:autoSpaceDN/>
              <w:bidi w:val="0"/>
              <w:spacing w:before="68" w:line="320" w:lineRule="exact"/>
              <w:ind w:left="240" w:leftChars="100" w:right="127" w:rightChars="53" w:firstLine="0" w:firstLineChars="0"/>
              <w:jc w:val="center"/>
              <w:rPr>
                <w:rFonts w:hint="eastAsia" w:ascii="宋体" w:hAnsi="宋体" w:eastAsia="宋体" w:cs="宋体"/>
                <w:spacing w:val="-8"/>
                <w:kern w:val="2"/>
                <w:sz w:val="21"/>
                <w:szCs w:val="21"/>
                <w:lang w:val="en-US" w:eastAsia="zh-CN" w:bidi="ar-SA"/>
              </w:rPr>
            </w:pPr>
            <w:r>
              <w:rPr>
                <w:rFonts w:hint="eastAsia" w:ascii="宋体" w:hAnsi="宋体" w:eastAsia="宋体" w:cs="宋体"/>
                <w:spacing w:val="-8"/>
                <w:sz w:val="21"/>
                <w:szCs w:val="21"/>
                <w:lang w:val="en-US" w:eastAsia="zh-CN"/>
              </w:rPr>
              <w:t>对违法生产、销售、使用、转让、进口、贮存放射性同位素和射线装置以及装备有放射性同位素仪表的行政处罚</w:t>
            </w:r>
          </w:p>
        </w:tc>
        <w:tc>
          <w:tcPr>
            <w:tcW w:w="1094" w:type="dxa"/>
            <w:shd w:val="clear" w:color="auto" w:fill="auto"/>
            <w:vAlign w:val="center"/>
          </w:tcPr>
          <w:p w14:paraId="722B4F4F">
            <w:pPr>
              <w:keepNext w:val="0"/>
              <w:keepLines w:val="0"/>
              <w:pageBreakBefore w:val="0"/>
              <w:widowControl w:val="0"/>
              <w:kinsoku/>
              <w:wordWrap/>
              <w:overflowPunct/>
              <w:topLinePunct w:val="0"/>
              <w:autoSpaceDE/>
              <w:autoSpaceDN/>
              <w:bidi w:val="0"/>
              <w:spacing w:before="68" w:line="320" w:lineRule="exact"/>
              <w:ind w:left="0" w:leftChars="0" w:firstLine="0" w:firstLineChars="0"/>
              <w:jc w:val="center"/>
              <w:rPr>
                <w:rFonts w:hint="eastAsia" w:ascii="仿宋_GB2312" w:hAnsi="仿宋_GB2312" w:eastAsia="仿宋_GB2312" w:cs="仿宋_GB2312"/>
                <w:spacing w:val="-8"/>
                <w:kern w:val="2"/>
                <w:sz w:val="24"/>
                <w:szCs w:val="24"/>
                <w:lang w:val="en-US" w:eastAsia="zh-CN" w:bidi="ar-SA"/>
              </w:rPr>
            </w:pPr>
            <w:r>
              <w:rPr>
                <w:rFonts w:hint="eastAsia" w:ascii="仿宋_GB2312" w:hAnsi="仿宋_GB2312" w:eastAsia="仿宋_GB2312" w:cs="仿宋_GB2312"/>
                <w:spacing w:val="-8"/>
                <w:sz w:val="24"/>
                <w:szCs w:val="24"/>
                <w:lang w:val="en-US" w:eastAsia="zh-CN"/>
              </w:rPr>
              <w:t>行政处罚</w:t>
            </w:r>
          </w:p>
        </w:tc>
        <w:tc>
          <w:tcPr>
            <w:tcW w:w="8317" w:type="dxa"/>
            <w:shd w:val="clear" w:color="auto" w:fill="auto"/>
            <w:vAlign w:val="top"/>
          </w:tcPr>
          <w:p w14:paraId="03CD70D9">
            <w:pPr>
              <w:keepNext w:val="0"/>
              <w:keepLines w:val="0"/>
              <w:pageBreakBefore w:val="0"/>
              <w:widowControl w:val="0"/>
              <w:suppressLineNumbers w:val="0"/>
              <w:kinsoku/>
              <w:wordWrap/>
              <w:overflowPunct/>
              <w:topLinePunct w:val="0"/>
              <w:autoSpaceDE/>
              <w:autoSpaceDN/>
              <w:bidi w:val="0"/>
              <w:adjustRightInd/>
              <w:snapToGrid/>
              <w:spacing w:after="0" w:afterLines="-2147483648" w:line="320" w:lineRule="exact"/>
              <w:ind w:left="240" w:leftChars="100" w:firstLine="420" w:firstLineChars="200"/>
              <w:jc w:val="both"/>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中华人民共和国放射性污染防治法》第五十三条违反本法规定，生产、销售、使用、转让、进口、贮存放射性同位素和射线装置以及装备有放射性同位素的仪表的，由县级以上人民政府环境保护行政主管部门或者其他有关部门依据职权责令停止违法行为，限期改正；逾期不改正的，责令停产停业或者吊销许可证；有违法所得的，没收违法所得；违法所得十万元以上的，并处违法所得一倍以上五倍以下罚款；没有违法所得或者违法所得不足十万元的，并处一万元以上十万元以下罚款；构成犯罪的，依法追究刑事责任。</w:t>
            </w:r>
          </w:p>
        </w:tc>
        <w:tc>
          <w:tcPr>
            <w:tcW w:w="1129" w:type="dxa"/>
          </w:tcPr>
          <w:p w14:paraId="52C02F17">
            <w:pPr>
              <w:keepNext w:val="0"/>
              <w:keepLines w:val="0"/>
              <w:pageBreakBefore w:val="0"/>
              <w:widowControl w:val="0"/>
              <w:kinsoku/>
              <w:wordWrap/>
              <w:overflowPunct/>
              <w:topLinePunct w:val="0"/>
              <w:autoSpaceDE/>
              <w:autoSpaceDN/>
              <w:bidi w:val="0"/>
              <w:spacing w:before="69" w:line="320" w:lineRule="exact"/>
              <w:ind w:left="49" w:leftChars="0" w:right="26" w:rightChars="0" w:firstLine="404" w:firstLineChars="200"/>
              <w:rPr>
                <w:rFonts w:ascii="宋体" w:hAnsi="宋体" w:eastAsia="宋体" w:cs="宋体"/>
                <w:spacing w:val="-4"/>
                <w:sz w:val="21"/>
                <w:szCs w:val="21"/>
              </w:rPr>
            </w:pPr>
          </w:p>
        </w:tc>
        <w:tc>
          <w:tcPr>
            <w:tcW w:w="990" w:type="dxa"/>
            <w:gridSpan w:val="2"/>
          </w:tcPr>
          <w:p w14:paraId="166E91BB">
            <w:pPr>
              <w:keepNext w:val="0"/>
              <w:keepLines w:val="0"/>
              <w:pageBreakBefore w:val="0"/>
              <w:widowControl w:val="0"/>
              <w:kinsoku/>
              <w:wordWrap/>
              <w:overflowPunct/>
              <w:topLinePunct w:val="0"/>
              <w:autoSpaceDE/>
              <w:autoSpaceDN/>
              <w:bidi w:val="0"/>
              <w:spacing w:before="69" w:line="320" w:lineRule="exact"/>
              <w:ind w:left="204" w:leftChars="0" w:right="59" w:rightChars="0" w:firstLine="404" w:firstLineChars="200"/>
              <w:rPr>
                <w:rFonts w:ascii="宋体" w:hAnsi="宋体" w:eastAsia="宋体" w:cs="宋体"/>
                <w:spacing w:val="-4"/>
                <w:sz w:val="21"/>
                <w:szCs w:val="21"/>
              </w:rPr>
            </w:pPr>
          </w:p>
        </w:tc>
      </w:tr>
      <w:tr w14:paraId="45AA19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6" w:hRule="atLeast"/>
        </w:trPr>
        <w:tc>
          <w:tcPr>
            <w:tcW w:w="557" w:type="dxa"/>
            <w:shd w:val="clear" w:color="auto" w:fill="auto"/>
            <w:vAlign w:val="center"/>
          </w:tcPr>
          <w:p w14:paraId="27AA5677">
            <w:pPr>
              <w:keepNext w:val="0"/>
              <w:keepLines w:val="0"/>
              <w:pageBreakBefore w:val="0"/>
              <w:widowControl w:val="0"/>
              <w:kinsoku/>
              <w:wordWrap/>
              <w:overflowPunct/>
              <w:topLinePunct w:val="0"/>
              <w:autoSpaceDE/>
              <w:autoSpaceDN/>
              <w:bidi w:val="0"/>
              <w:spacing w:before="68" w:line="320" w:lineRule="exact"/>
              <w:ind w:left="0" w:leftChars="0" w:firstLine="0" w:firstLineChars="0"/>
              <w:jc w:val="center"/>
              <w:rPr>
                <w:rFonts w:hint="eastAsia" w:ascii="仿宋_GB2312" w:hAnsi="仿宋_GB2312" w:eastAsia="仿宋_GB2312" w:cs="仿宋_GB2312"/>
                <w:spacing w:val="-8"/>
                <w:sz w:val="24"/>
                <w:szCs w:val="24"/>
                <w:lang w:val="en-US" w:eastAsia="zh-CN"/>
              </w:rPr>
            </w:pPr>
            <w:r>
              <w:rPr>
                <w:rFonts w:hint="eastAsia" w:ascii="仿宋_GB2312" w:hAnsi="仿宋_GB2312" w:eastAsia="仿宋_GB2312" w:cs="仿宋_GB2312"/>
                <w:spacing w:val="-8"/>
                <w:sz w:val="24"/>
                <w:szCs w:val="24"/>
                <w:lang w:val="en-US" w:eastAsia="zh-CN"/>
              </w:rPr>
              <w:t>131</w:t>
            </w:r>
          </w:p>
        </w:tc>
        <w:tc>
          <w:tcPr>
            <w:tcW w:w="2355" w:type="dxa"/>
            <w:shd w:val="clear" w:color="auto" w:fill="auto"/>
            <w:vAlign w:val="center"/>
          </w:tcPr>
          <w:p w14:paraId="229DA0F0">
            <w:pPr>
              <w:keepNext w:val="0"/>
              <w:keepLines w:val="0"/>
              <w:pageBreakBefore w:val="0"/>
              <w:widowControl w:val="0"/>
              <w:kinsoku/>
              <w:wordWrap/>
              <w:overflowPunct/>
              <w:topLinePunct w:val="0"/>
              <w:autoSpaceDE/>
              <w:autoSpaceDN/>
              <w:bidi w:val="0"/>
              <w:spacing w:before="68" w:line="320" w:lineRule="exact"/>
              <w:ind w:left="240" w:leftChars="100" w:right="127" w:rightChars="53" w:firstLine="0" w:firstLineChars="0"/>
              <w:jc w:val="center"/>
              <w:rPr>
                <w:rFonts w:hint="eastAsia" w:ascii="宋体" w:hAnsi="宋体" w:eastAsia="宋体" w:cs="宋体"/>
                <w:spacing w:val="-8"/>
                <w:kern w:val="2"/>
                <w:sz w:val="21"/>
                <w:szCs w:val="21"/>
                <w:lang w:val="en-US" w:eastAsia="zh-CN" w:bidi="ar-SA"/>
              </w:rPr>
            </w:pPr>
            <w:r>
              <w:rPr>
                <w:rFonts w:hint="eastAsia" w:ascii="宋体" w:hAnsi="宋体" w:eastAsia="宋体" w:cs="宋体"/>
                <w:spacing w:val="-8"/>
                <w:sz w:val="21"/>
                <w:szCs w:val="21"/>
                <w:lang w:val="en-US" w:eastAsia="zh-CN"/>
              </w:rPr>
              <w:t>对无许可证从事放射性同位素和射线装置生产、销售、使用活动等行为的行政处罚</w:t>
            </w:r>
          </w:p>
        </w:tc>
        <w:tc>
          <w:tcPr>
            <w:tcW w:w="1094" w:type="dxa"/>
            <w:shd w:val="clear" w:color="auto" w:fill="auto"/>
            <w:vAlign w:val="center"/>
          </w:tcPr>
          <w:p w14:paraId="7698B2FA">
            <w:pPr>
              <w:keepNext w:val="0"/>
              <w:keepLines w:val="0"/>
              <w:pageBreakBefore w:val="0"/>
              <w:widowControl w:val="0"/>
              <w:kinsoku/>
              <w:wordWrap/>
              <w:overflowPunct/>
              <w:topLinePunct w:val="0"/>
              <w:autoSpaceDE/>
              <w:autoSpaceDN/>
              <w:bidi w:val="0"/>
              <w:spacing w:before="68" w:line="320" w:lineRule="exact"/>
              <w:ind w:left="0" w:leftChars="0" w:firstLine="0" w:firstLineChars="0"/>
              <w:jc w:val="center"/>
              <w:rPr>
                <w:rFonts w:hint="eastAsia" w:ascii="仿宋_GB2312" w:hAnsi="仿宋_GB2312" w:eastAsia="仿宋_GB2312" w:cs="仿宋_GB2312"/>
                <w:spacing w:val="-8"/>
                <w:kern w:val="2"/>
                <w:sz w:val="24"/>
                <w:szCs w:val="24"/>
                <w:lang w:val="en-US" w:eastAsia="zh-CN" w:bidi="ar-SA"/>
              </w:rPr>
            </w:pPr>
            <w:r>
              <w:rPr>
                <w:rFonts w:hint="eastAsia" w:ascii="仿宋_GB2312" w:hAnsi="仿宋_GB2312" w:eastAsia="仿宋_GB2312" w:cs="仿宋_GB2312"/>
                <w:spacing w:val="-8"/>
                <w:sz w:val="24"/>
                <w:szCs w:val="24"/>
                <w:lang w:val="en-US" w:eastAsia="zh-CN"/>
              </w:rPr>
              <w:t>行政处罚</w:t>
            </w:r>
          </w:p>
        </w:tc>
        <w:tc>
          <w:tcPr>
            <w:tcW w:w="8317" w:type="dxa"/>
            <w:shd w:val="clear" w:color="auto" w:fill="auto"/>
            <w:vAlign w:val="top"/>
          </w:tcPr>
          <w:p w14:paraId="6511344B">
            <w:pPr>
              <w:keepNext w:val="0"/>
              <w:keepLines w:val="0"/>
              <w:pageBreakBefore w:val="0"/>
              <w:widowControl w:val="0"/>
              <w:suppressLineNumbers w:val="0"/>
              <w:kinsoku/>
              <w:wordWrap/>
              <w:overflowPunct/>
              <w:topLinePunct w:val="0"/>
              <w:autoSpaceDE/>
              <w:autoSpaceDN/>
              <w:bidi w:val="0"/>
              <w:adjustRightInd/>
              <w:snapToGrid/>
              <w:spacing w:after="0" w:afterLines="-2147483648" w:line="320" w:lineRule="exact"/>
              <w:ind w:left="240" w:leftChars="100" w:firstLine="420" w:firstLineChars="200"/>
              <w:jc w:val="both"/>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放射性同位素与射线装置安全和防护条例》第五十二条违反本条例规定，生产、销售、使用放射性同位素和射线装置的单位有下列行为之一的，由县级以上人民政府生态环境主管部门责令停止违法行为，限期改正；逾期不改正的，责令停产停业或者由原发证机关吊销许可证；有违法所得的，没收违法所得；违法所得10万元以上的，并处违法所得1倍以上5倍以下的罚款；没有违法所得或者违法所得不足10万元的，并处1万元以上10万元以下的罚款：（一）无许可证从事放射性同位素和射线装置生产、销售、使用活动的；（二）未按照许可证的规定从事放射性同位素和射线装置生产、销售、使用活动的；（三）改变所从事活动的种类或者范围以及新建、改建或者扩建生产、销售、使用设施或者场所，未按照规定重新申请领取许可证的；（四）许可证有效期届满，需要延续而未按照规定办理延续手续的；（五）未经批准，擅自进口或者转让放射性同位素的。</w:t>
            </w:r>
          </w:p>
        </w:tc>
        <w:tc>
          <w:tcPr>
            <w:tcW w:w="1129" w:type="dxa"/>
          </w:tcPr>
          <w:p w14:paraId="599BB288">
            <w:pPr>
              <w:keepNext w:val="0"/>
              <w:keepLines w:val="0"/>
              <w:pageBreakBefore w:val="0"/>
              <w:widowControl w:val="0"/>
              <w:kinsoku/>
              <w:wordWrap/>
              <w:overflowPunct/>
              <w:topLinePunct w:val="0"/>
              <w:autoSpaceDE/>
              <w:autoSpaceDN/>
              <w:bidi w:val="0"/>
              <w:spacing w:before="69" w:line="320" w:lineRule="exact"/>
              <w:ind w:left="49" w:leftChars="0" w:right="26" w:rightChars="0" w:firstLine="404" w:firstLineChars="200"/>
              <w:rPr>
                <w:rFonts w:ascii="宋体" w:hAnsi="宋体" w:eastAsia="宋体" w:cs="宋体"/>
                <w:spacing w:val="-4"/>
                <w:sz w:val="21"/>
                <w:szCs w:val="21"/>
              </w:rPr>
            </w:pPr>
          </w:p>
        </w:tc>
        <w:tc>
          <w:tcPr>
            <w:tcW w:w="990" w:type="dxa"/>
            <w:gridSpan w:val="2"/>
          </w:tcPr>
          <w:p w14:paraId="6A757D12">
            <w:pPr>
              <w:keepNext w:val="0"/>
              <w:keepLines w:val="0"/>
              <w:pageBreakBefore w:val="0"/>
              <w:widowControl w:val="0"/>
              <w:kinsoku/>
              <w:wordWrap/>
              <w:overflowPunct/>
              <w:topLinePunct w:val="0"/>
              <w:autoSpaceDE/>
              <w:autoSpaceDN/>
              <w:bidi w:val="0"/>
              <w:spacing w:before="69" w:line="320" w:lineRule="exact"/>
              <w:ind w:left="204" w:leftChars="0" w:right="59" w:rightChars="0" w:firstLine="404" w:firstLineChars="200"/>
              <w:rPr>
                <w:rFonts w:ascii="宋体" w:hAnsi="宋体" w:eastAsia="宋体" w:cs="宋体"/>
                <w:spacing w:val="-4"/>
                <w:sz w:val="21"/>
                <w:szCs w:val="21"/>
              </w:rPr>
            </w:pPr>
          </w:p>
        </w:tc>
      </w:tr>
      <w:tr w14:paraId="32307D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6" w:hRule="atLeast"/>
        </w:trPr>
        <w:tc>
          <w:tcPr>
            <w:tcW w:w="557" w:type="dxa"/>
            <w:shd w:val="clear" w:color="auto" w:fill="auto"/>
            <w:vAlign w:val="center"/>
          </w:tcPr>
          <w:p w14:paraId="4C2F4BCD">
            <w:pPr>
              <w:keepNext w:val="0"/>
              <w:keepLines w:val="0"/>
              <w:pageBreakBefore w:val="0"/>
              <w:widowControl w:val="0"/>
              <w:kinsoku/>
              <w:wordWrap/>
              <w:overflowPunct/>
              <w:topLinePunct w:val="0"/>
              <w:autoSpaceDE/>
              <w:autoSpaceDN/>
              <w:bidi w:val="0"/>
              <w:spacing w:before="68" w:line="320" w:lineRule="exact"/>
              <w:ind w:left="0" w:leftChars="0" w:firstLine="0" w:firstLineChars="0"/>
              <w:jc w:val="center"/>
              <w:rPr>
                <w:rFonts w:hint="eastAsia" w:ascii="仿宋_GB2312" w:hAnsi="仿宋_GB2312" w:eastAsia="仿宋_GB2312" w:cs="仿宋_GB2312"/>
                <w:spacing w:val="-8"/>
                <w:sz w:val="24"/>
                <w:szCs w:val="24"/>
                <w:lang w:val="en-US" w:eastAsia="zh-CN"/>
              </w:rPr>
            </w:pPr>
            <w:r>
              <w:rPr>
                <w:rFonts w:hint="eastAsia" w:ascii="仿宋_GB2312" w:hAnsi="仿宋_GB2312" w:eastAsia="仿宋_GB2312" w:cs="仿宋_GB2312"/>
                <w:spacing w:val="-8"/>
                <w:sz w:val="24"/>
                <w:szCs w:val="24"/>
                <w:lang w:val="en-US" w:eastAsia="zh-CN"/>
              </w:rPr>
              <w:t>132</w:t>
            </w:r>
          </w:p>
        </w:tc>
        <w:tc>
          <w:tcPr>
            <w:tcW w:w="2355" w:type="dxa"/>
            <w:shd w:val="clear" w:color="auto" w:fill="auto"/>
            <w:vAlign w:val="center"/>
          </w:tcPr>
          <w:p w14:paraId="5A33B16D">
            <w:pPr>
              <w:keepNext w:val="0"/>
              <w:keepLines w:val="0"/>
              <w:pageBreakBefore w:val="0"/>
              <w:widowControl w:val="0"/>
              <w:kinsoku/>
              <w:wordWrap/>
              <w:overflowPunct/>
              <w:topLinePunct w:val="0"/>
              <w:autoSpaceDE/>
              <w:autoSpaceDN/>
              <w:bidi w:val="0"/>
              <w:spacing w:before="68" w:line="320" w:lineRule="exact"/>
              <w:ind w:left="240" w:leftChars="100" w:right="127" w:rightChars="53" w:firstLine="0" w:firstLineChars="0"/>
              <w:jc w:val="center"/>
              <w:rPr>
                <w:rFonts w:hint="eastAsia" w:ascii="宋体" w:hAnsi="宋体" w:eastAsia="宋体" w:cs="宋体"/>
                <w:spacing w:val="-8"/>
                <w:kern w:val="2"/>
                <w:sz w:val="21"/>
                <w:szCs w:val="21"/>
                <w:lang w:val="en-US" w:eastAsia="zh-CN" w:bidi="ar-SA"/>
              </w:rPr>
            </w:pPr>
            <w:r>
              <w:rPr>
                <w:rFonts w:hint="eastAsia" w:ascii="宋体" w:hAnsi="宋体" w:eastAsia="宋体" w:cs="宋体"/>
                <w:spacing w:val="-8"/>
                <w:sz w:val="21"/>
                <w:szCs w:val="21"/>
                <w:lang w:val="en-US" w:eastAsia="zh-CN"/>
              </w:rPr>
              <w:t>对生产、销售、使用放射性同位素和射线装置的单位变更单位名称、地址、法定代表人，未依法办理许可证变更手续的行政处罚</w:t>
            </w:r>
          </w:p>
        </w:tc>
        <w:tc>
          <w:tcPr>
            <w:tcW w:w="1094" w:type="dxa"/>
            <w:shd w:val="clear" w:color="auto" w:fill="auto"/>
            <w:vAlign w:val="center"/>
          </w:tcPr>
          <w:p w14:paraId="3AE667EC">
            <w:pPr>
              <w:keepNext w:val="0"/>
              <w:keepLines w:val="0"/>
              <w:pageBreakBefore w:val="0"/>
              <w:widowControl w:val="0"/>
              <w:kinsoku/>
              <w:wordWrap/>
              <w:overflowPunct/>
              <w:topLinePunct w:val="0"/>
              <w:autoSpaceDE/>
              <w:autoSpaceDN/>
              <w:bidi w:val="0"/>
              <w:spacing w:before="68" w:line="320" w:lineRule="exact"/>
              <w:ind w:left="0" w:leftChars="0" w:firstLine="0" w:firstLineChars="0"/>
              <w:jc w:val="center"/>
              <w:rPr>
                <w:rFonts w:hint="eastAsia" w:ascii="仿宋_GB2312" w:hAnsi="仿宋_GB2312" w:eastAsia="仿宋_GB2312" w:cs="仿宋_GB2312"/>
                <w:spacing w:val="-8"/>
                <w:kern w:val="2"/>
                <w:sz w:val="24"/>
                <w:szCs w:val="24"/>
                <w:lang w:val="en-US" w:eastAsia="zh-CN" w:bidi="ar-SA"/>
              </w:rPr>
            </w:pPr>
            <w:r>
              <w:rPr>
                <w:rFonts w:hint="eastAsia" w:ascii="仿宋_GB2312" w:hAnsi="仿宋_GB2312" w:eastAsia="仿宋_GB2312" w:cs="仿宋_GB2312"/>
                <w:spacing w:val="-8"/>
                <w:sz w:val="24"/>
                <w:szCs w:val="24"/>
                <w:lang w:val="en-US" w:eastAsia="zh-CN"/>
              </w:rPr>
              <w:t>行政处罚</w:t>
            </w:r>
          </w:p>
        </w:tc>
        <w:tc>
          <w:tcPr>
            <w:tcW w:w="8317" w:type="dxa"/>
            <w:shd w:val="clear" w:color="auto" w:fill="auto"/>
            <w:vAlign w:val="top"/>
          </w:tcPr>
          <w:p w14:paraId="12755D64">
            <w:pPr>
              <w:keepNext w:val="0"/>
              <w:keepLines w:val="0"/>
              <w:pageBreakBefore w:val="0"/>
              <w:widowControl w:val="0"/>
              <w:suppressLineNumbers w:val="0"/>
              <w:kinsoku/>
              <w:wordWrap/>
              <w:overflowPunct/>
              <w:topLinePunct w:val="0"/>
              <w:autoSpaceDE/>
              <w:autoSpaceDN/>
              <w:bidi w:val="0"/>
              <w:adjustRightInd/>
              <w:snapToGrid/>
              <w:spacing w:after="0" w:afterLines="-2147483648" w:line="320" w:lineRule="exact"/>
              <w:ind w:left="240" w:leftChars="100" w:firstLine="420" w:firstLineChars="200"/>
              <w:jc w:val="both"/>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放射性同位素与射线装置安全和防护条例》第五十三条违反本条例规定，生产、销售、使用放射性同位素和射线装置的单位变更单位名称、地址、法定代表人，未依法办理许可证变更手续的，由县级以上人民政府生态环境主管部门责令限期改正，给予警告；逾期不改正的，由原发证机关暂扣或者吊销许可证。</w:t>
            </w:r>
          </w:p>
        </w:tc>
        <w:tc>
          <w:tcPr>
            <w:tcW w:w="1129" w:type="dxa"/>
          </w:tcPr>
          <w:p w14:paraId="1A6A1AB5">
            <w:pPr>
              <w:keepNext w:val="0"/>
              <w:keepLines w:val="0"/>
              <w:pageBreakBefore w:val="0"/>
              <w:widowControl w:val="0"/>
              <w:kinsoku/>
              <w:wordWrap/>
              <w:overflowPunct/>
              <w:topLinePunct w:val="0"/>
              <w:autoSpaceDE/>
              <w:autoSpaceDN/>
              <w:bidi w:val="0"/>
              <w:spacing w:before="69" w:line="320" w:lineRule="exact"/>
              <w:ind w:left="49" w:leftChars="0" w:right="26" w:rightChars="0" w:firstLine="404" w:firstLineChars="200"/>
              <w:rPr>
                <w:rFonts w:ascii="宋体" w:hAnsi="宋体" w:eastAsia="宋体" w:cs="宋体"/>
                <w:spacing w:val="-4"/>
                <w:sz w:val="21"/>
                <w:szCs w:val="21"/>
              </w:rPr>
            </w:pPr>
          </w:p>
        </w:tc>
        <w:tc>
          <w:tcPr>
            <w:tcW w:w="990" w:type="dxa"/>
            <w:gridSpan w:val="2"/>
          </w:tcPr>
          <w:p w14:paraId="5C3CE742">
            <w:pPr>
              <w:keepNext w:val="0"/>
              <w:keepLines w:val="0"/>
              <w:pageBreakBefore w:val="0"/>
              <w:widowControl w:val="0"/>
              <w:kinsoku/>
              <w:wordWrap/>
              <w:overflowPunct/>
              <w:topLinePunct w:val="0"/>
              <w:autoSpaceDE/>
              <w:autoSpaceDN/>
              <w:bidi w:val="0"/>
              <w:spacing w:before="69" w:line="320" w:lineRule="exact"/>
              <w:ind w:left="204" w:leftChars="0" w:right="59" w:rightChars="0" w:firstLine="404" w:firstLineChars="200"/>
              <w:rPr>
                <w:rFonts w:ascii="宋体" w:hAnsi="宋体" w:eastAsia="宋体" w:cs="宋体"/>
                <w:spacing w:val="-4"/>
                <w:sz w:val="21"/>
                <w:szCs w:val="21"/>
              </w:rPr>
            </w:pPr>
          </w:p>
        </w:tc>
      </w:tr>
      <w:tr w14:paraId="12C175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6" w:hRule="atLeast"/>
        </w:trPr>
        <w:tc>
          <w:tcPr>
            <w:tcW w:w="557" w:type="dxa"/>
            <w:shd w:val="clear" w:color="auto" w:fill="auto"/>
            <w:vAlign w:val="center"/>
          </w:tcPr>
          <w:p w14:paraId="014C5AED">
            <w:pPr>
              <w:keepNext w:val="0"/>
              <w:keepLines w:val="0"/>
              <w:pageBreakBefore w:val="0"/>
              <w:widowControl w:val="0"/>
              <w:kinsoku/>
              <w:wordWrap/>
              <w:overflowPunct/>
              <w:topLinePunct w:val="0"/>
              <w:autoSpaceDE/>
              <w:autoSpaceDN/>
              <w:bidi w:val="0"/>
              <w:spacing w:before="68" w:line="320" w:lineRule="exact"/>
              <w:ind w:left="0" w:leftChars="0" w:firstLine="0" w:firstLineChars="0"/>
              <w:jc w:val="center"/>
              <w:rPr>
                <w:rFonts w:hint="eastAsia" w:ascii="仿宋_GB2312" w:hAnsi="仿宋_GB2312" w:eastAsia="仿宋_GB2312" w:cs="仿宋_GB2312"/>
                <w:spacing w:val="-8"/>
                <w:sz w:val="24"/>
                <w:szCs w:val="24"/>
                <w:lang w:val="en-US" w:eastAsia="zh-CN"/>
              </w:rPr>
            </w:pPr>
            <w:r>
              <w:rPr>
                <w:rFonts w:hint="eastAsia" w:ascii="仿宋_GB2312" w:hAnsi="仿宋_GB2312" w:eastAsia="仿宋_GB2312" w:cs="仿宋_GB2312"/>
                <w:spacing w:val="-8"/>
                <w:sz w:val="24"/>
                <w:szCs w:val="24"/>
                <w:lang w:val="en-US" w:eastAsia="zh-CN"/>
              </w:rPr>
              <w:t>133</w:t>
            </w:r>
          </w:p>
        </w:tc>
        <w:tc>
          <w:tcPr>
            <w:tcW w:w="2355" w:type="dxa"/>
            <w:shd w:val="clear" w:color="auto" w:fill="auto"/>
            <w:vAlign w:val="center"/>
          </w:tcPr>
          <w:p w14:paraId="2D861EA4">
            <w:pPr>
              <w:keepNext w:val="0"/>
              <w:keepLines w:val="0"/>
              <w:pageBreakBefore w:val="0"/>
              <w:widowControl w:val="0"/>
              <w:kinsoku/>
              <w:wordWrap/>
              <w:overflowPunct/>
              <w:topLinePunct w:val="0"/>
              <w:autoSpaceDE/>
              <w:autoSpaceDN/>
              <w:bidi w:val="0"/>
              <w:spacing w:before="68" w:line="320" w:lineRule="exact"/>
              <w:ind w:left="240" w:leftChars="100" w:right="127" w:rightChars="53" w:firstLine="0" w:firstLineChars="0"/>
              <w:jc w:val="center"/>
              <w:rPr>
                <w:rFonts w:hint="eastAsia" w:ascii="宋体" w:hAnsi="宋体" w:eastAsia="宋体" w:cs="宋体"/>
                <w:spacing w:val="-8"/>
                <w:kern w:val="2"/>
                <w:sz w:val="21"/>
                <w:szCs w:val="21"/>
                <w:lang w:val="en-US" w:eastAsia="zh-CN" w:bidi="ar-SA"/>
              </w:rPr>
            </w:pPr>
            <w:r>
              <w:rPr>
                <w:rFonts w:hint="eastAsia" w:ascii="宋体" w:hAnsi="宋体" w:eastAsia="宋体" w:cs="宋体"/>
                <w:spacing w:val="-8"/>
                <w:sz w:val="21"/>
                <w:szCs w:val="21"/>
                <w:lang w:val="en-US" w:eastAsia="zh-CN"/>
              </w:rPr>
              <w:t>对生产、销售、使用放射性同位素和射线装置的单位部分终止或者全部终止生产、销售、使用活动，未按照规定办理许可证变更或者注销手续的行政处罚</w:t>
            </w:r>
          </w:p>
        </w:tc>
        <w:tc>
          <w:tcPr>
            <w:tcW w:w="1094" w:type="dxa"/>
            <w:shd w:val="clear" w:color="auto" w:fill="auto"/>
            <w:vAlign w:val="center"/>
          </w:tcPr>
          <w:p w14:paraId="6646BE1E">
            <w:pPr>
              <w:keepNext w:val="0"/>
              <w:keepLines w:val="0"/>
              <w:pageBreakBefore w:val="0"/>
              <w:widowControl w:val="0"/>
              <w:kinsoku/>
              <w:wordWrap/>
              <w:overflowPunct/>
              <w:topLinePunct w:val="0"/>
              <w:autoSpaceDE/>
              <w:autoSpaceDN/>
              <w:bidi w:val="0"/>
              <w:spacing w:before="68" w:line="320" w:lineRule="exact"/>
              <w:ind w:left="0" w:leftChars="0" w:firstLine="0" w:firstLineChars="0"/>
              <w:jc w:val="center"/>
              <w:rPr>
                <w:rFonts w:hint="eastAsia" w:ascii="仿宋_GB2312" w:hAnsi="仿宋_GB2312" w:eastAsia="仿宋_GB2312" w:cs="仿宋_GB2312"/>
                <w:spacing w:val="-8"/>
                <w:kern w:val="2"/>
                <w:sz w:val="24"/>
                <w:szCs w:val="24"/>
                <w:lang w:val="en-US" w:eastAsia="zh-CN" w:bidi="ar-SA"/>
              </w:rPr>
            </w:pPr>
            <w:r>
              <w:rPr>
                <w:rFonts w:hint="eastAsia" w:ascii="仿宋_GB2312" w:hAnsi="仿宋_GB2312" w:eastAsia="仿宋_GB2312" w:cs="仿宋_GB2312"/>
                <w:spacing w:val="-8"/>
                <w:sz w:val="24"/>
                <w:szCs w:val="24"/>
                <w:lang w:val="en-US" w:eastAsia="zh-CN"/>
              </w:rPr>
              <w:t>行政处罚</w:t>
            </w:r>
          </w:p>
        </w:tc>
        <w:tc>
          <w:tcPr>
            <w:tcW w:w="8317" w:type="dxa"/>
            <w:shd w:val="clear" w:color="auto" w:fill="auto"/>
            <w:vAlign w:val="top"/>
          </w:tcPr>
          <w:p w14:paraId="39BB56C3">
            <w:pPr>
              <w:keepNext w:val="0"/>
              <w:keepLines w:val="0"/>
              <w:pageBreakBefore w:val="0"/>
              <w:widowControl w:val="0"/>
              <w:suppressLineNumbers w:val="0"/>
              <w:kinsoku/>
              <w:wordWrap/>
              <w:overflowPunct/>
              <w:topLinePunct w:val="0"/>
              <w:autoSpaceDE/>
              <w:autoSpaceDN/>
              <w:bidi w:val="0"/>
              <w:adjustRightInd/>
              <w:snapToGrid/>
              <w:spacing w:after="0" w:afterLines="-2147483648" w:line="320" w:lineRule="exact"/>
              <w:ind w:left="240" w:leftChars="100" w:firstLine="420" w:firstLineChars="200"/>
              <w:jc w:val="both"/>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放射性同位素与射线装置安全和防护条例》第五十四条违反本条例规定，生产、销售、使用放射性同位素和射线装置的单位部分终止或者全部终止生产、销售、使用活动，未按照规定办理许可证变更或者注销手续的，由县级以上人民政府生态环境主管部门责令停止违法行为，限期改正；逾期不改正的，处1万元以上10万元以下的罚款；造成辐射事故，构成犯罪的，依法追究刑事责任。</w:t>
            </w:r>
          </w:p>
        </w:tc>
        <w:tc>
          <w:tcPr>
            <w:tcW w:w="1129" w:type="dxa"/>
          </w:tcPr>
          <w:p w14:paraId="564CAB7A">
            <w:pPr>
              <w:keepNext w:val="0"/>
              <w:keepLines w:val="0"/>
              <w:pageBreakBefore w:val="0"/>
              <w:widowControl w:val="0"/>
              <w:kinsoku/>
              <w:wordWrap/>
              <w:overflowPunct/>
              <w:topLinePunct w:val="0"/>
              <w:autoSpaceDE/>
              <w:autoSpaceDN/>
              <w:bidi w:val="0"/>
              <w:spacing w:before="69" w:line="320" w:lineRule="exact"/>
              <w:ind w:left="49" w:leftChars="0" w:right="26" w:rightChars="0" w:firstLine="404" w:firstLineChars="200"/>
              <w:rPr>
                <w:rFonts w:ascii="宋体" w:hAnsi="宋体" w:eastAsia="宋体" w:cs="宋体"/>
                <w:spacing w:val="-4"/>
                <w:sz w:val="21"/>
                <w:szCs w:val="21"/>
              </w:rPr>
            </w:pPr>
          </w:p>
        </w:tc>
        <w:tc>
          <w:tcPr>
            <w:tcW w:w="990" w:type="dxa"/>
            <w:gridSpan w:val="2"/>
          </w:tcPr>
          <w:p w14:paraId="53F0A29A">
            <w:pPr>
              <w:keepNext w:val="0"/>
              <w:keepLines w:val="0"/>
              <w:pageBreakBefore w:val="0"/>
              <w:widowControl w:val="0"/>
              <w:kinsoku/>
              <w:wordWrap/>
              <w:overflowPunct/>
              <w:topLinePunct w:val="0"/>
              <w:autoSpaceDE/>
              <w:autoSpaceDN/>
              <w:bidi w:val="0"/>
              <w:spacing w:before="69" w:line="320" w:lineRule="exact"/>
              <w:ind w:left="204" w:leftChars="0" w:right="59" w:rightChars="0" w:firstLine="404" w:firstLineChars="200"/>
              <w:rPr>
                <w:rFonts w:ascii="宋体" w:hAnsi="宋体" w:eastAsia="宋体" w:cs="宋体"/>
                <w:spacing w:val="-4"/>
                <w:sz w:val="21"/>
                <w:szCs w:val="21"/>
              </w:rPr>
            </w:pPr>
          </w:p>
        </w:tc>
      </w:tr>
      <w:tr w14:paraId="033EA3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6" w:hRule="atLeast"/>
        </w:trPr>
        <w:tc>
          <w:tcPr>
            <w:tcW w:w="557" w:type="dxa"/>
            <w:shd w:val="clear" w:color="auto" w:fill="auto"/>
            <w:vAlign w:val="center"/>
          </w:tcPr>
          <w:p w14:paraId="048DF41A">
            <w:pPr>
              <w:keepNext w:val="0"/>
              <w:keepLines w:val="0"/>
              <w:pageBreakBefore w:val="0"/>
              <w:widowControl w:val="0"/>
              <w:kinsoku/>
              <w:wordWrap/>
              <w:overflowPunct/>
              <w:topLinePunct w:val="0"/>
              <w:autoSpaceDE/>
              <w:autoSpaceDN/>
              <w:bidi w:val="0"/>
              <w:spacing w:before="68" w:line="320" w:lineRule="exact"/>
              <w:ind w:left="0" w:leftChars="0" w:firstLine="0" w:firstLineChars="0"/>
              <w:jc w:val="center"/>
              <w:rPr>
                <w:rFonts w:hint="eastAsia" w:ascii="仿宋_GB2312" w:hAnsi="仿宋_GB2312" w:eastAsia="仿宋_GB2312" w:cs="仿宋_GB2312"/>
                <w:spacing w:val="-8"/>
                <w:sz w:val="24"/>
                <w:szCs w:val="24"/>
                <w:lang w:val="en-US" w:eastAsia="zh-CN"/>
              </w:rPr>
            </w:pPr>
            <w:r>
              <w:rPr>
                <w:rFonts w:hint="eastAsia" w:ascii="仿宋_GB2312" w:hAnsi="仿宋_GB2312" w:eastAsia="仿宋_GB2312" w:cs="仿宋_GB2312"/>
                <w:spacing w:val="-8"/>
                <w:sz w:val="24"/>
                <w:szCs w:val="24"/>
                <w:lang w:val="en-US" w:eastAsia="zh-CN"/>
              </w:rPr>
              <w:t>134</w:t>
            </w:r>
          </w:p>
        </w:tc>
        <w:tc>
          <w:tcPr>
            <w:tcW w:w="2355" w:type="dxa"/>
            <w:shd w:val="clear" w:color="auto" w:fill="auto"/>
            <w:vAlign w:val="center"/>
          </w:tcPr>
          <w:p w14:paraId="0C7C4C37">
            <w:pPr>
              <w:keepNext w:val="0"/>
              <w:keepLines w:val="0"/>
              <w:pageBreakBefore w:val="0"/>
              <w:widowControl w:val="0"/>
              <w:kinsoku/>
              <w:wordWrap/>
              <w:overflowPunct/>
              <w:topLinePunct w:val="0"/>
              <w:autoSpaceDE/>
              <w:autoSpaceDN/>
              <w:bidi w:val="0"/>
              <w:spacing w:before="68" w:line="320" w:lineRule="exact"/>
              <w:ind w:left="240" w:leftChars="100" w:right="127" w:rightChars="53" w:firstLine="0" w:firstLineChars="0"/>
              <w:jc w:val="center"/>
              <w:rPr>
                <w:rFonts w:hint="eastAsia" w:ascii="宋体" w:hAnsi="宋体" w:eastAsia="宋体" w:cs="宋体"/>
                <w:spacing w:val="-8"/>
                <w:kern w:val="2"/>
                <w:sz w:val="21"/>
                <w:szCs w:val="21"/>
                <w:lang w:val="en-US" w:eastAsia="zh-CN" w:bidi="ar-SA"/>
              </w:rPr>
            </w:pPr>
            <w:r>
              <w:rPr>
                <w:rFonts w:hint="eastAsia" w:ascii="宋体" w:hAnsi="宋体" w:eastAsia="宋体" w:cs="宋体"/>
                <w:spacing w:val="-8"/>
                <w:sz w:val="21"/>
                <w:szCs w:val="21"/>
                <w:lang w:val="en-US" w:eastAsia="zh-CN"/>
              </w:rPr>
              <w:t>对伪造、变造、转让生产、销售、使用放射性同位素和射线装置许可证的行政处罚</w:t>
            </w:r>
          </w:p>
        </w:tc>
        <w:tc>
          <w:tcPr>
            <w:tcW w:w="1094" w:type="dxa"/>
            <w:shd w:val="clear" w:color="auto" w:fill="auto"/>
            <w:vAlign w:val="center"/>
          </w:tcPr>
          <w:p w14:paraId="57632F2E">
            <w:pPr>
              <w:keepNext w:val="0"/>
              <w:keepLines w:val="0"/>
              <w:pageBreakBefore w:val="0"/>
              <w:widowControl w:val="0"/>
              <w:kinsoku/>
              <w:wordWrap/>
              <w:overflowPunct/>
              <w:topLinePunct w:val="0"/>
              <w:autoSpaceDE/>
              <w:autoSpaceDN/>
              <w:bidi w:val="0"/>
              <w:spacing w:before="68" w:line="320" w:lineRule="exact"/>
              <w:ind w:left="0" w:leftChars="0" w:firstLine="0" w:firstLineChars="0"/>
              <w:jc w:val="center"/>
              <w:rPr>
                <w:rFonts w:hint="eastAsia" w:ascii="仿宋_GB2312" w:hAnsi="仿宋_GB2312" w:eastAsia="仿宋_GB2312" w:cs="仿宋_GB2312"/>
                <w:spacing w:val="-8"/>
                <w:kern w:val="2"/>
                <w:sz w:val="24"/>
                <w:szCs w:val="24"/>
                <w:lang w:val="en-US" w:eastAsia="zh-CN" w:bidi="ar-SA"/>
              </w:rPr>
            </w:pPr>
            <w:r>
              <w:rPr>
                <w:rFonts w:hint="eastAsia" w:ascii="仿宋_GB2312" w:hAnsi="仿宋_GB2312" w:eastAsia="仿宋_GB2312" w:cs="仿宋_GB2312"/>
                <w:spacing w:val="-8"/>
                <w:sz w:val="24"/>
                <w:szCs w:val="24"/>
                <w:lang w:val="en-US" w:eastAsia="zh-CN"/>
              </w:rPr>
              <w:t>行政处罚</w:t>
            </w:r>
          </w:p>
        </w:tc>
        <w:tc>
          <w:tcPr>
            <w:tcW w:w="8317" w:type="dxa"/>
            <w:shd w:val="clear" w:color="auto" w:fill="auto"/>
            <w:vAlign w:val="top"/>
          </w:tcPr>
          <w:p w14:paraId="7BDAFF9E">
            <w:pPr>
              <w:keepNext w:val="0"/>
              <w:keepLines w:val="0"/>
              <w:pageBreakBefore w:val="0"/>
              <w:widowControl w:val="0"/>
              <w:suppressLineNumbers w:val="0"/>
              <w:kinsoku/>
              <w:wordWrap/>
              <w:overflowPunct/>
              <w:topLinePunct w:val="0"/>
              <w:autoSpaceDE/>
              <w:autoSpaceDN/>
              <w:bidi w:val="0"/>
              <w:adjustRightInd/>
              <w:snapToGrid/>
              <w:spacing w:after="0" w:afterLines="-2147483648" w:line="320" w:lineRule="exact"/>
              <w:ind w:left="240" w:leftChars="100" w:firstLine="420" w:firstLineChars="200"/>
              <w:jc w:val="both"/>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放射性同位素与射线装置安全和防护条例》第五十五条第一款违反本条例规定，伪造、变造、转让许可证的，由县级以上人民政府生态环境主管部门收缴伪造、变造的许可证或者由原发证机关吊销许可证，并处5万元以上10万元以下的罚款；构成犯罪的，依法追究刑事责任。</w:t>
            </w:r>
          </w:p>
        </w:tc>
        <w:tc>
          <w:tcPr>
            <w:tcW w:w="1129" w:type="dxa"/>
          </w:tcPr>
          <w:p w14:paraId="4365BC28">
            <w:pPr>
              <w:keepNext w:val="0"/>
              <w:keepLines w:val="0"/>
              <w:pageBreakBefore w:val="0"/>
              <w:widowControl w:val="0"/>
              <w:kinsoku/>
              <w:wordWrap/>
              <w:overflowPunct/>
              <w:topLinePunct w:val="0"/>
              <w:autoSpaceDE/>
              <w:autoSpaceDN/>
              <w:bidi w:val="0"/>
              <w:spacing w:before="69" w:line="320" w:lineRule="exact"/>
              <w:ind w:left="49" w:leftChars="0" w:right="26" w:rightChars="0" w:firstLine="404" w:firstLineChars="200"/>
              <w:rPr>
                <w:rFonts w:ascii="宋体" w:hAnsi="宋体" w:eastAsia="宋体" w:cs="宋体"/>
                <w:spacing w:val="-4"/>
                <w:sz w:val="21"/>
                <w:szCs w:val="21"/>
              </w:rPr>
            </w:pPr>
          </w:p>
        </w:tc>
        <w:tc>
          <w:tcPr>
            <w:tcW w:w="990" w:type="dxa"/>
            <w:gridSpan w:val="2"/>
          </w:tcPr>
          <w:p w14:paraId="713CFEB5">
            <w:pPr>
              <w:keepNext w:val="0"/>
              <w:keepLines w:val="0"/>
              <w:pageBreakBefore w:val="0"/>
              <w:widowControl w:val="0"/>
              <w:kinsoku/>
              <w:wordWrap/>
              <w:overflowPunct/>
              <w:topLinePunct w:val="0"/>
              <w:autoSpaceDE/>
              <w:autoSpaceDN/>
              <w:bidi w:val="0"/>
              <w:spacing w:before="69" w:line="320" w:lineRule="exact"/>
              <w:ind w:left="204" w:leftChars="0" w:right="59" w:rightChars="0" w:firstLine="404" w:firstLineChars="200"/>
              <w:rPr>
                <w:rFonts w:ascii="宋体" w:hAnsi="宋体" w:eastAsia="宋体" w:cs="宋体"/>
                <w:spacing w:val="-4"/>
                <w:sz w:val="21"/>
                <w:szCs w:val="21"/>
              </w:rPr>
            </w:pPr>
          </w:p>
        </w:tc>
      </w:tr>
      <w:tr w14:paraId="73112E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6" w:hRule="atLeast"/>
        </w:trPr>
        <w:tc>
          <w:tcPr>
            <w:tcW w:w="557" w:type="dxa"/>
            <w:shd w:val="clear" w:color="auto" w:fill="auto"/>
            <w:vAlign w:val="center"/>
          </w:tcPr>
          <w:p w14:paraId="30DD6589">
            <w:pPr>
              <w:keepNext w:val="0"/>
              <w:keepLines w:val="0"/>
              <w:pageBreakBefore w:val="0"/>
              <w:widowControl w:val="0"/>
              <w:kinsoku/>
              <w:wordWrap/>
              <w:overflowPunct/>
              <w:topLinePunct w:val="0"/>
              <w:autoSpaceDE/>
              <w:autoSpaceDN/>
              <w:bidi w:val="0"/>
              <w:spacing w:before="68" w:line="320" w:lineRule="exact"/>
              <w:ind w:left="0" w:leftChars="0" w:firstLine="0" w:firstLineChars="0"/>
              <w:jc w:val="center"/>
              <w:rPr>
                <w:rFonts w:hint="eastAsia" w:ascii="仿宋_GB2312" w:hAnsi="仿宋_GB2312" w:eastAsia="仿宋_GB2312" w:cs="仿宋_GB2312"/>
                <w:spacing w:val="-8"/>
                <w:sz w:val="24"/>
                <w:szCs w:val="24"/>
                <w:lang w:val="en-US" w:eastAsia="zh-CN"/>
              </w:rPr>
            </w:pPr>
            <w:r>
              <w:rPr>
                <w:rFonts w:hint="eastAsia" w:ascii="仿宋_GB2312" w:hAnsi="仿宋_GB2312" w:eastAsia="仿宋_GB2312" w:cs="仿宋_GB2312"/>
                <w:spacing w:val="-8"/>
                <w:sz w:val="24"/>
                <w:szCs w:val="24"/>
                <w:lang w:val="en-US" w:eastAsia="zh-CN"/>
              </w:rPr>
              <w:t>135</w:t>
            </w:r>
          </w:p>
        </w:tc>
        <w:tc>
          <w:tcPr>
            <w:tcW w:w="2355" w:type="dxa"/>
            <w:shd w:val="clear" w:color="auto" w:fill="auto"/>
            <w:vAlign w:val="center"/>
          </w:tcPr>
          <w:p w14:paraId="77DB42A2">
            <w:pPr>
              <w:keepNext w:val="0"/>
              <w:keepLines w:val="0"/>
              <w:pageBreakBefore w:val="0"/>
              <w:widowControl w:val="0"/>
              <w:kinsoku/>
              <w:wordWrap/>
              <w:overflowPunct/>
              <w:topLinePunct w:val="0"/>
              <w:autoSpaceDE/>
              <w:autoSpaceDN/>
              <w:bidi w:val="0"/>
              <w:spacing w:before="68" w:line="320" w:lineRule="exact"/>
              <w:ind w:left="240" w:leftChars="100" w:right="127" w:rightChars="53" w:firstLine="0" w:firstLineChars="0"/>
              <w:jc w:val="center"/>
              <w:rPr>
                <w:rFonts w:hint="eastAsia" w:ascii="宋体" w:hAnsi="宋体" w:eastAsia="宋体" w:cs="宋体"/>
                <w:spacing w:val="-8"/>
                <w:kern w:val="2"/>
                <w:sz w:val="21"/>
                <w:szCs w:val="21"/>
                <w:lang w:val="en-US" w:eastAsia="zh-CN" w:bidi="ar-SA"/>
              </w:rPr>
            </w:pPr>
            <w:r>
              <w:rPr>
                <w:rFonts w:hint="eastAsia" w:ascii="宋体" w:hAnsi="宋体" w:eastAsia="宋体" w:cs="宋体"/>
                <w:spacing w:val="-8"/>
                <w:sz w:val="21"/>
                <w:szCs w:val="21"/>
                <w:lang w:val="en-US" w:eastAsia="zh-CN"/>
              </w:rPr>
              <w:t>对伪造、变造、转让放射性同位素进口和转让批准文件的行政处罚</w:t>
            </w:r>
          </w:p>
        </w:tc>
        <w:tc>
          <w:tcPr>
            <w:tcW w:w="1094" w:type="dxa"/>
            <w:shd w:val="clear" w:color="auto" w:fill="auto"/>
            <w:vAlign w:val="center"/>
          </w:tcPr>
          <w:p w14:paraId="21A18F3D">
            <w:pPr>
              <w:keepNext w:val="0"/>
              <w:keepLines w:val="0"/>
              <w:pageBreakBefore w:val="0"/>
              <w:widowControl w:val="0"/>
              <w:kinsoku/>
              <w:wordWrap/>
              <w:overflowPunct/>
              <w:topLinePunct w:val="0"/>
              <w:autoSpaceDE/>
              <w:autoSpaceDN/>
              <w:bidi w:val="0"/>
              <w:spacing w:before="68" w:line="320" w:lineRule="exact"/>
              <w:ind w:left="0" w:leftChars="0" w:firstLine="0" w:firstLineChars="0"/>
              <w:jc w:val="center"/>
              <w:rPr>
                <w:rFonts w:hint="eastAsia" w:ascii="仿宋_GB2312" w:hAnsi="仿宋_GB2312" w:eastAsia="仿宋_GB2312" w:cs="仿宋_GB2312"/>
                <w:spacing w:val="-8"/>
                <w:kern w:val="2"/>
                <w:sz w:val="24"/>
                <w:szCs w:val="24"/>
                <w:lang w:val="en-US" w:eastAsia="zh-CN" w:bidi="ar-SA"/>
              </w:rPr>
            </w:pPr>
            <w:r>
              <w:rPr>
                <w:rFonts w:hint="eastAsia" w:ascii="仿宋_GB2312" w:hAnsi="仿宋_GB2312" w:eastAsia="仿宋_GB2312" w:cs="仿宋_GB2312"/>
                <w:spacing w:val="-8"/>
                <w:sz w:val="24"/>
                <w:szCs w:val="24"/>
                <w:lang w:val="en-US" w:eastAsia="zh-CN"/>
              </w:rPr>
              <w:t>行政处罚</w:t>
            </w:r>
          </w:p>
        </w:tc>
        <w:tc>
          <w:tcPr>
            <w:tcW w:w="8317" w:type="dxa"/>
            <w:shd w:val="clear" w:color="auto" w:fill="auto"/>
            <w:vAlign w:val="top"/>
          </w:tcPr>
          <w:p w14:paraId="23856AD4">
            <w:pPr>
              <w:keepNext w:val="0"/>
              <w:keepLines w:val="0"/>
              <w:pageBreakBefore w:val="0"/>
              <w:widowControl w:val="0"/>
              <w:suppressLineNumbers w:val="0"/>
              <w:kinsoku/>
              <w:wordWrap/>
              <w:overflowPunct/>
              <w:topLinePunct w:val="0"/>
              <w:autoSpaceDE/>
              <w:autoSpaceDN/>
              <w:bidi w:val="0"/>
              <w:adjustRightInd/>
              <w:snapToGrid/>
              <w:spacing w:after="0" w:afterLines="-2147483648" w:line="320" w:lineRule="exact"/>
              <w:ind w:left="240" w:leftChars="100" w:firstLine="420" w:firstLineChars="200"/>
              <w:jc w:val="both"/>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放射性同位素与射线装置安全和防护条例》第五十五条第二款违反本条例规定，伪造、变造、转让放射性同位素进口和转让批准文件的，由县级以上人民政府生态环境主管部门收缴伪造、变造的批准文件或者由原批准机关撤销批准文件，并处5万元以上10万元以下的罚款；情节严重的，可以由原发证机关吊销许可证；构成犯罪的，依法追究刑事责任。</w:t>
            </w:r>
          </w:p>
        </w:tc>
        <w:tc>
          <w:tcPr>
            <w:tcW w:w="1129" w:type="dxa"/>
          </w:tcPr>
          <w:p w14:paraId="28C672DA">
            <w:pPr>
              <w:keepNext w:val="0"/>
              <w:keepLines w:val="0"/>
              <w:pageBreakBefore w:val="0"/>
              <w:widowControl w:val="0"/>
              <w:kinsoku/>
              <w:wordWrap/>
              <w:overflowPunct/>
              <w:topLinePunct w:val="0"/>
              <w:autoSpaceDE/>
              <w:autoSpaceDN/>
              <w:bidi w:val="0"/>
              <w:spacing w:before="69" w:line="320" w:lineRule="exact"/>
              <w:ind w:left="49" w:leftChars="0" w:right="26" w:rightChars="0" w:firstLine="404" w:firstLineChars="200"/>
              <w:rPr>
                <w:rFonts w:ascii="宋体" w:hAnsi="宋体" w:eastAsia="宋体" w:cs="宋体"/>
                <w:spacing w:val="-4"/>
                <w:sz w:val="21"/>
                <w:szCs w:val="21"/>
              </w:rPr>
            </w:pPr>
          </w:p>
        </w:tc>
        <w:tc>
          <w:tcPr>
            <w:tcW w:w="990" w:type="dxa"/>
            <w:gridSpan w:val="2"/>
          </w:tcPr>
          <w:p w14:paraId="69CF0911">
            <w:pPr>
              <w:keepNext w:val="0"/>
              <w:keepLines w:val="0"/>
              <w:pageBreakBefore w:val="0"/>
              <w:widowControl w:val="0"/>
              <w:kinsoku/>
              <w:wordWrap/>
              <w:overflowPunct/>
              <w:topLinePunct w:val="0"/>
              <w:autoSpaceDE/>
              <w:autoSpaceDN/>
              <w:bidi w:val="0"/>
              <w:spacing w:before="69" w:line="320" w:lineRule="exact"/>
              <w:ind w:left="204" w:leftChars="0" w:right="59" w:rightChars="0" w:firstLine="404" w:firstLineChars="200"/>
              <w:rPr>
                <w:rFonts w:ascii="宋体" w:hAnsi="宋体" w:eastAsia="宋体" w:cs="宋体"/>
                <w:spacing w:val="-4"/>
                <w:sz w:val="21"/>
                <w:szCs w:val="21"/>
              </w:rPr>
            </w:pPr>
          </w:p>
        </w:tc>
      </w:tr>
      <w:tr w14:paraId="1B821A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6" w:hRule="atLeast"/>
        </w:trPr>
        <w:tc>
          <w:tcPr>
            <w:tcW w:w="557" w:type="dxa"/>
            <w:shd w:val="clear" w:color="auto" w:fill="auto"/>
            <w:vAlign w:val="center"/>
          </w:tcPr>
          <w:p w14:paraId="0CC84CFE">
            <w:pPr>
              <w:keepNext w:val="0"/>
              <w:keepLines w:val="0"/>
              <w:pageBreakBefore w:val="0"/>
              <w:widowControl w:val="0"/>
              <w:kinsoku/>
              <w:wordWrap/>
              <w:overflowPunct/>
              <w:topLinePunct w:val="0"/>
              <w:autoSpaceDE/>
              <w:autoSpaceDN/>
              <w:bidi w:val="0"/>
              <w:spacing w:before="68" w:line="320" w:lineRule="exact"/>
              <w:ind w:left="0" w:leftChars="0" w:firstLine="0" w:firstLineChars="0"/>
              <w:jc w:val="center"/>
              <w:rPr>
                <w:rFonts w:hint="eastAsia" w:ascii="仿宋_GB2312" w:hAnsi="仿宋_GB2312" w:eastAsia="仿宋_GB2312" w:cs="仿宋_GB2312"/>
                <w:spacing w:val="-8"/>
                <w:sz w:val="24"/>
                <w:szCs w:val="24"/>
                <w:lang w:val="en-US" w:eastAsia="zh-CN"/>
              </w:rPr>
            </w:pPr>
            <w:r>
              <w:rPr>
                <w:rFonts w:hint="eastAsia" w:ascii="仿宋_GB2312" w:hAnsi="仿宋_GB2312" w:eastAsia="仿宋_GB2312" w:cs="仿宋_GB2312"/>
                <w:spacing w:val="-8"/>
                <w:sz w:val="24"/>
                <w:szCs w:val="24"/>
                <w:lang w:val="en-US" w:eastAsia="zh-CN"/>
              </w:rPr>
              <w:t>136</w:t>
            </w:r>
          </w:p>
        </w:tc>
        <w:tc>
          <w:tcPr>
            <w:tcW w:w="2355" w:type="dxa"/>
            <w:shd w:val="clear" w:color="auto" w:fill="auto"/>
            <w:vAlign w:val="center"/>
          </w:tcPr>
          <w:p w14:paraId="416A5D14">
            <w:pPr>
              <w:keepNext w:val="0"/>
              <w:keepLines w:val="0"/>
              <w:pageBreakBefore w:val="0"/>
              <w:widowControl w:val="0"/>
              <w:kinsoku/>
              <w:wordWrap/>
              <w:overflowPunct/>
              <w:topLinePunct w:val="0"/>
              <w:autoSpaceDE/>
              <w:autoSpaceDN/>
              <w:bidi w:val="0"/>
              <w:spacing w:before="68" w:line="320" w:lineRule="exact"/>
              <w:ind w:left="240" w:leftChars="100" w:right="127" w:rightChars="53" w:firstLine="0" w:firstLineChars="0"/>
              <w:jc w:val="center"/>
              <w:rPr>
                <w:rFonts w:hint="eastAsia" w:ascii="宋体" w:hAnsi="宋体" w:eastAsia="宋体" w:cs="宋体"/>
                <w:spacing w:val="-8"/>
                <w:kern w:val="2"/>
                <w:sz w:val="21"/>
                <w:szCs w:val="21"/>
                <w:lang w:val="en-US" w:eastAsia="zh-CN" w:bidi="ar-SA"/>
              </w:rPr>
            </w:pPr>
            <w:r>
              <w:rPr>
                <w:rFonts w:hint="eastAsia" w:ascii="宋体" w:hAnsi="宋体" w:eastAsia="宋体" w:cs="宋体"/>
                <w:spacing w:val="-8"/>
                <w:sz w:val="21"/>
                <w:szCs w:val="21"/>
                <w:lang w:val="en-US" w:eastAsia="zh-CN"/>
              </w:rPr>
              <w:t>对转入、转出放射性同位素未按照规定备案等行为的行政处罚</w:t>
            </w:r>
          </w:p>
        </w:tc>
        <w:tc>
          <w:tcPr>
            <w:tcW w:w="1094" w:type="dxa"/>
            <w:shd w:val="clear" w:color="auto" w:fill="auto"/>
            <w:vAlign w:val="center"/>
          </w:tcPr>
          <w:p w14:paraId="6661CF0D">
            <w:pPr>
              <w:keepNext w:val="0"/>
              <w:keepLines w:val="0"/>
              <w:pageBreakBefore w:val="0"/>
              <w:widowControl w:val="0"/>
              <w:kinsoku/>
              <w:wordWrap/>
              <w:overflowPunct/>
              <w:topLinePunct w:val="0"/>
              <w:autoSpaceDE/>
              <w:autoSpaceDN/>
              <w:bidi w:val="0"/>
              <w:spacing w:before="68" w:line="320" w:lineRule="exact"/>
              <w:ind w:left="0" w:leftChars="0" w:firstLine="0" w:firstLineChars="0"/>
              <w:jc w:val="center"/>
              <w:rPr>
                <w:rFonts w:hint="eastAsia" w:ascii="仿宋_GB2312" w:hAnsi="仿宋_GB2312" w:eastAsia="仿宋_GB2312" w:cs="仿宋_GB2312"/>
                <w:spacing w:val="-8"/>
                <w:kern w:val="2"/>
                <w:sz w:val="24"/>
                <w:szCs w:val="24"/>
                <w:lang w:val="en-US" w:eastAsia="zh-CN" w:bidi="ar-SA"/>
              </w:rPr>
            </w:pPr>
            <w:r>
              <w:rPr>
                <w:rFonts w:hint="eastAsia" w:ascii="仿宋_GB2312" w:hAnsi="仿宋_GB2312" w:eastAsia="仿宋_GB2312" w:cs="仿宋_GB2312"/>
                <w:spacing w:val="-8"/>
                <w:sz w:val="24"/>
                <w:szCs w:val="24"/>
                <w:lang w:val="en-US" w:eastAsia="zh-CN"/>
              </w:rPr>
              <w:t>行政处罚</w:t>
            </w:r>
          </w:p>
        </w:tc>
        <w:tc>
          <w:tcPr>
            <w:tcW w:w="8317" w:type="dxa"/>
            <w:shd w:val="clear" w:color="auto" w:fill="auto"/>
            <w:vAlign w:val="top"/>
          </w:tcPr>
          <w:p w14:paraId="6D1418DF">
            <w:pPr>
              <w:keepNext w:val="0"/>
              <w:keepLines w:val="0"/>
              <w:pageBreakBefore w:val="0"/>
              <w:widowControl w:val="0"/>
              <w:suppressLineNumbers w:val="0"/>
              <w:kinsoku/>
              <w:wordWrap/>
              <w:overflowPunct/>
              <w:topLinePunct w:val="0"/>
              <w:autoSpaceDE/>
              <w:autoSpaceDN/>
              <w:bidi w:val="0"/>
              <w:adjustRightInd/>
              <w:snapToGrid/>
              <w:spacing w:after="0" w:afterLines="-2147483648" w:line="320" w:lineRule="exact"/>
              <w:ind w:left="240" w:leftChars="100" w:firstLine="420" w:firstLineChars="200"/>
              <w:jc w:val="both"/>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放射性同位素与射线装置安全和防护条例》第五十六条违反本条例规定，生产、销售、使用放射性同位素的单位有下列行为之一的，由县级以上人民政府生态环境主管部门责令限期改正，给予警告；逾期不改正的，由原发证机关暂扣或者吊销许可证：（一）转入、转出放射性同位素未按照规定备案的；（二）将放射性同位素转移到外省、自治区、直辖市使用，未按照规定备案的；（三）将废旧放射源交回生产单位、返回原出口方或者送交放射性废物集中贮存单位贮存，未按照规定备案的。</w:t>
            </w:r>
          </w:p>
        </w:tc>
        <w:tc>
          <w:tcPr>
            <w:tcW w:w="1129" w:type="dxa"/>
          </w:tcPr>
          <w:p w14:paraId="61471318">
            <w:pPr>
              <w:keepNext w:val="0"/>
              <w:keepLines w:val="0"/>
              <w:pageBreakBefore w:val="0"/>
              <w:widowControl w:val="0"/>
              <w:kinsoku/>
              <w:wordWrap/>
              <w:overflowPunct/>
              <w:topLinePunct w:val="0"/>
              <w:autoSpaceDE/>
              <w:autoSpaceDN/>
              <w:bidi w:val="0"/>
              <w:spacing w:before="69" w:line="320" w:lineRule="exact"/>
              <w:ind w:left="49" w:leftChars="0" w:right="26" w:rightChars="0" w:firstLine="404" w:firstLineChars="200"/>
              <w:rPr>
                <w:rFonts w:ascii="宋体" w:hAnsi="宋体" w:eastAsia="宋体" w:cs="宋体"/>
                <w:spacing w:val="-4"/>
                <w:sz w:val="21"/>
                <w:szCs w:val="21"/>
              </w:rPr>
            </w:pPr>
          </w:p>
        </w:tc>
        <w:tc>
          <w:tcPr>
            <w:tcW w:w="990" w:type="dxa"/>
            <w:gridSpan w:val="2"/>
          </w:tcPr>
          <w:p w14:paraId="63D80484">
            <w:pPr>
              <w:keepNext w:val="0"/>
              <w:keepLines w:val="0"/>
              <w:pageBreakBefore w:val="0"/>
              <w:widowControl w:val="0"/>
              <w:kinsoku/>
              <w:wordWrap/>
              <w:overflowPunct/>
              <w:topLinePunct w:val="0"/>
              <w:autoSpaceDE/>
              <w:autoSpaceDN/>
              <w:bidi w:val="0"/>
              <w:spacing w:before="69" w:line="320" w:lineRule="exact"/>
              <w:ind w:left="204" w:leftChars="0" w:right="59" w:rightChars="0" w:firstLine="404" w:firstLineChars="200"/>
              <w:rPr>
                <w:rFonts w:ascii="宋体" w:hAnsi="宋体" w:eastAsia="宋体" w:cs="宋体"/>
                <w:spacing w:val="-4"/>
                <w:sz w:val="21"/>
                <w:szCs w:val="21"/>
              </w:rPr>
            </w:pPr>
          </w:p>
        </w:tc>
      </w:tr>
      <w:tr w14:paraId="21C8B3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6" w:hRule="atLeast"/>
        </w:trPr>
        <w:tc>
          <w:tcPr>
            <w:tcW w:w="557" w:type="dxa"/>
            <w:shd w:val="clear" w:color="auto" w:fill="auto"/>
            <w:vAlign w:val="center"/>
          </w:tcPr>
          <w:p w14:paraId="52DB613A">
            <w:pPr>
              <w:keepNext w:val="0"/>
              <w:keepLines w:val="0"/>
              <w:pageBreakBefore w:val="0"/>
              <w:widowControl w:val="0"/>
              <w:kinsoku/>
              <w:wordWrap/>
              <w:overflowPunct/>
              <w:topLinePunct w:val="0"/>
              <w:autoSpaceDE/>
              <w:autoSpaceDN/>
              <w:bidi w:val="0"/>
              <w:spacing w:before="68" w:line="320" w:lineRule="exact"/>
              <w:ind w:left="0" w:leftChars="0" w:firstLine="0" w:firstLineChars="0"/>
              <w:jc w:val="center"/>
              <w:rPr>
                <w:rFonts w:hint="eastAsia" w:ascii="仿宋_GB2312" w:hAnsi="仿宋_GB2312" w:eastAsia="仿宋_GB2312" w:cs="仿宋_GB2312"/>
                <w:spacing w:val="-8"/>
                <w:sz w:val="24"/>
                <w:szCs w:val="24"/>
                <w:lang w:val="en-US" w:eastAsia="zh-CN"/>
              </w:rPr>
            </w:pPr>
            <w:r>
              <w:rPr>
                <w:rFonts w:hint="eastAsia" w:ascii="仿宋_GB2312" w:hAnsi="仿宋_GB2312" w:eastAsia="仿宋_GB2312" w:cs="仿宋_GB2312"/>
                <w:spacing w:val="-8"/>
                <w:sz w:val="24"/>
                <w:szCs w:val="24"/>
                <w:lang w:val="en-US" w:eastAsia="zh-CN"/>
              </w:rPr>
              <w:t>137</w:t>
            </w:r>
          </w:p>
        </w:tc>
        <w:tc>
          <w:tcPr>
            <w:tcW w:w="2355" w:type="dxa"/>
            <w:shd w:val="clear" w:color="auto" w:fill="auto"/>
            <w:vAlign w:val="center"/>
          </w:tcPr>
          <w:p w14:paraId="2FD96831">
            <w:pPr>
              <w:keepNext w:val="0"/>
              <w:keepLines w:val="0"/>
              <w:pageBreakBefore w:val="0"/>
              <w:widowControl w:val="0"/>
              <w:kinsoku/>
              <w:wordWrap/>
              <w:overflowPunct/>
              <w:topLinePunct w:val="0"/>
              <w:autoSpaceDE/>
              <w:autoSpaceDN/>
              <w:bidi w:val="0"/>
              <w:spacing w:before="68" w:line="320" w:lineRule="exact"/>
              <w:ind w:left="240" w:leftChars="100" w:right="127" w:rightChars="53" w:firstLine="0" w:firstLineChars="0"/>
              <w:jc w:val="center"/>
              <w:rPr>
                <w:rFonts w:hint="eastAsia" w:ascii="宋体" w:hAnsi="宋体" w:eastAsia="宋体" w:cs="宋体"/>
                <w:spacing w:val="-8"/>
                <w:kern w:val="2"/>
                <w:sz w:val="21"/>
                <w:szCs w:val="21"/>
                <w:lang w:val="en-US" w:eastAsia="zh-CN" w:bidi="ar-SA"/>
              </w:rPr>
            </w:pPr>
            <w:r>
              <w:rPr>
                <w:rFonts w:hint="eastAsia" w:ascii="宋体" w:hAnsi="宋体" w:eastAsia="宋体" w:cs="宋体"/>
                <w:spacing w:val="-8"/>
                <w:sz w:val="21"/>
                <w:szCs w:val="21"/>
                <w:lang w:val="en-US" w:eastAsia="zh-CN"/>
              </w:rPr>
              <w:t>对在室外、野外使用放射性同位素和射线装置，未按照国家有关安全和防护标准的要求划出安全防护区域和设置明显的放射性标志等行为的行政处罚</w:t>
            </w:r>
          </w:p>
        </w:tc>
        <w:tc>
          <w:tcPr>
            <w:tcW w:w="1094" w:type="dxa"/>
            <w:shd w:val="clear" w:color="auto" w:fill="auto"/>
            <w:vAlign w:val="center"/>
          </w:tcPr>
          <w:p w14:paraId="5E00FD31">
            <w:pPr>
              <w:keepNext w:val="0"/>
              <w:keepLines w:val="0"/>
              <w:pageBreakBefore w:val="0"/>
              <w:widowControl w:val="0"/>
              <w:kinsoku/>
              <w:wordWrap/>
              <w:overflowPunct/>
              <w:topLinePunct w:val="0"/>
              <w:autoSpaceDE/>
              <w:autoSpaceDN/>
              <w:bidi w:val="0"/>
              <w:spacing w:before="68" w:line="320" w:lineRule="exact"/>
              <w:ind w:left="0" w:leftChars="0" w:firstLine="0" w:firstLineChars="0"/>
              <w:jc w:val="center"/>
              <w:rPr>
                <w:rFonts w:hint="eastAsia" w:ascii="仿宋_GB2312" w:hAnsi="仿宋_GB2312" w:eastAsia="仿宋_GB2312" w:cs="仿宋_GB2312"/>
                <w:spacing w:val="-8"/>
                <w:kern w:val="2"/>
                <w:sz w:val="24"/>
                <w:szCs w:val="24"/>
                <w:lang w:val="en-US" w:eastAsia="zh-CN" w:bidi="ar-SA"/>
              </w:rPr>
            </w:pPr>
            <w:r>
              <w:rPr>
                <w:rFonts w:hint="eastAsia" w:ascii="仿宋_GB2312" w:hAnsi="仿宋_GB2312" w:eastAsia="仿宋_GB2312" w:cs="仿宋_GB2312"/>
                <w:spacing w:val="-8"/>
                <w:sz w:val="24"/>
                <w:szCs w:val="24"/>
                <w:lang w:val="en-US" w:eastAsia="zh-CN"/>
              </w:rPr>
              <w:t>行政处罚</w:t>
            </w:r>
          </w:p>
        </w:tc>
        <w:tc>
          <w:tcPr>
            <w:tcW w:w="8317" w:type="dxa"/>
            <w:shd w:val="clear" w:color="auto" w:fill="auto"/>
            <w:vAlign w:val="top"/>
          </w:tcPr>
          <w:p w14:paraId="65833C8F">
            <w:pPr>
              <w:keepNext w:val="0"/>
              <w:keepLines w:val="0"/>
              <w:pageBreakBefore w:val="0"/>
              <w:widowControl w:val="0"/>
              <w:suppressLineNumbers w:val="0"/>
              <w:kinsoku/>
              <w:wordWrap/>
              <w:overflowPunct/>
              <w:topLinePunct w:val="0"/>
              <w:autoSpaceDE/>
              <w:autoSpaceDN/>
              <w:bidi w:val="0"/>
              <w:adjustRightInd/>
              <w:snapToGrid/>
              <w:spacing w:after="0" w:afterLines="-2147483648" w:line="320" w:lineRule="exact"/>
              <w:ind w:left="240" w:leftChars="100" w:firstLine="420" w:firstLineChars="200"/>
              <w:jc w:val="both"/>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放射性同位素与射线装置安全和防护条例》第五十七条违反本条例规定，生产、销售、使用放射性同位素和射线装置的单位有下列行为之一的，由县级以上人民政府生态环境主管部门责令停止违法行为，限期改正；逾期不改正的，处1万元以上10万元以下的罚款：（一）在室外、野外使用放射性同位素和射线装置，未按照国家有关安全和防护标准的要求划出安全防护区域和设置明显的放射性标志的；（二）未经批准擅自在野外进行放射性同位素示踪试验的。</w:t>
            </w:r>
          </w:p>
        </w:tc>
        <w:tc>
          <w:tcPr>
            <w:tcW w:w="1129" w:type="dxa"/>
          </w:tcPr>
          <w:p w14:paraId="3F6F78F4">
            <w:pPr>
              <w:keepNext w:val="0"/>
              <w:keepLines w:val="0"/>
              <w:pageBreakBefore w:val="0"/>
              <w:widowControl w:val="0"/>
              <w:kinsoku/>
              <w:wordWrap/>
              <w:overflowPunct/>
              <w:topLinePunct w:val="0"/>
              <w:autoSpaceDE/>
              <w:autoSpaceDN/>
              <w:bidi w:val="0"/>
              <w:spacing w:before="69" w:line="320" w:lineRule="exact"/>
              <w:ind w:left="49" w:leftChars="0" w:right="26" w:rightChars="0" w:firstLine="404" w:firstLineChars="200"/>
              <w:rPr>
                <w:rFonts w:ascii="宋体" w:hAnsi="宋体" w:eastAsia="宋体" w:cs="宋体"/>
                <w:spacing w:val="-4"/>
                <w:sz w:val="21"/>
                <w:szCs w:val="21"/>
              </w:rPr>
            </w:pPr>
          </w:p>
        </w:tc>
        <w:tc>
          <w:tcPr>
            <w:tcW w:w="990" w:type="dxa"/>
            <w:gridSpan w:val="2"/>
          </w:tcPr>
          <w:p w14:paraId="251CE38C">
            <w:pPr>
              <w:keepNext w:val="0"/>
              <w:keepLines w:val="0"/>
              <w:pageBreakBefore w:val="0"/>
              <w:widowControl w:val="0"/>
              <w:kinsoku/>
              <w:wordWrap/>
              <w:overflowPunct/>
              <w:topLinePunct w:val="0"/>
              <w:autoSpaceDE/>
              <w:autoSpaceDN/>
              <w:bidi w:val="0"/>
              <w:spacing w:before="69" w:line="320" w:lineRule="exact"/>
              <w:ind w:left="204" w:leftChars="0" w:right="59" w:rightChars="0" w:firstLine="404" w:firstLineChars="200"/>
              <w:rPr>
                <w:rFonts w:ascii="宋体" w:hAnsi="宋体" w:eastAsia="宋体" w:cs="宋体"/>
                <w:spacing w:val="-4"/>
                <w:sz w:val="21"/>
                <w:szCs w:val="21"/>
              </w:rPr>
            </w:pPr>
          </w:p>
        </w:tc>
      </w:tr>
      <w:tr w14:paraId="19AA5C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6" w:hRule="atLeast"/>
        </w:trPr>
        <w:tc>
          <w:tcPr>
            <w:tcW w:w="557" w:type="dxa"/>
            <w:shd w:val="clear" w:color="auto" w:fill="auto"/>
            <w:vAlign w:val="center"/>
          </w:tcPr>
          <w:p w14:paraId="793BCDD3">
            <w:pPr>
              <w:keepNext w:val="0"/>
              <w:keepLines w:val="0"/>
              <w:pageBreakBefore w:val="0"/>
              <w:widowControl w:val="0"/>
              <w:kinsoku/>
              <w:wordWrap/>
              <w:overflowPunct/>
              <w:topLinePunct w:val="0"/>
              <w:autoSpaceDE/>
              <w:autoSpaceDN/>
              <w:bidi w:val="0"/>
              <w:spacing w:before="68" w:line="320" w:lineRule="exact"/>
              <w:ind w:left="0" w:leftChars="0" w:firstLine="0" w:firstLineChars="0"/>
              <w:jc w:val="center"/>
              <w:rPr>
                <w:rFonts w:hint="eastAsia" w:ascii="仿宋_GB2312" w:hAnsi="仿宋_GB2312" w:eastAsia="仿宋_GB2312" w:cs="仿宋_GB2312"/>
                <w:spacing w:val="-8"/>
                <w:sz w:val="24"/>
                <w:szCs w:val="24"/>
                <w:lang w:val="en-US" w:eastAsia="zh-CN"/>
              </w:rPr>
            </w:pPr>
            <w:r>
              <w:rPr>
                <w:rFonts w:hint="eastAsia" w:ascii="仿宋_GB2312" w:hAnsi="仿宋_GB2312" w:eastAsia="仿宋_GB2312" w:cs="仿宋_GB2312"/>
                <w:spacing w:val="-8"/>
                <w:sz w:val="24"/>
                <w:szCs w:val="24"/>
                <w:lang w:val="en-US" w:eastAsia="zh-CN"/>
              </w:rPr>
              <w:t>138</w:t>
            </w:r>
          </w:p>
        </w:tc>
        <w:tc>
          <w:tcPr>
            <w:tcW w:w="2355" w:type="dxa"/>
            <w:shd w:val="clear" w:color="auto" w:fill="auto"/>
            <w:vAlign w:val="center"/>
          </w:tcPr>
          <w:p w14:paraId="71E34626">
            <w:pPr>
              <w:keepNext w:val="0"/>
              <w:keepLines w:val="0"/>
              <w:pageBreakBefore w:val="0"/>
              <w:widowControl w:val="0"/>
              <w:kinsoku/>
              <w:wordWrap/>
              <w:overflowPunct/>
              <w:topLinePunct w:val="0"/>
              <w:autoSpaceDE/>
              <w:autoSpaceDN/>
              <w:bidi w:val="0"/>
              <w:spacing w:before="68" w:line="320" w:lineRule="exact"/>
              <w:ind w:left="240" w:leftChars="100" w:right="127" w:rightChars="53" w:firstLine="0" w:firstLineChars="0"/>
              <w:jc w:val="center"/>
              <w:rPr>
                <w:rFonts w:hint="eastAsia" w:ascii="宋体" w:hAnsi="宋体" w:eastAsia="宋体" w:cs="宋体"/>
                <w:spacing w:val="-8"/>
                <w:kern w:val="2"/>
                <w:sz w:val="21"/>
                <w:szCs w:val="21"/>
                <w:lang w:val="en-US" w:eastAsia="zh-CN" w:bidi="ar-SA"/>
              </w:rPr>
            </w:pPr>
            <w:r>
              <w:rPr>
                <w:rFonts w:hint="eastAsia" w:ascii="宋体" w:hAnsi="宋体" w:eastAsia="宋体" w:cs="宋体"/>
                <w:spacing w:val="-8"/>
                <w:sz w:val="21"/>
                <w:szCs w:val="21"/>
                <w:lang w:val="en-US" w:eastAsia="zh-CN"/>
              </w:rPr>
              <w:t>对未建立放射性同位素产品台账等行为的行政处罚</w:t>
            </w:r>
          </w:p>
        </w:tc>
        <w:tc>
          <w:tcPr>
            <w:tcW w:w="1094" w:type="dxa"/>
            <w:shd w:val="clear" w:color="auto" w:fill="auto"/>
            <w:vAlign w:val="center"/>
          </w:tcPr>
          <w:p w14:paraId="0662F96E">
            <w:pPr>
              <w:keepNext w:val="0"/>
              <w:keepLines w:val="0"/>
              <w:pageBreakBefore w:val="0"/>
              <w:widowControl w:val="0"/>
              <w:kinsoku/>
              <w:wordWrap/>
              <w:overflowPunct/>
              <w:topLinePunct w:val="0"/>
              <w:autoSpaceDE/>
              <w:autoSpaceDN/>
              <w:bidi w:val="0"/>
              <w:spacing w:before="68" w:line="320" w:lineRule="exact"/>
              <w:ind w:left="0" w:leftChars="0" w:firstLine="0" w:firstLineChars="0"/>
              <w:jc w:val="center"/>
              <w:rPr>
                <w:rFonts w:hint="eastAsia" w:ascii="仿宋_GB2312" w:hAnsi="仿宋_GB2312" w:eastAsia="仿宋_GB2312" w:cs="仿宋_GB2312"/>
                <w:spacing w:val="-8"/>
                <w:kern w:val="2"/>
                <w:sz w:val="24"/>
                <w:szCs w:val="24"/>
                <w:lang w:val="en-US" w:eastAsia="zh-CN" w:bidi="ar-SA"/>
              </w:rPr>
            </w:pPr>
            <w:r>
              <w:rPr>
                <w:rFonts w:hint="eastAsia" w:ascii="仿宋_GB2312" w:hAnsi="仿宋_GB2312" w:eastAsia="仿宋_GB2312" w:cs="仿宋_GB2312"/>
                <w:spacing w:val="-8"/>
                <w:sz w:val="24"/>
                <w:szCs w:val="24"/>
                <w:lang w:val="en-US" w:eastAsia="zh-CN"/>
              </w:rPr>
              <w:t>行政处罚</w:t>
            </w:r>
          </w:p>
        </w:tc>
        <w:tc>
          <w:tcPr>
            <w:tcW w:w="8317" w:type="dxa"/>
            <w:shd w:val="clear" w:color="auto" w:fill="auto"/>
            <w:vAlign w:val="top"/>
          </w:tcPr>
          <w:p w14:paraId="601F8AB6">
            <w:pPr>
              <w:keepNext w:val="0"/>
              <w:keepLines w:val="0"/>
              <w:pageBreakBefore w:val="0"/>
              <w:widowControl w:val="0"/>
              <w:suppressLineNumbers w:val="0"/>
              <w:kinsoku/>
              <w:wordWrap/>
              <w:overflowPunct/>
              <w:topLinePunct w:val="0"/>
              <w:autoSpaceDE/>
              <w:autoSpaceDN/>
              <w:bidi w:val="0"/>
              <w:adjustRightInd/>
              <w:snapToGrid/>
              <w:spacing w:after="0" w:afterLines="-2147483648" w:line="320" w:lineRule="exact"/>
              <w:ind w:left="240" w:leftChars="100" w:firstLine="420" w:firstLineChars="200"/>
              <w:jc w:val="both"/>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放射性同位素与射线装置安全和防护条例》第五十八条违反本条例规定，生产放射性同位素的单位有下列行为之一的，由县级以上人民政府生态环境主管部门责令限期改正，给予警告；逾期不改正的，依法收缴其未备案的放射性同位素和未编码的放射源，处5万元以上10万元以下的罚款，并可以由原发证机关暂扣或者吊销许可证：（一）未建立放射性同位素产品台账的；（二）未按照国务院生态环境主管部门制定的编码规则，对生产的放射源进行统一编码的；（三）未将放射性同位素产品台账和放射源编码清单报国务院生态环境主管部门备案的；（四）出厂或者销售未列入产品台账的放射性同位素和未编码的放射源的。</w:t>
            </w:r>
          </w:p>
        </w:tc>
        <w:tc>
          <w:tcPr>
            <w:tcW w:w="1129" w:type="dxa"/>
          </w:tcPr>
          <w:p w14:paraId="29AE84BE">
            <w:pPr>
              <w:keepNext w:val="0"/>
              <w:keepLines w:val="0"/>
              <w:pageBreakBefore w:val="0"/>
              <w:widowControl w:val="0"/>
              <w:kinsoku/>
              <w:wordWrap/>
              <w:overflowPunct/>
              <w:topLinePunct w:val="0"/>
              <w:autoSpaceDE/>
              <w:autoSpaceDN/>
              <w:bidi w:val="0"/>
              <w:spacing w:before="69" w:line="320" w:lineRule="exact"/>
              <w:ind w:left="49" w:leftChars="0" w:right="26" w:rightChars="0" w:firstLine="404" w:firstLineChars="200"/>
              <w:rPr>
                <w:rFonts w:ascii="宋体" w:hAnsi="宋体" w:eastAsia="宋体" w:cs="宋体"/>
                <w:spacing w:val="-4"/>
                <w:sz w:val="21"/>
                <w:szCs w:val="21"/>
              </w:rPr>
            </w:pPr>
          </w:p>
        </w:tc>
        <w:tc>
          <w:tcPr>
            <w:tcW w:w="990" w:type="dxa"/>
            <w:gridSpan w:val="2"/>
          </w:tcPr>
          <w:p w14:paraId="3D933AC2">
            <w:pPr>
              <w:keepNext w:val="0"/>
              <w:keepLines w:val="0"/>
              <w:pageBreakBefore w:val="0"/>
              <w:widowControl w:val="0"/>
              <w:kinsoku/>
              <w:wordWrap/>
              <w:overflowPunct/>
              <w:topLinePunct w:val="0"/>
              <w:autoSpaceDE/>
              <w:autoSpaceDN/>
              <w:bidi w:val="0"/>
              <w:spacing w:before="69" w:line="320" w:lineRule="exact"/>
              <w:ind w:left="204" w:leftChars="0" w:right="59" w:rightChars="0" w:firstLine="404" w:firstLineChars="200"/>
              <w:rPr>
                <w:rFonts w:ascii="宋体" w:hAnsi="宋体" w:eastAsia="宋体" w:cs="宋体"/>
                <w:spacing w:val="-4"/>
                <w:sz w:val="21"/>
                <w:szCs w:val="21"/>
              </w:rPr>
            </w:pPr>
          </w:p>
        </w:tc>
      </w:tr>
      <w:tr w14:paraId="61B3BA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6" w:hRule="atLeast"/>
        </w:trPr>
        <w:tc>
          <w:tcPr>
            <w:tcW w:w="557" w:type="dxa"/>
            <w:shd w:val="clear" w:color="auto" w:fill="auto"/>
            <w:vAlign w:val="center"/>
          </w:tcPr>
          <w:p w14:paraId="0CBCA28B">
            <w:pPr>
              <w:keepNext w:val="0"/>
              <w:keepLines w:val="0"/>
              <w:pageBreakBefore w:val="0"/>
              <w:widowControl w:val="0"/>
              <w:kinsoku/>
              <w:wordWrap/>
              <w:overflowPunct/>
              <w:topLinePunct w:val="0"/>
              <w:autoSpaceDE/>
              <w:autoSpaceDN/>
              <w:bidi w:val="0"/>
              <w:spacing w:before="68" w:line="320" w:lineRule="exact"/>
              <w:ind w:left="0" w:leftChars="0" w:firstLine="0" w:firstLineChars="0"/>
              <w:jc w:val="center"/>
              <w:rPr>
                <w:rFonts w:hint="eastAsia" w:ascii="仿宋_GB2312" w:hAnsi="仿宋_GB2312" w:eastAsia="仿宋_GB2312" w:cs="仿宋_GB2312"/>
                <w:spacing w:val="-8"/>
                <w:sz w:val="24"/>
                <w:szCs w:val="24"/>
                <w:lang w:val="en-US" w:eastAsia="zh-CN"/>
              </w:rPr>
            </w:pPr>
            <w:r>
              <w:rPr>
                <w:rFonts w:hint="eastAsia" w:ascii="仿宋_GB2312" w:hAnsi="仿宋_GB2312" w:eastAsia="仿宋_GB2312" w:cs="仿宋_GB2312"/>
                <w:spacing w:val="-8"/>
                <w:sz w:val="24"/>
                <w:szCs w:val="24"/>
                <w:lang w:val="en-US" w:eastAsia="zh-CN"/>
              </w:rPr>
              <w:t>139</w:t>
            </w:r>
          </w:p>
        </w:tc>
        <w:tc>
          <w:tcPr>
            <w:tcW w:w="2355" w:type="dxa"/>
            <w:shd w:val="clear" w:color="auto" w:fill="auto"/>
            <w:vAlign w:val="center"/>
          </w:tcPr>
          <w:p w14:paraId="134C8656">
            <w:pPr>
              <w:keepNext w:val="0"/>
              <w:keepLines w:val="0"/>
              <w:pageBreakBefore w:val="0"/>
              <w:widowControl w:val="0"/>
              <w:kinsoku/>
              <w:wordWrap/>
              <w:overflowPunct/>
              <w:topLinePunct w:val="0"/>
              <w:autoSpaceDE/>
              <w:autoSpaceDN/>
              <w:bidi w:val="0"/>
              <w:spacing w:before="68" w:line="320" w:lineRule="exact"/>
              <w:ind w:left="240" w:leftChars="100" w:right="127" w:rightChars="53" w:firstLine="0" w:firstLineChars="0"/>
              <w:jc w:val="center"/>
              <w:rPr>
                <w:rFonts w:hint="eastAsia" w:ascii="宋体" w:hAnsi="宋体" w:eastAsia="宋体" w:cs="宋体"/>
                <w:spacing w:val="-8"/>
                <w:kern w:val="2"/>
                <w:sz w:val="21"/>
                <w:szCs w:val="21"/>
                <w:lang w:val="en-US" w:eastAsia="zh-CN" w:bidi="ar-SA"/>
              </w:rPr>
            </w:pPr>
            <w:r>
              <w:rPr>
                <w:rFonts w:hint="eastAsia" w:ascii="宋体" w:hAnsi="宋体" w:eastAsia="宋体" w:cs="宋体"/>
                <w:spacing w:val="-8"/>
                <w:sz w:val="21"/>
                <w:szCs w:val="21"/>
                <w:lang w:val="en-US" w:eastAsia="zh-CN"/>
              </w:rPr>
              <w:t>对未按照规定对废旧放射源进行处理等行为的行政处罚</w:t>
            </w:r>
          </w:p>
        </w:tc>
        <w:tc>
          <w:tcPr>
            <w:tcW w:w="1094" w:type="dxa"/>
            <w:shd w:val="clear" w:color="auto" w:fill="auto"/>
            <w:vAlign w:val="center"/>
          </w:tcPr>
          <w:p w14:paraId="62383FB8">
            <w:pPr>
              <w:keepNext w:val="0"/>
              <w:keepLines w:val="0"/>
              <w:pageBreakBefore w:val="0"/>
              <w:widowControl w:val="0"/>
              <w:kinsoku/>
              <w:wordWrap/>
              <w:overflowPunct/>
              <w:topLinePunct w:val="0"/>
              <w:autoSpaceDE/>
              <w:autoSpaceDN/>
              <w:bidi w:val="0"/>
              <w:spacing w:before="68" w:line="320" w:lineRule="exact"/>
              <w:ind w:left="0" w:leftChars="0" w:firstLine="0" w:firstLineChars="0"/>
              <w:jc w:val="center"/>
              <w:rPr>
                <w:rFonts w:hint="eastAsia" w:ascii="仿宋_GB2312" w:hAnsi="仿宋_GB2312" w:eastAsia="仿宋_GB2312" w:cs="仿宋_GB2312"/>
                <w:spacing w:val="-8"/>
                <w:kern w:val="2"/>
                <w:sz w:val="24"/>
                <w:szCs w:val="24"/>
                <w:lang w:val="en-US" w:eastAsia="zh-CN" w:bidi="ar-SA"/>
              </w:rPr>
            </w:pPr>
            <w:r>
              <w:rPr>
                <w:rFonts w:hint="eastAsia" w:ascii="仿宋_GB2312" w:hAnsi="仿宋_GB2312" w:eastAsia="仿宋_GB2312" w:cs="仿宋_GB2312"/>
                <w:spacing w:val="-8"/>
                <w:sz w:val="24"/>
                <w:szCs w:val="24"/>
                <w:lang w:val="en-US" w:eastAsia="zh-CN"/>
              </w:rPr>
              <w:t>行政处罚</w:t>
            </w:r>
          </w:p>
        </w:tc>
        <w:tc>
          <w:tcPr>
            <w:tcW w:w="8317" w:type="dxa"/>
            <w:shd w:val="clear" w:color="auto" w:fill="auto"/>
            <w:vAlign w:val="top"/>
          </w:tcPr>
          <w:p w14:paraId="01DEE50A">
            <w:pPr>
              <w:keepNext w:val="0"/>
              <w:keepLines w:val="0"/>
              <w:pageBreakBefore w:val="0"/>
              <w:widowControl w:val="0"/>
              <w:suppressLineNumbers w:val="0"/>
              <w:kinsoku/>
              <w:wordWrap/>
              <w:overflowPunct/>
              <w:topLinePunct w:val="0"/>
              <w:autoSpaceDE/>
              <w:autoSpaceDN/>
              <w:bidi w:val="0"/>
              <w:adjustRightInd/>
              <w:snapToGrid/>
              <w:spacing w:after="0" w:afterLines="-2147483648" w:line="320" w:lineRule="exact"/>
              <w:ind w:left="240" w:leftChars="100" w:firstLine="420" w:firstLineChars="200"/>
              <w:jc w:val="both"/>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放射性同位素与射线装置安全和防护条例》第五十九条违反本条例规定，生产、销售、使用放射性同位素和射线装置的单位有下列行为之一的，由县级以上人民政府生态环境主管部门责令停止违法行为，限期改正；逾期不改正的，由原发证机关指定有处理能力的单位代为处理或者实施退役，费用由生产、销售、使用放射性同位素和射线装置的单位承担，并处1万元以上10万元以下的罚款：（一）未按照规定对废旧放射源进行处理的；（二）未按照规定对使用Ⅰ类、Ⅱ类、Ⅲ类放射源的场所和生产放射性同位素的场所，以及终结运行后产生放射性污染的射线装置实施退役的。</w:t>
            </w:r>
          </w:p>
          <w:p w14:paraId="0D29AC87">
            <w:pPr>
              <w:keepNext w:val="0"/>
              <w:keepLines w:val="0"/>
              <w:pageBreakBefore w:val="0"/>
              <w:widowControl w:val="0"/>
              <w:suppressLineNumbers w:val="0"/>
              <w:kinsoku/>
              <w:wordWrap/>
              <w:overflowPunct/>
              <w:topLinePunct w:val="0"/>
              <w:autoSpaceDE/>
              <w:autoSpaceDN/>
              <w:bidi w:val="0"/>
              <w:adjustRightInd/>
              <w:snapToGrid/>
              <w:spacing w:after="0" w:afterLines="-2147483648" w:line="320" w:lineRule="exact"/>
              <w:ind w:left="240" w:leftChars="100" w:firstLine="420" w:firstLineChars="200"/>
              <w:jc w:val="both"/>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陕西省放射性污染防治条例（2019年修正）》第四十一条违反本条例第二十二条规定，属于第（三）、（四）、（五）、（六）项范围的涉辐单位未实施退役的，由县级以上生态环境行政主管部门责令限期改正；逾期不改的，由原发证机关委托有资质单位代为实施退役，费用由涉辐单位承担，处一万元以上十万元以下罚款。3.第二十二条下列涉辐单位应当按照国家规定对停止使用的设施、设备和场所实施退役：（一）核设施运营单位；（二）铀（钍）矿开发利用单位；（三）使用Ⅰ类、Ⅱ类、Ⅲ类放射源的单位；（四）生产放射性同位素的单位；（五）甲级、乙级非密封放射性物质使用单位；（六）终结运行后产生放射性污染的射线装置使用单位。</w:t>
            </w:r>
          </w:p>
        </w:tc>
        <w:tc>
          <w:tcPr>
            <w:tcW w:w="1129" w:type="dxa"/>
          </w:tcPr>
          <w:p w14:paraId="0CCC99E1">
            <w:pPr>
              <w:keepNext w:val="0"/>
              <w:keepLines w:val="0"/>
              <w:pageBreakBefore w:val="0"/>
              <w:widowControl w:val="0"/>
              <w:kinsoku/>
              <w:wordWrap/>
              <w:overflowPunct/>
              <w:topLinePunct w:val="0"/>
              <w:autoSpaceDE/>
              <w:autoSpaceDN/>
              <w:bidi w:val="0"/>
              <w:spacing w:before="69" w:line="320" w:lineRule="exact"/>
              <w:ind w:left="49" w:leftChars="0" w:right="26" w:rightChars="0" w:firstLine="404" w:firstLineChars="200"/>
              <w:rPr>
                <w:rFonts w:ascii="宋体" w:hAnsi="宋体" w:eastAsia="宋体" w:cs="宋体"/>
                <w:spacing w:val="-4"/>
                <w:sz w:val="21"/>
                <w:szCs w:val="21"/>
              </w:rPr>
            </w:pPr>
          </w:p>
        </w:tc>
        <w:tc>
          <w:tcPr>
            <w:tcW w:w="990" w:type="dxa"/>
            <w:gridSpan w:val="2"/>
          </w:tcPr>
          <w:p w14:paraId="1CB54EDD">
            <w:pPr>
              <w:keepNext w:val="0"/>
              <w:keepLines w:val="0"/>
              <w:pageBreakBefore w:val="0"/>
              <w:widowControl w:val="0"/>
              <w:kinsoku/>
              <w:wordWrap/>
              <w:overflowPunct/>
              <w:topLinePunct w:val="0"/>
              <w:autoSpaceDE/>
              <w:autoSpaceDN/>
              <w:bidi w:val="0"/>
              <w:spacing w:before="69" w:line="320" w:lineRule="exact"/>
              <w:ind w:left="204" w:leftChars="0" w:right="59" w:rightChars="0" w:firstLine="404" w:firstLineChars="200"/>
              <w:rPr>
                <w:rFonts w:ascii="宋体" w:hAnsi="宋体" w:eastAsia="宋体" w:cs="宋体"/>
                <w:spacing w:val="-4"/>
                <w:sz w:val="21"/>
                <w:szCs w:val="21"/>
              </w:rPr>
            </w:pPr>
          </w:p>
        </w:tc>
      </w:tr>
      <w:tr w14:paraId="0FC111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6" w:hRule="atLeast"/>
        </w:trPr>
        <w:tc>
          <w:tcPr>
            <w:tcW w:w="557" w:type="dxa"/>
            <w:shd w:val="clear" w:color="auto" w:fill="auto"/>
            <w:vAlign w:val="center"/>
          </w:tcPr>
          <w:p w14:paraId="0242E04C">
            <w:pPr>
              <w:keepNext w:val="0"/>
              <w:keepLines w:val="0"/>
              <w:pageBreakBefore w:val="0"/>
              <w:widowControl w:val="0"/>
              <w:kinsoku/>
              <w:wordWrap/>
              <w:overflowPunct/>
              <w:topLinePunct w:val="0"/>
              <w:autoSpaceDE/>
              <w:autoSpaceDN/>
              <w:bidi w:val="0"/>
              <w:spacing w:before="68" w:line="320" w:lineRule="exact"/>
              <w:ind w:left="0" w:leftChars="0" w:firstLine="0" w:firstLineChars="0"/>
              <w:jc w:val="center"/>
              <w:rPr>
                <w:rFonts w:hint="eastAsia" w:ascii="仿宋_GB2312" w:hAnsi="仿宋_GB2312" w:eastAsia="仿宋_GB2312" w:cs="仿宋_GB2312"/>
                <w:spacing w:val="-8"/>
                <w:sz w:val="24"/>
                <w:szCs w:val="24"/>
                <w:lang w:val="en-US" w:eastAsia="zh-CN"/>
              </w:rPr>
            </w:pPr>
            <w:r>
              <w:rPr>
                <w:rFonts w:hint="eastAsia" w:ascii="仿宋_GB2312" w:hAnsi="仿宋_GB2312" w:eastAsia="仿宋_GB2312" w:cs="仿宋_GB2312"/>
                <w:spacing w:val="-8"/>
                <w:sz w:val="24"/>
                <w:szCs w:val="24"/>
                <w:lang w:val="en-US" w:eastAsia="zh-CN"/>
              </w:rPr>
              <w:t>140</w:t>
            </w:r>
          </w:p>
        </w:tc>
        <w:tc>
          <w:tcPr>
            <w:tcW w:w="2355" w:type="dxa"/>
            <w:shd w:val="clear" w:color="auto" w:fill="auto"/>
            <w:vAlign w:val="center"/>
          </w:tcPr>
          <w:p w14:paraId="4FBFC4F5">
            <w:pPr>
              <w:keepNext w:val="0"/>
              <w:keepLines w:val="0"/>
              <w:pageBreakBefore w:val="0"/>
              <w:widowControl w:val="0"/>
              <w:kinsoku/>
              <w:wordWrap/>
              <w:overflowPunct/>
              <w:topLinePunct w:val="0"/>
              <w:autoSpaceDE/>
              <w:autoSpaceDN/>
              <w:bidi w:val="0"/>
              <w:spacing w:before="68" w:line="320" w:lineRule="exact"/>
              <w:ind w:left="240" w:leftChars="100" w:right="127" w:rightChars="53" w:firstLine="0" w:firstLineChars="0"/>
              <w:jc w:val="center"/>
              <w:rPr>
                <w:rFonts w:hint="eastAsia" w:ascii="宋体" w:hAnsi="宋体" w:eastAsia="宋体" w:cs="宋体"/>
                <w:spacing w:val="-8"/>
                <w:kern w:val="2"/>
                <w:sz w:val="21"/>
                <w:szCs w:val="21"/>
                <w:lang w:val="en-US" w:eastAsia="zh-CN" w:bidi="ar-SA"/>
              </w:rPr>
            </w:pPr>
            <w:r>
              <w:rPr>
                <w:rFonts w:hint="eastAsia" w:ascii="宋体" w:hAnsi="宋体" w:eastAsia="宋体" w:cs="宋体"/>
                <w:spacing w:val="-8"/>
                <w:sz w:val="21"/>
                <w:szCs w:val="21"/>
                <w:lang w:val="en-US" w:eastAsia="zh-CN"/>
              </w:rPr>
              <w:t>对未按照规定对废旧放射源进行处理等行为的行政强制</w:t>
            </w:r>
          </w:p>
        </w:tc>
        <w:tc>
          <w:tcPr>
            <w:tcW w:w="1094" w:type="dxa"/>
            <w:shd w:val="clear" w:color="auto" w:fill="auto"/>
            <w:vAlign w:val="center"/>
          </w:tcPr>
          <w:p w14:paraId="13D75CAE">
            <w:pPr>
              <w:keepNext w:val="0"/>
              <w:keepLines w:val="0"/>
              <w:pageBreakBefore w:val="0"/>
              <w:widowControl w:val="0"/>
              <w:kinsoku/>
              <w:wordWrap/>
              <w:overflowPunct/>
              <w:topLinePunct w:val="0"/>
              <w:autoSpaceDE/>
              <w:autoSpaceDN/>
              <w:bidi w:val="0"/>
              <w:spacing w:before="68" w:line="320" w:lineRule="exact"/>
              <w:ind w:left="0" w:leftChars="0" w:firstLine="0" w:firstLineChars="0"/>
              <w:jc w:val="center"/>
              <w:rPr>
                <w:rFonts w:hint="eastAsia" w:ascii="仿宋_GB2312" w:hAnsi="仿宋_GB2312" w:eastAsia="仿宋_GB2312" w:cs="仿宋_GB2312"/>
                <w:spacing w:val="-8"/>
                <w:kern w:val="2"/>
                <w:sz w:val="24"/>
                <w:szCs w:val="24"/>
                <w:lang w:val="en-US" w:eastAsia="zh-CN" w:bidi="ar-SA"/>
              </w:rPr>
            </w:pPr>
            <w:r>
              <w:rPr>
                <w:rFonts w:hint="eastAsia" w:ascii="仿宋_GB2312" w:hAnsi="仿宋_GB2312" w:eastAsia="仿宋_GB2312" w:cs="仿宋_GB2312"/>
                <w:spacing w:val="-8"/>
                <w:sz w:val="24"/>
                <w:szCs w:val="24"/>
                <w:lang w:val="en-US" w:eastAsia="zh-CN"/>
              </w:rPr>
              <w:t>行政强制</w:t>
            </w:r>
          </w:p>
        </w:tc>
        <w:tc>
          <w:tcPr>
            <w:tcW w:w="8317" w:type="dxa"/>
            <w:shd w:val="clear" w:color="auto" w:fill="auto"/>
            <w:vAlign w:val="top"/>
          </w:tcPr>
          <w:p w14:paraId="6E1FA05B">
            <w:pPr>
              <w:keepNext w:val="0"/>
              <w:keepLines w:val="0"/>
              <w:pageBreakBefore w:val="0"/>
              <w:widowControl w:val="0"/>
              <w:suppressLineNumbers w:val="0"/>
              <w:kinsoku/>
              <w:wordWrap/>
              <w:overflowPunct/>
              <w:topLinePunct w:val="0"/>
              <w:autoSpaceDE/>
              <w:autoSpaceDN/>
              <w:bidi w:val="0"/>
              <w:adjustRightInd/>
              <w:snapToGrid/>
              <w:spacing w:after="0" w:afterLines="-2147483648" w:line="320" w:lineRule="exact"/>
              <w:ind w:left="240" w:leftChars="100" w:firstLine="420" w:firstLineChars="200"/>
              <w:jc w:val="both"/>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放射性同位素与射线装置安全和防护条例》第五十九条违反本条例规定，生产、销售、使用放射性同位素和射线装置的单位有下列行为之一的，由县级以上人民政府生态环境主管部门责令停止违法行为，限期改正；逾期不改正的，由原发证机关指定有处理能力的单位代为处理或者实施退役，费用由生产、销售、使用放射性同位素和射线装置的单位承担，并处1万元以上10万元以下的罚款：（一）未按照规定对废旧放射源进行处理的；（二）未按照规定对使用Ⅰ类、Ⅱ类、Ⅲ类放射源的场所和生产放射性同位素的场所，以及终结运行后产生放射性污染的射线装置实施退役的。</w:t>
            </w:r>
          </w:p>
          <w:p w14:paraId="5518AB4C">
            <w:pPr>
              <w:keepNext w:val="0"/>
              <w:keepLines w:val="0"/>
              <w:pageBreakBefore w:val="0"/>
              <w:widowControl w:val="0"/>
              <w:suppressLineNumbers w:val="0"/>
              <w:kinsoku/>
              <w:wordWrap/>
              <w:overflowPunct/>
              <w:topLinePunct w:val="0"/>
              <w:autoSpaceDE/>
              <w:autoSpaceDN/>
              <w:bidi w:val="0"/>
              <w:adjustRightInd/>
              <w:snapToGrid/>
              <w:spacing w:after="0" w:afterLines="-2147483648" w:line="320" w:lineRule="exact"/>
              <w:ind w:left="240" w:leftChars="100" w:firstLine="420" w:firstLineChars="200"/>
              <w:jc w:val="both"/>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陕西省放射性污染防治条例（2019年修正）》第四十一条违反本条例第二十二条规定，属于第（三）、（四）、（五）、（六）项范围的涉辐单位未实施退役的，由县级以上生态环境行政主管部门责令限期改正；逾期不改的，由原发证机关委托有资质单位代为实施退役，费用由涉辐单位承担，处一万元以上十万元以下罚款。3.第二十二条下列涉辐单位应当按照国家规定对停止使用的设施、设备和场所实施退役：（一）核设施运营单位；（二）铀（钍）矿开发利用单位；（三）使用Ⅰ类、Ⅱ类、Ⅲ类放射源的单位；（四）生产放射性同位素的单位；（五）甲级、乙级非密封放射性物质使用单位；（六）终结运行后产生放射性污染的射线装置使用单位。</w:t>
            </w:r>
          </w:p>
        </w:tc>
        <w:tc>
          <w:tcPr>
            <w:tcW w:w="1129" w:type="dxa"/>
          </w:tcPr>
          <w:p w14:paraId="66DE618E">
            <w:pPr>
              <w:keepNext w:val="0"/>
              <w:keepLines w:val="0"/>
              <w:pageBreakBefore w:val="0"/>
              <w:widowControl w:val="0"/>
              <w:kinsoku/>
              <w:wordWrap/>
              <w:overflowPunct/>
              <w:topLinePunct w:val="0"/>
              <w:autoSpaceDE/>
              <w:autoSpaceDN/>
              <w:bidi w:val="0"/>
              <w:spacing w:before="69" w:line="320" w:lineRule="exact"/>
              <w:ind w:left="49" w:leftChars="0" w:right="26" w:rightChars="0" w:firstLine="404" w:firstLineChars="200"/>
              <w:rPr>
                <w:rFonts w:ascii="宋体" w:hAnsi="宋体" w:eastAsia="宋体" w:cs="宋体"/>
                <w:spacing w:val="-4"/>
                <w:sz w:val="21"/>
                <w:szCs w:val="21"/>
              </w:rPr>
            </w:pPr>
          </w:p>
        </w:tc>
        <w:tc>
          <w:tcPr>
            <w:tcW w:w="990" w:type="dxa"/>
            <w:gridSpan w:val="2"/>
          </w:tcPr>
          <w:p w14:paraId="1C721AA2">
            <w:pPr>
              <w:keepNext w:val="0"/>
              <w:keepLines w:val="0"/>
              <w:pageBreakBefore w:val="0"/>
              <w:widowControl w:val="0"/>
              <w:kinsoku/>
              <w:wordWrap/>
              <w:overflowPunct/>
              <w:topLinePunct w:val="0"/>
              <w:autoSpaceDE/>
              <w:autoSpaceDN/>
              <w:bidi w:val="0"/>
              <w:spacing w:before="69" w:line="320" w:lineRule="exact"/>
              <w:ind w:left="204" w:leftChars="0" w:right="59" w:rightChars="0" w:firstLine="404" w:firstLineChars="200"/>
              <w:rPr>
                <w:rFonts w:ascii="宋体" w:hAnsi="宋体" w:eastAsia="宋体" w:cs="宋体"/>
                <w:spacing w:val="-4"/>
                <w:sz w:val="21"/>
                <w:szCs w:val="21"/>
              </w:rPr>
            </w:pPr>
          </w:p>
        </w:tc>
      </w:tr>
      <w:tr w14:paraId="42D19F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6" w:hRule="atLeast"/>
        </w:trPr>
        <w:tc>
          <w:tcPr>
            <w:tcW w:w="557" w:type="dxa"/>
            <w:shd w:val="clear" w:color="auto" w:fill="auto"/>
            <w:vAlign w:val="center"/>
          </w:tcPr>
          <w:p w14:paraId="07FEA022">
            <w:pPr>
              <w:keepNext w:val="0"/>
              <w:keepLines w:val="0"/>
              <w:pageBreakBefore w:val="0"/>
              <w:widowControl w:val="0"/>
              <w:kinsoku/>
              <w:wordWrap/>
              <w:overflowPunct/>
              <w:topLinePunct w:val="0"/>
              <w:autoSpaceDE/>
              <w:autoSpaceDN/>
              <w:bidi w:val="0"/>
              <w:spacing w:before="68" w:line="320" w:lineRule="exact"/>
              <w:ind w:left="0" w:leftChars="0" w:firstLine="0" w:firstLineChars="0"/>
              <w:jc w:val="center"/>
              <w:rPr>
                <w:rFonts w:hint="eastAsia" w:ascii="仿宋_GB2312" w:hAnsi="仿宋_GB2312" w:eastAsia="仿宋_GB2312" w:cs="仿宋_GB2312"/>
                <w:spacing w:val="-8"/>
                <w:sz w:val="24"/>
                <w:szCs w:val="24"/>
                <w:lang w:val="en-US" w:eastAsia="zh-CN"/>
              </w:rPr>
            </w:pPr>
            <w:r>
              <w:rPr>
                <w:rFonts w:hint="eastAsia" w:ascii="仿宋_GB2312" w:hAnsi="仿宋_GB2312" w:eastAsia="仿宋_GB2312" w:cs="仿宋_GB2312"/>
                <w:spacing w:val="-8"/>
                <w:sz w:val="24"/>
                <w:szCs w:val="24"/>
                <w:lang w:val="en-US" w:eastAsia="zh-CN"/>
              </w:rPr>
              <w:t>141</w:t>
            </w:r>
          </w:p>
        </w:tc>
        <w:tc>
          <w:tcPr>
            <w:tcW w:w="2355" w:type="dxa"/>
            <w:shd w:val="clear" w:color="auto" w:fill="auto"/>
            <w:vAlign w:val="center"/>
          </w:tcPr>
          <w:p w14:paraId="1238DBF1">
            <w:pPr>
              <w:keepNext w:val="0"/>
              <w:keepLines w:val="0"/>
              <w:pageBreakBefore w:val="0"/>
              <w:widowControl w:val="0"/>
              <w:kinsoku/>
              <w:wordWrap/>
              <w:overflowPunct/>
              <w:topLinePunct w:val="0"/>
              <w:autoSpaceDE/>
              <w:autoSpaceDN/>
              <w:bidi w:val="0"/>
              <w:spacing w:before="68" w:line="320" w:lineRule="exact"/>
              <w:ind w:left="240" w:leftChars="100" w:right="127" w:rightChars="53" w:firstLine="0" w:firstLineChars="0"/>
              <w:jc w:val="center"/>
              <w:rPr>
                <w:rFonts w:hint="eastAsia" w:ascii="宋体" w:hAnsi="宋体" w:eastAsia="宋体" w:cs="宋体"/>
                <w:spacing w:val="-8"/>
                <w:kern w:val="2"/>
                <w:sz w:val="21"/>
                <w:szCs w:val="21"/>
                <w:lang w:val="en-US" w:eastAsia="zh-CN" w:bidi="ar-SA"/>
              </w:rPr>
            </w:pPr>
            <w:r>
              <w:rPr>
                <w:rFonts w:hint="eastAsia" w:ascii="宋体" w:hAnsi="宋体" w:eastAsia="宋体" w:cs="宋体"/>
                <w:spacing w:val="-8"/>
                <w:sz w:val="21"/>
                <w:szCs w:val="21"/>
                <w:lang w:val="en-US" w:eastAsia="zh-CN"/>
              </w:rPr>
              <w:t>对未按照规定对本单位的放射性同位素、射线装置安全和防护状况进行评估或者发现安全隐患不及时整改等行为的行政处罚</w:t>
            </w:r>
          </w:p>
        </w:tc>
        <w:tc>
          <w:tcPr>
            <w:tcW w:w="1094" w:type="dxa"/>
            <w:shd w:val="clear" w:color="auto" w:fill="auto"/>
            <w:vAlign w:val="center"/>
          </w:tcPr>
          <w:p w14:paraId="2422DD90">
            <w:pPr>
              <w:keepNext w:val="0"/>
              <w:keepLines w:val="0"/>
              <w:pageBreakBefore w:val="0"/>
              <w:widowControl w:val="0"/>
              <w:kinsoku/>
              <w:wordWrap/>
              <w:overflowPunct/>
              <w:topLinePunct w:val="0"/>
              <w:autoSpaceDE/>
              <w:autoSpaceDN/>
              <w:bidi w:val="0"/>
              <w:spacing w:before="68" w:line="320" w:lineRule="exact"/>
              <w:ind w:left="0" w:leftChars="0" w:firstLine="0" w:firstLineChars="0"/>
              <w:jc w:val="center"/>
              <w:rPr>
                <w:rFonts w:hint="eastAsia" w:ascii="仿宋_GB2312" w:hAnsi="仿宋_GB2312" w:eastAsia="仿宋_GB2312" w:cs="仿宋_GB2312"/>
                <w:spacing w:val="-8"/>
                <w:kern w:val="2"/>
                <w:sz w:val="24"/>
                <w:szCs w:val="24"/>
                <w:lang w:val="en-US" w:eastAsia="zh-CN" w:bidi="ar-SA"/>
              </w:rPr>
            </w:pPr>
            <w:r>
              <w:rPr>
                <w:rFonts w:hint="eastAsia" w:ascii="仿宋_GB2312" w:hAnsi="仿宋_GB2312" w:eastAsia="仿宋_GB2312" w:cs="仿宋_GB2312"/>
                <w:spacing w:val="-8"/>
                <w:sz w:val="24"/>
                <w:szCs w:val="24"/>
                <w:lang w:val="en-US" w:eastAsia="zh-CN"/>
              </w:rPr>
              <w:t>行政处罚</w:t>
            </w:r>
          </w:p>
        </w:tc>
        <w:tc>
          <w:tcPr>
            <w:tcW w:w="8317" w:type="dxa"/>
            <w:shd w:val="clear" w:color="auto" w:fill="auto"/>
            <w:vAlign w:val="top"/>
          </w:tcPr>
          <w:p w14:paraId="4ABAFE87">
            <w:pPr>
              <w:keepNext w:val="0"/>
              <w:keepLines w:val="0"/>
              <w:pageBreakBefore w:val="0"/>
              <w:widowControl w:val="0"/>
              <w:suppressLineNumbers w:val="0"/>
              <w:kinsoku/>
              <w:wordWrap/>
              <w:overflowPunct/>
              <w:topLinePunct w:val="0"/>
              <w:autoSpaceDE/>
              <w:autoSpaceDN/>
              <w:bidi w:val="0"/>
              <w:adjustRightInd/>
              <w:snapToGrid/>
              <w:spacing w:after="0" w:afterLines="-2147483648" w:line="320" w:lineRule="exact"/>
              <w:ind w:left="240" w:leftChars="100" w:firstLine="420" w:firstLineChars="200"/>
              <w:jc w:val="both"/>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放射性同位素与射线装置安全和防护条例》第六十条违反本条例规定，生产、销售、使用放射性同位素和射线装置的单位有下列行为之一的，由县级以上人民政府生态环境主管部门责令停止违法行为，限期改正；逾期不改正的，责令停产停业，并处2万元以上20万元以下的罚款；构成犯罪的，依法追究刑事责任：（一）未按照规定对本单位的放射性同位素、射线装置安全和防护状况进行评估或者发现安全隐患不及时整改的；（二）生产、销售、使用、贮存放射性同位素和射线装置的场所未按照规定设置安全和防护设施以及放射性标志的。</w:t>
            </w:r>
          </w:p>
        </w:tc>
        <w:tc>
          <w:tcPr>
            <w:tcW w:w="1129" w:type="dxa"/>
          </w:tcPr>
          <w:p w14:paraId="3128E83C">
            <w:pPr>
              <w:keepNext w:val="0"/>
              <w:keepLines w:val="0"/>
              <w:pageBreakBefore w:val="0"/>
              <w:widowControl w:val="0"/>
              <w:kinsoku/>
              <w:wordWrap/>
              <w:overflowPunct/>
              <w:topLinePunct w:val="0"/>
              <w:autoSpaceDE/>
              <w:autoSpaceDN/>
              <w:bidi w:val="0"/>
              <w:spacing w:before="69" w:line="320" w:lineRule="exact"/>
              <w:ind w:left="49" w:leftChars="0" w:right="26" w:rightChars="0" w:firstLine="404" w:firstLineChars="200"/>
              <w:rPr>
                <w:rFonts w:ascii="宋体" w:hAnsi="宋体" w:eastAsia="宋体" w:cs="宋体"/>
                <w:spacing w:val="-4"/>
                <w:sz w:val="21"/>
                <w:szCs w:val="21"/>
              </w:rPr>
            </w:pPr>
          </w:p>
        </w:tc>
        <w:tc>
          <w:tcPr>
            <w:tcW w:w="990" w:type="dxa"/>
            <w:gridSpan w:val="2"/>
          </w:tcPr>
          <w:p w14:paraId="095C757B">
            <w:pPr>
              <w:keepNext w:val="0"/>
              <w:keepLines w:val="0"/>
              <w:pageBreakBefore w:val="0"/>
              <w:widowControl w:val="0"/>
              <w:kinsoku/>
              <w:wordWrap/>
              <w:overflowPunct/>
              <w:topLinePunct w:val="0"/>
              <w:autoSpaceDE/>
              <w:autoSpaceDN/>
              <w:bidi w:val="0"/>
              <w:spacing w:before="69" w:line="320" w:lineRule="exact"/>
              <w:ind w:left="204" w:leftChars="0" w:right="59" w:rightChars="0" w:firstLine="404" w:firstLineChars="200"/>
              <w:rPr>
                <w:rFonts w:ascii="宋体" w:hAnsi="宋体" w:eastAsia="宋体" w:cs="宋体"/>
                <w:spacing w:val="-4"/>
                <w:sz w:val="21"/>
                <w:szCs w:val="21"/>
              </w:rPr>
            </w:pPr>
          </w:p>
        </w:tc>
      </w:tr>
      <w:tr w14:paraId="329A4F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6" w:hRule="atLeast"/>
        </w:trPr>
        <w:tc>
          <w:tcPr>
            <w:tcW w:w="557" w:type="dxa"/>
            <w:shd w:val="clear" w:color="auto" w:fill="auto"/>
            <w:vAlign w:val="center"/>
          </w:tcPr>
          <w:p w14:paraId="5002E4BE">
            <w:pPr>
              <w:keepNext w:val="0"/>
              <w:keepLines w:val="0"/>
              <w:pageBreakBefore w:val="0"/>
              <w:widowControl w:val="0"/>
              <w:kinsoku/>
              <w:wordWrap/>
              <w:overflowPunct/>
              <w:topLinePunct w:val="0"/>
              <w:autoSpaceDE/>
              <w:autoSpaceDN/>
              <w:bidi w:val="0"/>
              <w:spacing w:before="68" w:line="320" w:lineRule="exact"/>
              <w:ind w:left="0" w:leftChars="0" w:firstLine="0" w:firstLineChars="0"/>
              <w:jc w:val="center"/>
              <w:rPr>
                <w:rFonts w:hint="eastAsia" w:ascii="仿宋_GB2312" w:hAnsi="仿宋_GB2312" w:eastAsia="仿宋_GB2312" w:cs="仿宋_GB2312"/>
                <w:spacing w:val="-8"/>
                <w:sz w:val="24"/>
                <w:szCs w:val="24"/>
                <w:lang w:val="en-US" w:eastAsia="zh-CN"/>
              </w:rPr>
            </w:pPr>
            <w:r>
              <w:rPr>
                <w:rFonts w:hint="eastAsia" w:ascii="仿宋_GB2312" w:hAnsi="仿宋_GB2312" w:eastAsia="仿宋_GB2312" w:cs="仿宋_GB2312"/>
                <w:spacing w:val="-8"/>
                <w:sz w:val="24"/>
                <w:szCs w:val="24"/>
                <w:lang w:val="en-US" w:eastAsia="zh-CN"/>
              </w:rPr>
              <w:t>142</w:t>
            </w:r>
          </w:p>
        </w:tc>
        <w:tc>
          <w:tcPr>
            <w:tcW w:w="2355" w:type="dxa"/>
            <w:shd w:val="clear" w:color="auto" w:fill="auto"/>
            <w:vAlign w:val="center"/>
          </w:tcPr>
          <w:p w14:paraId="070740DF">
            <w:pPr>
              <w:keepNext w:val="0"/>
              <w:keepLines w:val="0"/>
              <w:pageBreakBefore w:val="0"/>
              <w:widowControl w:val="0"/>
              <w:kinsoku/>
              <w:wordWrap/>
              <w:overflowPunct/>
              <w:topLinePunct w:val="0"/>
              <w:autoSpaceDE/>
              <w:autoSpaceDN/>
              <w:bidi w:val="0"/>
              <w:spacing w:before="68" w:line="320" w:lineRule="exact"/>
              <w:ind w:left="240" w:leftChars="100" w:right="127" w:rightChars="53" w:firstLine="0" w:firstLineChars="0"/>
              <w:jc w:val="center"/>
              <w:rPr>
                <w:rFonts w:hint="eastAsia" w:ascii="宋体" w:hAnsi="宋体" w:eastAsia="宋体" w:cs="宋体"/>
                <w:spacing w:val="-8"/>
                <w:kern w:val="2"/>
                <w:sz w:val="21"/>
                <w:szCs w:val="21"/>
                <w:lang w:val="en-US" w:eastAsia="zh-CN" w:bidi="ar-SA"/>
              </w:rPr>
            </w:pPr>
            <w:r>
              <w:rPr>
                <w:rFonts w:hint="eastAsia" w:ascii="宋体" w:hAnsi="宋体" w:eastAsia="宋体" w:cs="宋体"/>
                <w:spacing w:val="-8"/>
                <w:sz w:val="21"/>
                <w:szCs w:val="21"/>
                <w:lang w:val="en-US" w:eastAsia="zh-CN"/>
              </w:rPr>
              <w:t>对在发生辐射事故或者有证据证明辐射事故可能发生时的行政强制</w:t>
            </w:r>
          </w:p>
        </w:tc>
        <w:tc>
          <w:tcPr>
            <w:tcW w:w="1094" w:type="dxa"/>
            <w:shd w:val="clear" w:color="auto" w:fill="auto"/>
            <w:vAlign w:val="center"/>
          </w:tcPr>
          <w:p w14:paraId="3EC38AC7">
            <w:pPr>
              <w:keepNext w:val="0"/>
              <w:keepLines w:val="0"/>
              <w:pageBreakBefore w:val="0"/>
              <w:widowControl w:val="0"/>
              <w:kinsoku/>
              <w:wordWrap/>
              <w:overflowPunct/>
              <w:topLinePunct w:val="0"/>
              <w:autoSpaceDE/>
              <w:autoSpaceDN/>
              <w:bidi w:val="0"/>
              <w:spacing w:before="68" w:line="320" w:lineRule="exact"/>
              <w:ind w:left="0" w:leftChars="0" w:firstLine="0" w:firstLineChars="0"/>
              <w:jc w:val="center"/>
              <w:rPr>
                <w:rFonts w:hint="eastAsia" w:ascii="仿宋_GB2312" w:hAnsi="仿宋_GB2312" w:eastAsia="仿宋_GB2312" w:cs="仿宋_GB2312"/>
                <w:spacing w:val="-8"/>
                <w:kern w:val="2"/>
                <w:sz w:val="24"/>
                <w:szCs w:val="24"/>
                <w:lang w:val="en-US" w:eastAsia="zh-CN" w:bidi="ar-SA"/>
              </w:rPr>
            </w:pPr>
            <w:r>
              <w:rPr>
                <w:rFonts w:hint="eastAsia" w:ascii="仿宋_GB2312" w:hAnsi="仿宋_GB2312" w:eastAsia="仿宋_GB2312" w:cs="仿宋_GB2312"/>
                <w:spacing w:val="-8"/>
                <w:sz w:val="24"/>
                <w:szCs w:val="24"/>
                <w:lang w:val="en-US" w:eastAsia="zh-CN"/>
              </w:rPr>
              <w:t>行政强制</w:t>
            </w:r>
          </w:p>
        </w:tc>
        <w:tc>
          <w:tcPr>
            <w:tcW w:w="8317" w:type="dxa"/>
            <w:shd w:val="clear" w:color="auto" w:fill="auto"/>
            <w:vAlign w:val="top"/>
          </w:tcPr>
          <w:p w14:paraId="5112D8F8">
            <w:pPr>
              <w:keepNext w:val="0"/>
              <w:keepLines w:val="0"/>
              <w:pageBreakBefore w:val="0"/>
              <w:widowControl w:val="0"/>
              <w:suppressLineNumbers w:val="0"/>
              <w:kinsoku/>
              <w:wordWrap/>
              <w:overflowPunct/>
              <w:topLinePunct w:val="0"/>
              <w:autoSpaceDE/>
              <w:autoSpaceDN/>
              <w:bidi w:val="0"/>
              <w:adjustRightInd/>
              <w:snapToGrid/>
              <w:spacing w:after="0" w:afterLines="-2147483648" w:line="320" w:lineRule="exact"/>
              <w:ind w:left="240" w:leftChars="100" w:firstLine="420" w:firstLineChars="200"/>
              <w:jc w:val="both"/>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放射性同位素与射线装置安全和防护条例》第四十三条在发生辐射事故或者有证据证明辐射事故可能发生时，县级以上人民政府生态环境主管部门有权采取下列临时控制措施：（一)责令停止导致或者可能导致辐射事故的作业；（二）组织控制事故现场。</w:t>
            </w:r>
          </w:p>
        </w:tc>
        <w:tc>
          <w:tcPr>
            <w:tcW w:w="1129" w:type="dxa"/>
          </w:tcPr>
          <w:p w14:paraId="179A6653">
            <w:pPr>
              <w:keepNext w:val="0"/>
              <w:keepLines w:val="0"/>
              <w:pageBreakBefore w:val="0"/>
              <w:widowControl w:val="0"/>
              <w:kinsoku/>
              <w:wordWrap/>
              <w:overflowPunct/>
              <w:topLinePunct w:val="0"/>
              <w:autoSpaceDE/>
              <w:autoSpaceDN/>
              <w:bidi w:val="0"/>
              <w:spacing w:before="69" w:line="320" w:lineRule="exact"/>
              <w:ind w:left="49" w:leftChars="0" w:right="26" w:rightChars="0" w:firstLine="404" w:firstLineChars="200"/>
              <w:rPr>
                <w:rFonts w:ascii="宋体" w:hAnsi="宋体" w:eastAsia="宋体" w:cs="宋体"/>
                <w:spacing w:val="-4"/>
                <w:sz w:val="21"/>
                <w:szCs w:val="21"/>
              </w:rPr>
            </w:pPr>
          </w:p>
        </w:tc>
        <w:tc>
          <w:tcPr>
            <w:tcW w:w="990" w:type="dxa"/>
            <w:gridSpan w:val="2"/>
          </w:tcPr>
          <w:p w14:paraId="7274BAA0">
            <w:pPr>
              <w:keepNext w:val="0"/>
              <w:keepLines w:val="0"/>
              <w:pageBreakBefore w:val="0"/>
              <w:widowControl w:val="0"/>
              <w:kinsoku/>
              <w:wordWrap/>
              <w:overflowPunct/>
              <w:topLinePunct w:val="0"/>
              <w:autoSpaceDE/>
              <w:autoSpaceDN/>
              <w:bidi w:val="0"/>
              <w:spacing w:before="69" w:line="320" w:lineRule="exact"/>
              <w:ind w:left="204" w:leftChars="0" w:right="59" w:rightChars="0" w:firstLine="404" w:firstLineChars="200"/>
              <w:rPr>
                <w:rFonts w:ascii="宋体" w:hAnsi="宋体" w:eastAsia="宋体" w:cs="宋体"/>
                <w:spacing w:val="-4"/>
                <w:sz w:val="21"/>
                <w:szCs w:val="21"/>
              </w:rPr>
            </w:pPr>
          </w:p>
        </w:tc>
      </w:tr>
      <w:tr w14:paraId="64F133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6" w:hRule="atLeast"/>
        </w:trPr>
        <w:tc>
          <w:tcPr>
            <w:tcW w:w="557" w:type="dxa"/>
            <w:shd w:val="clear" w:color="auto" w:fill="auto"/>
            <w:vAlign w:val="center"/>
          </w:tcPr>
          <w:p w14:paraId="775BB61D">
            <w:pPr>
              <w:keepNext w:val="0"/>
              <w:keepLines w:val="0"/>
              <w:pageBreakBefore w:val="0"/>
              <w:widowControl w:val="0"/>
              <w:kinsoku/>
              <w:wordWrap/>
              <w:overflowPunct/>
              <w:topLinePunct w:val="0"/>
              <w:autoSpaceDE/>
              <w:autoSpaceDN/>
              <w:bidi w:val="0"/>
              <w:spacing w:before="68" w:line="320" w:lineRule="exact"/>
              <w:ind w:left="0" w:leftChars="0" w:firstLine="0" w:firstLineChars="0"/>
              <w:jc w:val="center"/>
              <w:rPr>
                <w:rFonts w:hint="eastAsia" w:ascii="仿宋_GB2312" w:hAnsi="仿宋_GB2312" w:eastAsia="仿宋_GB2312" w:cs="仿宋_GB2312"/>
                <w:spacing w:val="-8"/>
                <w:sz w:val="24"/>
                <w:szCs w:val="24"/>
                <w:lang w:val="en-US" w:eastAsia="zh-CN"/>
              </w:rPr>
            </w:pPr>
            <w:r>
              <w:rPr>
                <w:rFonts w:hint="eastAsia" w:ascii="仿宋_GB2312" w:hAnsi="仿宋_GB2312" w:eastAsia="仿宋_GB2312" w:cs="仿宋_GB2312"/>
                <w:spacing w:val="-8"/>
                <w:sz w:val="24"/>
                <w:szCs w:val="24"/>
                <w:lang w:val="en-US" w:eastAsia="zh-CN"/>
              </w:rPr>
              <w:t>143</w:t>
            </w:r>
          </w:p>
        </w:tc>
        <w:tc>
          <w:tcPr>
            <w:tcW w:w="2355" w:type="dxa"/>
            <w:shd w:val="clear" w:color="auto" w:fill="auto"/>
            <w:vAlign w:val="center"/>
          </w:tcPr>
          <w:p w14:paraId="53C3C7EB">
            <w:pPr>
              <w:keepNext w:val="0"/>
              <w:keepLines w:val="0"/>
              <w:pageBreakBefore w:val="0"/>
              <w:widowControl w:val="0"/>
              <w:kinsoku/>
              <w:wordWrap/>
              <w:overflowPunct/>
              <w:topLinePunct w:val="0"/>
              <w:autoSpaceDE/>
              <w:autoSpaceDN/>
              <w:bidi w:val="0"/>
              <w:spacing w:before="68" w:line="320" w:lineRule="exact"/>
              <w:ind w:left="240" w:leftChars="100" w:right="127" w:rightChars="53" w:firstLine="0" w:firstLineChars="0"/>
              <w:jc w:val="center"/>
              <w:rPr>
                <w:rFonts w:hint="eastAsia" w:ascii="宋体" w:hAnsi="宋体" w:eastAsia="宋体" w:cs="宋体"/>
                <w:spacing w:val="-8"/>
                <w:kern w:val="2"/>
                <w:sz w:val="21"/>
                <w:szCs w:val="21"/>
                <w:lang w:val="en-US" w:eastAsia="zh-CN" w:bidi="ar-SA"/>
              </w:rPr>
            </w:pPr>
            <w:r>
              <w:rPr>
                <w:rFonts w:hint="eastAsia" w:ascii="宋体" w:hAnsi="宋体" w:eastAsia="宋体" w:cs="宋体"/>
                <w:spacing w:val="-8"/>
                <w:sz w:val="21"/>
                <w:szCs w:val="21"/>
                <w:lang w:val="en-US" w:eastAsia="zh-CN"/>
              </w:rPr>
              <w:t>对辐射工作单位未在含放射源设备的说明书中告知用户该设备含有放射源等行为的行政处罚</w:t>
            </w:r>
          </w:p>
        </w:tc>
        <w:tc>
          <w:tcPr>
            <w:tcW w:w="1094" w:type="dxa"/>
            <w:shd w:val="clear" w:color="auto" w:fill="auto"/>
            <w:vAlign w:val="center"/>
          </w:tcPr>
          <w:p w14:paraId="77127E2C">
            <w:pPr>
              <w:keepNext w:val="0"/>
              <w:keepLines w:val="0"/>
              <w:pageBreakBefore w:val="0"/>
              <w:widowControl w:val="0"/>
              <w:kinsoku/>
              <w:wordWrap/>
              <w:overflowPunct/>
              <w:topLinePunct w:val="0"/>
              <w:autoSpaceDE/>
              <w:autoSpaceDN/>
              <w:bidi w:val="0"/>
              <w:spacing w:before="68" w:line="320" w:lineRule="exact"/>
              <w:ind w:left="0" w:leftChars="0" w:firstLine="0" w:firstLineChars="0"/>
              <w:jc w:val="center"/>
              <w:rPr>
                <w:rFonts w:hint="eastAsia" w:ascii="仿宋_GB2312" w:hAnsi="仿宋_GB2312" w:eastAsia="仿宋_GB2312" w:cs="仿宋_GB2312"/>
                <w:spacing w:val="-8"/>
                <w:kern w:val="2"/>
                <w:sz w:val="24"/>
                <w:szCs w:val="24"/>
                <w:lang w:val="en-US" w:eastAsia="zh-CN" w:bidi="ar-SA"/>
              </w:rPr>
            </w:pPr>
            <w:r>
              <w:rPr>
                <w:rFonts w:hint="eastAsia" w:ascii="仿宋_GB2312" w:hAnsi="仿宋_GB2312" w:eastAsia="仿宋_GB2312" w:cs="仿宋_GB2312"/>
                <w:spacing w:val="-8"/>
                <w:sz w:val="24"/>
                <w:szCs w:val="24"/>
                <w:lang w:val="en-US" w:eastAsia="zh-CN"/>
              </w:rPr>
              <w:t>行政处罚</w:t>
            </w:r>
          </w:p>
        </w:tc>
        <w:tc>
          <w:tcPr>
            <w:tcW w:w="8317" w:type="dxa"/>
            <w:shd w:val="clear" w:color="auto" w:fill="auto"/>
            <w:vAlign w:val="top"/>
          </w:tcPr>
          <w:p w14:paraId="4637F1BD">
            <w:pPr>
              <w:keepNext w:val="0"/>
              <w:keepLines w:val="0"/>
              <w:pageBreakBefore w:val="0"/>
              <w:widowControl w:val="0"/>
              <w:suppressLineNumbers w:val="0"/>
              <w:kinsoku/>
              <w:wordWrap/>
              <w:overflowPunct/>
              <w:topLinePunct w:val="0"/>
              <w:autoSpaceDE/>
              <w:autoSpaceDN/>
              <w:bidi w:val="0"/>
              <w:adjustRightInd/>
              <w:snapToGrid/>
              <w:spacing w:after="0" w:afterLines="-2147483648" w:line="320" w:lineRule="exact"/>
              <w:ind w:left="240" w:leftChars="100" w:firstLine="420" w:firstLineChars="200"/>
              <w:jc w:val="both"/>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放射性同位素与射线装置安全许可管理办法》第四十五条辐射工作单位违反本办法的有关规定，有下列行为之一的，由县级以上人民政府环境保护主管部门责令停止违法行为，限期改正；逾期不改正的，处1万元以上3万元以下的罚款：（一）未在含放射源设备的说明书中告知用户该设备含有放射源的；（二）销售、使用放射源的单位未在本办法实施之日起1年内将其贮存的废旧放射源交回、返回或送交有关单位的。辐射工作单位违反本办法的其他规定，按照《中华人民共和国放射性污染防治法》、《放射性同位素与射线装置安全和防护条例》及其他相关法律法规的规定进行处罚。</w:t>
            </w:r>
          </w:p>
        </w:tc>
        <w:tc>
          <w:tcPr>
            <w:tcW w:w="1129" w:type="dxa"/>
          </w:tcPr>
          <w:p w14:paraId="48CE2D03">
            <w:pPr>
              <w:keepNext w:val="0"/>
              <w:keepLines w:val="0"/>
              <w:pageBreakBefore w:val="0"/>
              <w:widowControl w:val="0"/>
              <w:kinsoku/>
              <w:wordWrap/>
              <w:overflowPunct/>
              <w:topLinePunct w:val="0"/>
              <w:autoSpaceDE/>
              <w:autoSpaceDN/>
              <w:bidi w:val="0"/>
              <w:spacing w:before="69" w:line="320" w:lineRule="exact"/>
              <w:ind w:left="49" w:leftChars="0" w:right="26" w:rightChars="0" w:firstLine="404" w:firstLineChars="200"/>
              <w:rPr>
                <w:rFonts w:ascii="宋体" w:hAnsi="宋体" w:eastAsia="宋体" w:cs="宋体"/>
                <w:spacing w:val="-4"/>
                <w:sz w:val="21"/>
                <w:szCs w:val="21"/>
              </w:rPr>
            </w:pPr>
          </w:p>
        </w:tc>
        <w:tc>
          <w:tcPr>
            <w:tcW w:w="990" w:type="dxa"/>
            <w:gridSpan w:val="2"/>
          </w:tcPr>
          <w:p w14:paraId="4172BB87">
            <w:pPr>
              <w:keepNext w:val="0"/>
              <w:keepLines w:val="0"/>
              <w:pageBreakBefore w:val="0"/>
              <w:widowControl w:val="0"/>
              <w:kinsoku/>
              <w:wordWrap/>
              <w:overflowPunct/>
              <w:topLinePunct w:val="0"/>
              <w:autoSpaceDE/>
              <w:autoSpaceDN/>
              <w:bidi w:val="0"/>
              <w:spacing w:before="69" w:line="320" w:lineRule="exact"/>
              <w:ind w:left="204" w:leftChars="0" w:right="59" w:rightChars="0" w:firstLine="404" w:firstLineChars="200"/>
              <w:rPr>
                <w:rFonts w:ascii="宋体" w:hAnsi="宋体" w:eastAsia="宋体" w:cs="宋体"/>
                <w:spacing w:val="-4"/>
                <w:sz w:val="21"/>
                <w:szCs w:val="21"/>
              </w:rPr>
            </w:pPr>
          </w:p>
        </w:tc>
      </w:tr>
      <w:tr w14:paraId="0615D8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6" w:hRule="atLeast"/>
        </w:trPr>
        <w:tc>
          <w:tcPr>
            <w:tcW w:w="557" w:type="dxa"/>
            <w:shd w:val="clear" w:color="auto" w:fill="auto"/>
            <w:vAlign w:val="center"/>
          </w:tcPr>
          <w:p w14:paraId="0879439D">
            <w:pPr>
              <w:keepNext w:val="0"/>
              <w:keepLines w:val="0"/>
              <w:pageBreakBefore w:val="0"/>
              <w:widowControl w:val="0"/>
              <w:kinsoku/>
              <w:wordWrap/>
              <w:overflowPunct/>
              <w:topLinePunct w:val="0"/>
              <w:autoSpaceDE/>
              <w:autoSpaceDN/>
              <w:bidi w:val="0"/>
              <w:spacing w:before="68" w:line="320" w:lineRule="exact"/>
              <w:ind w:left="0" w:leftChars="0" w:firstLine="0" w:firstLineChars="0"/>
              <w:jc w:val="center"/>
              <w:rPr>
                <w:rFonts w:hint="eastAsia" w:ascii="仿宋_GB2312" w:hAnsi="仿宋_GB2312" w:eastAsia="仿宋_GB2312" w:cs="仿宋_GB2312"/>
                <w:spacing w:val="-8"/>
                <w:sz w:val="24"/>
                <w:szCs w:val="24"/>
                <w:lang w:val="en-US" w:eastAsia="zh-CN"/>
              </w:rPr>
            </w:pPr>
            <w:r>
              <w:rPr>
                <w:rFonts w:hint="eastAsia" w:ascii="仿宋_GB2312" w:hAnsi="仿宋_GB2312" w:eastAsia="仿宋_GB2312" w:cs="仿宋_GB2312"/>
                <w:spacing w:val="-8"/>
                <w:sz w:val="24"/>
                <w:szCs w:val="24"/>
                <w:lang w:val="en-US" w:eastAsia="zh-CN"/>
              </w:rPr>
              <w:t>144</w:t>
            </w:r>
          </w:p>
        </w:tc>
        <w:tc>
          <w:tcPr>
            <w:tcW w:w="2355" w:type="dxa"/>
            <w:shd w:val="clear" w:color="auto" w:fill="auto"/>
            <w:vAlign w:val="center"/>
          </w:tcPr>
          <w:p w14:paraId="0C0AB82D">
            <w:pPr>
              <w:keepNext w:val="0"/>
              <w:keepLines w:val="0"/>
              <w:pageBreakBefore w:val="0"/>
              <w:widowControl w:val="0"/>
              <w:kinsoku/>
              <w:wordWrap/>
              <w:overflowPunct/>
              <w:topLinePunct w:val="0"/>
              <w:autoSpaceDE/>
              <w:autoSpaceDN/>
              <w:bidi w:val="0"/>
              <w:spacing w:before="68" w:line="320" w:lineRule="exact"/>
              <w:ind w:left="240" w:leftChars="100" w:right="127" w:rightChars="53" w:firstLine="0" w:firstLineChars="0"/>
              <w:jc w:val="center"/>
              <w:rPr>
                <w:rFonts w:hint="eastAsia" w:ascii="宋体" w:hAnsi="宋体" w:eastAsia="宋体" w:cs="宋体"/>
                <w:spacing w:val="-8"/>
                <w:kern w:val="2"/>
                <w:sz w:val="21"/>
                <w:szCs w:val="21"/>
                <w:lang w:val="en-US" w:eastAsia="zh-CN" w:bidi="ar-SA"/>
              </w:rPr>
            </w:pPr>
          </w:p>
        </w:tc>
        <w:tc>
          <w:tcPr>
            <w:tcW w:w="1094" w:type="dxa"/>
            <w:shd w:val="clear" w:color="auto" w:fill="auto"/>
            <w:vAlign w:val="center"/>
          </w:tcPr>
          <w:p w14:paraId="239FC493">
            <w:pPr>
              <w:keepNext w:val="0"/>
              <w:keepLines w:val="0"/>
              <w:pageBreakBefore w:val="0"/>
              <w:widowControl w:val="0"/>
              <w:kinsoku/>
              <w:wordWrap/>
              <w:overflowPunct/>
              <w:topLinePunct w:val="0"/>
              <w:autoSpaceDE/>
              <w:autoSpaceDN/>
              <w:bidi w:val="0"/>
              <w:spacing w:before="68" w:line="320" w:lineRule="exact"/>
              <w:ind w:left="0" w:leftChars="0" w:firstLine="0" w:firstLineChars="0"/>
              <w:jc w:val="center"/>
              <w:rPr>
                <w:rFonts w:hint="eastAsia" w:ascii="仿宋_GB2312" w:hAnsi="仿宋_GB2312" w:eastAsia="仿宋_GB2312" w:cs="仿宋_GB2312"/>
                <w:spacing w:val="-8"/>
                <w:kern w:val="2"/>
                <w:sz w:val="24"/>
                <w:szCs w:val="24"/>
                <w:lang w:val="en-US" w:eastAsia="zh-CN" w:bidi="ar-SA"/>
              </w:rPr>
            </w:pPr>
          </w:p>
        </w:tc>
        <w:tc>
          <w:tcPr>
            <w:tcW w:w="8317" w:type="dxa"/>
            <w:shd w:val="clear" w:color="auto" w:fill="auto"/>
            <w:vAlign w:val="top"/>
          </w:tcPr>
          <w:p w14:paraId="0D49DF32">
            <w:pPr>
              <w:keepNext w:val="0"/>
              <w:keepLines w:val="0"/>
              <w:pageBreakBefore w:val="0"/>
              <w:widowControl w:val="0"/>
              <w:suppressLineNumbers w:val="0"/>
              <w:kinsoku/>
              <w:wordWrap/>
              <w:overflowPunct/>
              <w:topLinePunct w:val="0"/>
              <w:autoSpaceDE/>
              <w:autoSpaceDN/>
              <w:bidi w:val="0"/>
              <w:adjustRightInd/>
              <w:snapToGrid/>
              <w:spacing w:after="0" w:afterLines="-2147483648" w:line="320" w:lineRule="exact"/>
              <w:ind w:left="240" w:leftChars="100" w:firstLine="420" w:firstLineChars="200"/>
              <w:jc w:val="both"/>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p>
        </w:tc>
        <w:tc>
          <w:tcPr>
            <w:tcW w:w="1129" w:type="dxa"/>
          </w:tcPr>
          <w:p w14:paraId="4379C193">
            <w:pPr>
              <w:keepNext w:val="0"/>
              <w:keepLines w:val="0"/>
              <w:pageBreakBefore w:val="0"/>
              <w:widowControl w:val="0"/>
              <w:kinsoku/>
              <w:wordWrap/>
              <w:overflowPunct/>
              <w:topLinePunct w:val="0"/>
              <w:autoSpaceDE/>
              <w:autoSpaceDN/>
              <w:bidi w:val="0"/>
              <w:spacing w:before="69" w:line="320" w:lineRule="exact"/>
              <w:ind w:left="49" w:leftChars="0" w:right="26" w:rightChars="0" w:firstLine="404" w:firstLineChars="200"/>
              <w:rPr>
                <w:rFonts w:ascii="宋体" w:hAnsi="宋体" w:eastAsia="宋体" w:cs="宋体"/>
                <w:spacing w:val="-4"/>
                <w:sz w:val="21"/>
                <w:szCs w:val="21"/>
              </w:rPr>
            </w:pPr>
          </w:p>
        </w:tc>
        <w:tc>
          <w:tcPr>
            <w:tcW w:w="990" w:type="dxa"/>
            <w:gridSpan w:val="2"/>
          </w:tcPr>
          <w:p w14:paraId="3D03112C">
            <w:pPr>
              <w:keepNext w:val="0"/>
              <w:keepLines w:val="0"/>
              <w:pageBreakBefore w:val="0"/>
              <w:widowControl w:val="0"/>
              <w:kinsoku/>
              <w:wordWrap/>
              <w:overflowPunct/>
              <w:topLinePunct w:val="0"/>
              <w:autoSpaceDE/>
              <w:autoSpaceDN/>
              <w:bidi w:val="0"/>
              <w:spacing w:before="69" w:line="320" w:lineRule="exact"/>
              <w:ind w:left="204" w:leftChars="0" w:right="59" w:rightChars="0" w:firstLine="404" w:firstLineChars="200"/>
              <w:rPr>
                <w:rFonts w:ascii="宋体" w:hAnsi="宋体" w:eastAsia="宋体" w:cs="宋体"/>
                <w:spacing w:val="-4"/>
                <w:sz w:val="21"/>
                <w:szCs w:val="21"/>
              </w:rPr>
            </w:pPr>
          </w:p>
        </w:tc>
      </w:tr>
      <w:tr w14:paraId="028EAD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6" w:hRule="atLeast"/>
        </w:trPr>
        <w:tc>
          <w:tcPr>
            <w:tcW w:w="557" w:type="dxa"/>
            <w:shd w:val="clear" w:color="auto" w:fill="auto"/>
            <w:vAlign w:val="center"/>
          </w:tcPr>
          <w:p w14:paraId="5BBC8342">
            <w:pPr>
              <w:keepNext w:val="0"/>
              <w:keepLines w:val="0"/>
              <w:pageBreakBefore w:val="0"/>
              <w:widowControl w:val="0"/>
              <w:kinsoku/>
              <w:wordWrap/>
              <w:overflowPunct/>
              <w:topLinePunct w:val="0"/>
              <w:autoSpaceDE/>
              <w:autoSpaceDN/>
              <w:bidi w:val="0"/>
              <w:spacing w:before="68" w:line="320" w:lineRule="exact"/>
              <w:ind w:left="0" w:leftChars="0" w:firstLine="0" w:firstLineChars="0"/>
              <w:jc w:val="center"/>
              <w:rPr>
                <w:rFonts w:hint="eastAsia" w:ascii="仿宋_GB2312" w:hAnsi="仿宋_GB2312" w:eastAsia="仿宋_GB2312" w:cs="仿宋_GB2312"/>
                <w:spacing w:val="-8"/>
                <w:sz w:val="24"/>
                <w:szCs w:val="24"/>
                <w:lang w:val="en-US" w:eastAsia="zh-CN"/>
              </w:rPr>
            </w:pPr>
            <w:r>
              <w:rPr>
                <w:rFonts w:hint="eastAsia" w:ascii="仿宋_GB2312" w:hAnsi="仿宋_GB2312" w:eastAsia="仿宋_GB2312" w:cs="仿宋_GB2312"/>
                <w:spacing w:val="-8"/>
                <w:sz w:val="24"/>
                <w:szCs w:val="24"/>
                <w:lang w:val="en-US" w:eastAsia="zh-CN"/>
              </w:rPr>
              <w:t>145</w:t>
            </w:r>
          </w:p>
        </w:tc>
        <w:tc>
          <w:tcPr>
            <w:tcW w:w="2355" w:type="dxa"/>
            <w:shd w:val="clear" w:color="auto" w:fill="auto"/>
            <w:vAlign w:val="center"/>
          </w:tcPr>
          <w:p w14:paraId="3ECA9278">
            <w:pPr>
              <w:keepNext w:val="0"/>
              <w:keepLines w:val="0"/>
              <w:pageBreakBefore w:val="0"/>
              <w:widowControl w:val="0"/>
              <w:kinsoku/>
              <w:wordWrap/>
              <w:overflowPunct/>
              <w:topLinePunct w:val="0"/>
              <w:autoSpaceDE/>
              <w:autoSpaceDN/>
              <w:bidi w:val="0"/>
              <w:spacing w:before="68" w:line="320" w:lineRule="exact"/>
              <w:ind w:left="240" w:leftChars="100" w:right="127" w:rightChars="53" w:firstLine="0" w:firstLineChars="0"/>
              <w:jc w:val="center"/>
              <w:rPr>
                <w:rFonts w:hint="eastAsia" w:ascii="宋体" w:hAnsi="宋体" w:eastAsia="宋体" w:cs="宋体"/>
                <w:spacing w:val="-8"/>
                <w:kern w:val="2"/>
                <w:sz w:val="21"/>
                <w:szCs w:val="21"/>
                <w:lang w:val="en-US" w:eastAsia="zh-CN" w:bidi="ar-SA"/>
              </w:rPr>
            </w:pPr>
            <w:r>
              <w:rPr>
                <w:rFonts w:hint="eastAsia" w:ascii="宋体" w:hAnsi="宋体" w:eastAsia="宋体" w:cs="宋体"/>
                <w:spacing w:val="-8"/>
                <w:sz w:val="21"/>
                <w:szCs w:val="21"/>
                <w:lang w:val="en-US" w:eastAsia="zh-CN"/>
              </w:rPr>
              <w:t>对废旧金属回收熔炼企业未开展辐射监测或者发现辐射监测结果明显异常未如实报告的行政处罚</w:t>
            </w:r>
          </w:p>
        </w:tc>
        <w:tc>
          <w:tcPr>
            <w:tcW w:w="1094" w:type="dxa"/>
            <w:shd w:val="clear" w:color="auto" w:fill="auto"/>
            <w:vAlign w:val="center"/>
          </w:tcPr>
          <w:p w14:paraId="29B33C3F">
            <w:pPr>
              <w:keepNext w:val="0"/>
              <w:keepLines w:val="0"/>
              <w:pageBreakBefore w:val="0"/>
              <w:widowControl w:val="0"/>
              <w:kinsoku/>
              <w:wordWrap/>
              <w:overflowPunct/>
              <w:topLinePunct w:val="0"/>
              <w:autoSpaceDE/>
              <w:autoSpaceDN/>
              <w:bidi w:val="0"/>
              <w:spacing w:before="68" w:line="320" w:lineRule="exact"/>
              <w:ind w:left="0" w:leftChars="0" w:firstLine="0" w:firstLineChars="0"/>
              <w:jc w:val="center"/>
              <w:rPr>
                <w:rFonts w:hint="eastAsia" w:ascii="仿宋_GB2312" w:hAnsi="仿宋_GB2312" w:eastAsia="仿宋_GB2312" w:cs="仿宋_GB2312"/>
                <w:spacing w:val="-8"/>
                <w:kern w:val="2"/>
                <w:sz w:val="24"/>
                <w:szCs w:val="24"/>
                <w:lang w:val="en-US" w:eastAsia="zh-CN" w:bidi="ar-SA"/>
              </w:rPr>
            </w:pPr>
            <w:r>
              <w:rPr>
                <w:rFonts w:hint="eastAsia" w:ascii="仿宋_GB2312" w:hAnsi="仿宋_GB2312" w:eastAsia="仿宋_GB2312" w:cs="仿宋_GB2312"/>
                <w:spacing w:val="-8"/>
                <w:sz w:val="24"/>
                <w:szCs w:val="24"/>
                <w:lang w:val="en-US" w:eastAsia="zh-CN"/>
              </w:rPr>
              <w:t>行政处罚</w:t>
            </w:r>
          </w:p>
        </w:tc>
        <w:tc>
          <w:tcPr>
            <w:tcW w:w="8317" w:type="dxa"/>
            <w:shd w:val="clear" w:color="auto" w:fill="auto"/>
            <w:vAlign w:val="top"/>
          </w:tcPr>
          <w:p w14:paraId="4EEFD405">
            <w:pPr>
              <w:keepNext w:val="0"/>
              <w:keepLines w:val="0"/>
              <w:pageBreakBefore w:val="0"/>
              <w:widowControl w:val="0"/>
              <w:suppressLineNumbers w:val="0"/>
              <w:kinsoku/>
              <w:wordWrap/>
              <w:overflowPunct/>
              <w:topLinePunct w:val="0"/>
              <w:autoSpaceDE/>
              <w:autoSpaceDN/>
              <w:bidi w:val="0"/>
              <w:adjustRightInd/>
              <w:snapToGrid/>
              <w:spacing w:after="0" w:afterLines="-2147483648" w:line="320" w:lineRule="exact"/>
              <w:ind w:left="240" w:leftChars="100" w:firstLine="420" w:firstLineChars="200"/>
              <w:jc w:val="both"/>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放射性同位素与射线装置安全和防护管理办法》第五十八条违反本办法规定，废旧金属回收熔炼企业未开展辐射监测或者发现辐射监测结果明显异常未如实报告的，由县级以上人民政府环境保护主管部门责令改正，处一万元以上三万元以下的罚款。2.《陕西省放射性污染防治条例（2019年修正）》第四十二条违反本条例第二十六条规定，未按规定配备辐射监测装置的，由县级以上生态环境行政主管部门责令限期改正，逾期不改正的，处一万元以上五万元以下罚款。第二十六条熔炼回收废旧金属的企业应当配备辐射监测装置和监测人员，建立监测档案。废旧金属原料入炉前和产品出厂前应当进行辐射监测，发现监测结果异常的，不得入炉或者出厂，并采取安全防护措施，及时报告当地生态环境行政主管部门。</w:t>
            </w:r>
          </w:p>
        </w:tc>
        <w:tc>
          <w:tcPr>
            <w:tcW w:w="1129" w:type="dxa"/>
          </w:tcPr>
          <w:p w14:paraId="0733C39F">
            <w:pPr>
              <w:keepNext w:val="0"/>
              <w:keepLines w:val="0"/>
              <w:pageBreakBefore w:val="0"/>
              <w:widowControl w:val="0"/>
              <w:kinsoku/>
              <w:wordWrap/>
              <w:overflowPunct/>
              <w:topLinePunct w:val="0"/>
              <w:autoSpaceDE/>
              <w:autoSpaceDN/>
              <w:bidi w:val="0"/>
              <w:spacing w:before="69" w:line="320" w:lineRule="exact"/>
              <w:ind w:left="49" w:leftChars="0" w:right="26" w:rightChars="0" w:firstLine="404" w:firstLineChars="200"/>
              <w:rPr>
                <w:rFonts w:ascii="宋体" w:hAnsi="宋体" w:eastAsia="宋体" w:cs="宋体"/>
                <w:spacing w:val="-4"/>
                <w:sz w:val="21"/>
                <w:szCs w:val="21"/>
              </w:rPr>
            </w:pPr>
          </w:p>
        </w:tc>
        <w:tc>
          <w:tcPr>
            <w:tcW w:w="990" w:type="dxa"/>
            <w:gridSpan w:val="2"/>
          </w:tcPr>
          <w:p w14:paraId="4EFEF755">
            <w:pPr>
              <w:keepNext w:val="0"/>
              <w:keepLines w:val="0"/>
              <w:pageBreakBefore w:val="0"/>
              <w:widowControl w:val="0"/>
              <w:kinsoku/>
              <w:wordWrap/>
              <w:overflowPunct/>
              <w:topLinePunct w:val="0"/>
              <w:autoSpaceDE/>
              <w:autoSpaceDN/>
              <w:bidi w:val="0"/>
              <w:spacing w:before="69" w:line="320" w:lineRule="exact"/>
              <w:ind w:left="204" w:leftChars="0" w:right="59" w:rightChars="0" w:firstLine="404" w:firstLineChars="200"/>
              <w:rPr>
                <w:rFonts w:ascii="宋体" w:hAnsi="宋体" w:eastAsia="宋体" w:cs="宋体"/>
                <w:spacing w:val="-4"/>
                <w:sz w:val="21"/>
                <w:szCs w:val="21"/>
              </w:rPr>
            </w:pPr>
          </w:p>
        </w:tc>
      </w:tr>
      <w:tr w14:paraId="7F0E6B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6" w:hRule="atLeast"/>
        </w:trPr>
        <w:tc>
          <w:tcPr>
            <w:tcW w:w="557" w:type="dxa"/>
            <w:shd w:val="clear" w:color="auto" w:fill="auto"/>
            <w:vAlign w:val="center"/>
          </w:tcPr>
          <w:p w14:paraId="43807EF3">
            <w:pPr>
              <w:keepNext w:val="0"/>
              <w:keepLines w:val="0"/>
              <w:pageBreakBefore w:val="0"/>
              <w:widowControl w:val="0"/>
              <w:kinsoku/>
              <w:wordWrap/>
              <w:overflowPunct/>
              <w:topLinePunct w:val="0"/>
              <w:autoSpaceDE/>
              <w:autoSpaceDN/>
              <w:bidi w:val="0"/>
              <w:spacing w:before="68" w:line="320" w:lineRule="exact"/>
              <w:ind w:left="0" w:leftChars="0" w:firstLine="0" w:firstLineChars="0"/>
              <w:jc w:val="center"/>
              <w:rPr>
                <w:rFonts w:hint="eastAsia" w:ascii="仿宋_GB2312" w:hAnsi="仿宋_GB2312" w:eastAsia="仿宋_GB2312" w:cs="仿宋_GB2312"/>
                <w:spacing w:val="-8"/>
                <w:sz w:val="24"/>
                <w:szCs w:val="24"/>
                <w:lang w:val="en-US" w:eastAsia="zh-CN"/>
              </w:rPr>
            </w:pPr>
            <w:r>
              <w:rPr>
                <w:rFonts w:hint="eastAsia" w:ascii="仿宋_GB2312" w:hAnsi="仿宋_GB2312" w:eastAsia="仿宋_GB2312" w:cs="仿宋_GB2312"/>
                <w:spacing w:val="-8"/>
                <w:sz w:val="24"/>
                <w:szCs w:val="24"/>
                <w:lang w:val="en-US" w:eastAsia="zh-CN"/>
              </w:rPr>
              <w:t>146</w:t>
            </w:r>
          </w:p>
        </w:tc>
        <w:tc>
          <w:tcPr>
            <w:tcW w:w="2355" w:type="dxa"/>
            <w:shd w:val="clear" w:color="auto" w:fill="auto"/>
            <w:vAlign w:val="center"/>
          </w:tcPr>
          <w:p w14:paraId="28D7C295">
            <w:pPr>
              <w:keepNext w:val="0"/>
              <w:keepLines w:val="0"/>
              <w:pageBreakBefore w:val="0"/>
              <w:widowControl w:val="0"/>
              <w:kinsoku/>
              <w:wordWrap/>
              <w:overflowPunct/>
              <w:topLinePunct w:val="0"/>
              <w:autoSpaceDE/>
              <w:autoSpaceDN/>
              <w:bidi w:val="0"/>
              <w:spacing w:before="68" w:line="320" w:lineRule="exact"/>
              <w:ind w:left="240" w:leftChars="100" w:right="127" w:rightChars="53" w:firstLine="0" w:firstLineChars="0"/>
              <w:jc w:val="center"/>
              <w:rPr>
                <w:rFonts w:hint="eastAsia" w:ascii="宋体" w:hAnsi="宋体" w:eastAsia="宋体" w:cs="宋体"/>
                <w:spacing w:val="-8"/>
                <w:kern w:val="2"/>
                <w:sz w:val="21"/>
                <w:szCs w:val="21"/>
                <w:lang w:val="en-US" w:eastAsia="zh-CN" w:bidi="ar-SA"/>
              </w:rPr>
            </w:pPr>
            <w:r>
              <w:rPr>
                <w:rFonts w:hint="eastAsia" w:ascii="宋体" w:hAnsi="宋体" w:eastAsia="宋体" w:cs="宋体"/>
                <w:spacing w:val="-8"/>
                <w:sz w:val="21"/>
                <w:szCs w:val="21"/>
                <w:lang w:val="en-US" w:eastAsia="zh-CN"/>
              </w:rPr>
              <w:t>对未建造尾矿库或者不按照放射性污染防治的要求建造尾矿库，贮存、处置铀(钍)矿和伴生放射性矿的尾矿等行为的行政处罚</w:t>
            </w:r>
          </w:p>
        </w:tc>
        <w:tc>
          <w:tcPr>
            <w:tcW w:w="1094" w:type="dxa"/>
            <w:shd w:val="clear" w:color="auto" w:fill="auto"/>
            <w:vAlign w:val="center"/>
          </w:tcPr>
          <w:p w14:paraId="73F48F86">
            <w:pPr>
              <w:keepNext w:val="0"/>
              <w:keepLines w:val="0"/>
              <w:pageBreakBefore w:val="0"/>
              <w:widowControl w:val="0"/>
              <w:kinsoku/>
              <w:wordWrap/>
              <w:overflowPunct/>
              <w:topLinePunct w:val="0"/>
              <w:autoSpaceDE/>
              <w:autoSpaceDN/>
              <w:bidi w:val="0"/>
              <w:spacing w:before="68" w:line="320" w:lineRule="exact"/>
              <w:ind w:left="0" w:leftChars="0" w:firstLine="0" w:firstLineChars="0"/>
              <w:jc w:val="center"/>
              <w:rPr>
                <w:rFonts w:hint="eastAsia" w:ascii="仿宋_GB2312" w:hAnsi="仿宋_GB2312" w:eastAsia="仿宋_GB2312" w:cs="仿宋_GB2312"/>
                <w:spacing w:val="-8"/>
                <w:kern w:val="2"/>
                <w:sz w:val="24"/>
                <w:szCs w:val="24"/>
                <w:lang w:val="en-US" w:eastAsia="zh-CN" w:bidi="ar-SA"/>
              </w:rPr>
            </w:pPr>
            <w:r>
              <w:rPr>
                <w:rFonts w:hint="eastAsia" w:ascii="仿宋_GB2312" w:hAnsi="仿宋_GB2312" w:eastAsia="仿宋_GB2312" w:cs="仿宋_GB2312"/>
                <w:spacing w:val="-8"/>
                <w:sz w:val="24"/>
                <w:szCs w:val="24"/>
                <w:lang w:val="en-US" w:eastAsia="zh-CN"/>
              </w:rPr>
              <w:t>行政处罚</w:t>
            </w:r>
          </w:p>
        </w:tc>
        <w:tc>
          <w:tcPr>
            <w:tcW w:w="8317" w:type="dxa"/>
            <w:shd w:val="clear" w:color="auto" w:fill="auto"/>
            <w:vAlign w:val="top"/>
          </w:tcPr>
          <w:p w14:paraId="19E78FB8">
            <w:pPr>
              <w:keepNext w:val="0"/>
              <w:keepLines w:val="0"/>
              <w:pageBreakBefore w:val="0"/>
              <w:widowControl w:val="0"/>
              <w:suppressLineNumbers w:val="0"/>
              <w:kinsoku/>
              <w:wordWrap/>
              <w:overflowPunct/>
              <w:topLinePunct w:val="0"/>
              <w:autoSpaceDE/>
              <w:autoSpaceDN/>
              <w:bidi w:val="0"/>
              <w:adjustRightInd/>
              <w:snapToGrid/>
              <w:spacing w:after="0" w:afterLines="-2147483648" w:line="320" w:lineRule="exact"/>
              <w:ind w:left="240" w:leftChars="100" w:firstLine="420" w:firstLineChars="200"/>
              <w:jc w:val="both"/>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中华人民共和国放射性污染防治法》第五十四条违反本法规定，有下列行为之一的，由县级以上人民政府环境保护行政主管部门责令停止违法行为，限期改正，处以罚款；构成犯罪的，依法追究刑事责任：（一）未建造尾矿库或者不按照放射性污染防治的要求建造尾矿库，贮存、处置铀(钍)矿和伴生放射性矿的尾矿的；（二）向环境排放不得排放的放射性废气、废液的；（三）不按照规定的方式排放放射性废液，利用渗井、渗坑、天然裂隙、溶洞或者国家禁止的其他方式排放放射性废液的；（四）不按照规定处理或者贮存不得向环境排放的放射性废液的；（五）将放射性固体废物提供或者委托给无许可证的单位贮存和处置的。有前款第（一）项、第（二）项、第（三）项、第（五）项行为之一的，处十万元以上二十万元以下罚款；有前款第（四）项行为的，处一万元以上十万元以下罚款。</w:t>
            </w:r>
          </w:p>
        </w:tc>
        <w:tc>
          <w:tcPr>
            <w:tcW w:w="1129" w:type="dxa"/>
          </w:tcPr>
          <w:p w14:paraId="2BD2F164">
            <w:pPr>
              <w:keepNext w:val="0"/>
              <w:keepLines w:val="0"/>
              <w:pageBreakBefore w:val="0"/>
              <w:widowControl w:val="0"/>
              <w:kinsoku/>
              <w:wordWrap/>
              <w:overflowPunct/>
              <w:topLinePunct w:val="0"/>
              <w:autoSpaceDE/>
              <w:autoSpaceDN/>
              <w:bidi w:val="0"/>
              <w:spacing w:before="69" w:line="320" w:lineRule="exact"/>
              <w:ind w:left="49" w:leftChars="0" w:right="26" w:rightChars="0" w:firstLine="404" w:firstLineChars="200"/>
              <w:rPr>
                <w:rFonts w:ascii="宋体" w:hAnsi="宋体" w:eastAsia="宋体" w:cs="宋体"/>
                <w:spacing w:val="-4"/>
                <w:sz w:val="21"/>
                <w:szCs w:val="21"/>
              </w:rPr>
            </w:pPr>
          </w:p>
        </w:tc>
        <w:tc>
          <w:tcPr>
            <w:tcW w:w="990" w:type="dxa"/>
            <w:gridSpan w:val="2"/>
          </w:tcPr>
          <w:p w14:paraId="155D97E3">
            <w:pPr>
              <w:keepNext w:val="0"/>
              <w:keepLines w:val="0"/>
              <w:pageBreakBefore w:val="0"/>
              <w:widowControl w:val="0"/>
              <w:kinsoku/>
              <w:wordWrap/>
              <w:overflowPunct/>
              <w:topLinePunct w:val="0"/>
              <w:autoSpaceDE/>
              <w:autoSpaceDN/>
              <w:bidi w:val="0"/>
              <w:spacing w:before="69" w:line="320" w:lineRule="exact"/>
              <w:ind w:left="204" w:leftChars="0" w:right="59" w:rightChars="0" w:firstLine="404" w:firstLineChars="200"/>
              <w:rPr>
                <w:rFonts w:ascii="宋体" w:hAnsi="宋体" w:eastAsia="宋体" w:cs="宋体"/>
                <w:spacing w:val="-4"/>
                <w:sz w:val="21"/>
                <w:szCs w:val="21"/>
              </w:rPr>
            </w:pPr>
          </w:p>
        </w:tc>
      </w:tr>
      <w:tr w14:paraId="4D3366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6" w:hRule="atLeast"/>
        </w:trPr>
        <w:tc>
          <w:tcPr>
            <w:tcW w:w="557" w:type="dxa"/>
            <w:shd w:val="clear" w:color="auto" w:fill="auto"/>
            <w:vAlign w:val="center"/>
          </w:tcPr>
          <w:p w14:paraId="5B2DBBB2">
            <w:pPr>
              <w:keepNext w:val="0"/>
              <w:keepLines w:val="0"/>
              <w:pageBreakBefore w:val="0"/>
              <w:widowControl w:val="0"/>
              <w:kinsoku/>
              <w:wordWrap/>
              <w:overflowPunct/>
              <w:topLinePunct w:val="0"/>
              <w:autoSpaceDE/>
              <w:autoSpaceDN/>
              <w:bidi w:val="0"/>
              <w:spacing w:before="68" w:line="320" w:lineRule="exact"/>
              <w:ind w:left="0" w:leftChars="0" w:firstLine="0" w:firstLineChars="0"/>
              <w:jc w:val="center"/>
              <w:rPr>
                <w:rFonts w:hint="eastAsia" w:ascii="仿宋_GB2312" w:hAnsi="仿宋_GB2312" w:eastAsia="仿宋_GB2312" w:cs="仿宋_GB2312"/>
                <w:spacing w:val="-8"/>
                <w:sz w:val="24"/>
                <w:szCs w:val="24"/>
                <w:lang w:val="en-US" w:eastAsia="zh-CN"/>
              </w:rPr>
            </w:pPr>
            <w:r>
              <w:rPr>
                <w:rFonts w:hint="eastAsia" w:ascii="仿宋_GB2312" w:hAnsi="仿宋_GB2312" w:eastAsia="仿宋_GB2312" w:cs="仿宋_GB2312"/>
                <w:spacing w:val="-8"/>
                <w:sz w:val="24"/>
                <w:szCs w:val="24"/>
                <w:lang w:val="en-US" w:eastAsia="zh-CN"/>
              </w:rPr>
              <w:t>147</w:t>
            </w:r>
          </w:p>
        </w:tc>
        <w:tc>
          <w:tcPr>
            <w:tcW w:w="2355" w:type="dxa"/>
            <w:shd w:val="clear" w:color="auto" w:fill="auto"/>
            <w:vAlign w:val="center"/>
          </w:tcPr>
          <w:p w14:paraId="214E6CFF">
            <w:pPr>
              <w:keepNext w:val="0"/>
              <w:keepLines w:val="0"/>
              <w:pageBreakBefore w:val="0"/>
              <w:widowControl w:val="0"/>
              <w:kinsoku/>
              <w:wordWrap/>
              <w:overflowPunct/>
              <w:topLinePunct w:val="0"/>
              <w:autoSpaceDE/>
              <w:autoSpaceDN/>
              <w:bidi w:val="0"/>
              <w:spacing w:before="68" w:line="320" w:lineRule="exact"/>
              <w:ind w:left="240" w:leftChars="100" w:right="127" w:rightChars="53" w:firstLine="0" w:firstLineChars="0"/>
              <w:jc w:val="center"/>
              <w:rPr>
                <w:rFonts w:hint="eastAsia" w:ascii="宋体" w:hAnsi="宋体" w:eastAsia="宋体" w:cs="宋体"/>
                <w:spacing w:val="-8"/>
                <w:kern w:val="2"/>
                <w:sz w:val="21"/>
                <w:szCs w:val="21"/>
                <w:lang w:val="en-US" w:eastAsia="zh-CN" w:bidi="ar-SA"/>
              </w:rPr>
            </w:pPr>
            <w:r>
              <w:rPr>
                <w:rFonts w:hint="eastAsia" w:ascii="宋体" w:hAnsi="宋体" w:eastAsia="宋体" w:cs="宋体"/>
                <w:spacing w:val="-8"/>
                <w:sz w:val="21"/>
                <w:szCs w:val="21"/>
                <w:lang w:val="en-US" w:eastAsia="zh-CN"/>
              </w:rPr>
              <w:t>对产生放射性固体废物的单位未按规定对放射性固体废物进行处置的行政处罚</w:t>
            </w:r>
          </w:p>
        </w:tc>
        <w:tc>
          <w:tcPr>
            <w:tcW w:w="1094" w:type="dxa"/>
            <w:shd w:val="clear" w:color="auto" w:fill="auto"/>
            <w:vAlign w:val="center"/>
          </w:tcPr>
          <w:p w14:paraId="7EA7C4EB">
            <w:pPr>
              <w:keepNext w:val="0"/>
              <w:keepLines w:val="0"/>
              <w:pageBreakBefore w:val="0"/>
              <w:widowControl w:val="0"/>
              <w:kinsoku/>
              <w:wordWrap/>
              <w:overflowPunct/>
              <w:topLinePunct w:val="0"/>
              <w:autoSpaceDE/>
              <w:autoSpaceDN/>
              <w:bidi w:val="0"/>
              <w:spacing w:before="68" w:line="320" w:lineRule="exact"/>
              <w:ind w:left="0" w:leftChars="0" w:firstLine="0" w:firstLineChars="0"/>
              <w:jc w:val="center"/>
              <w:rPr>
                <w:rFonts w:hint="eastAsia" w:ascii="仿宋_GB2312" w:hAnsi="仿宋_GB2312" w:eastAsia="仿宋_GB2312" w:cs="仿宋_GB2312"/>
                <w:spacing w:val="-8"/>
                <w:kern w:val="2"/>
                <w:sz w:val="24"/>
                <w:szCs w:val="24"/>
                <w:lang w:val="en-US" w:eastAsia="zh-CN" w:bidi="ar-SA"/>
              </w:rPr>
            </w:pPr>
            <w:r>
              <w:rPr>
                <w:rFonts w:hint="eastAsia" w:ascii="仿宋_GB2312" w:hAnsi="仿宋_GB2312" w:eastAsia="仿宋_GB2312" w:cs="仿宋_GB2312"/>
                <w:spacing w:val="-8"/>
                <w:sz w:val="24"/>
                <w:szCs w:val="24"/>
                <w:lang w:val="en-US" w:eastAsia="zh-CN"/>
              </w:rPr>
              <w:t>行政处罚</w:t>
            </w:r>
          </w:p>
        </w:tc>
        <w:tc>
          <w:tcPr>
            <w:tcW w:w="8317" w:type="dxa"/>
            <w:shd w:val="clear" w:color="auto" w:fill="auto"/>
            <w:vAlign w:val="top"/>
          </w:tcPr>
          <w:p w14:paraId="423A2442">
            <w:pPr>
              <w:keepNext w:val="0"/>
              <w:keepLines w:val="0"/>
              <w:pageBreakBefore w:val="0"/>
              <w:widowControl w:val="0"/>
              <w:suppressLineNumbers w:val="0"/>
              <w:kinsoku/>
              <w:wordWrap/>
              <w:overflowPunct/>
              <w:topLinePunct w:val="0"/>
              <w:autoSpaceDE/>
              <w:autoSpaceDN/>
              <w:bidi w:val="0"/>
              <w:adjustRightInd/>
              <w:snapToGrid/>
              <w:spacing w:after="0" w:afterLines="-2147483648" w:line="320" w:lineRule="exact"/>
              <w:ind w:left="240" w:leftChars="100" w:firstLine="420" w:firstLineChars="200"/>
              <w:jc w:val="both"/>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中华人民共和国放射性污染防治法》第四十五条产生放射性固体废物的单位，应当按照国务院环境保护行政主管部门的规定，对其产生的放射性固体废物进行处理后，送交放射性固体废物处置单位处置，并承担处置费用。放射性固体废物处置费用收取和使用管理办法，由国务院财政部门、价格主管部门会同国务院环境保护行政主管部门规定。第五十六条产生放射性固体废物的单位，不按照本法第四十五条的规定对其产生的放射性固体废物进行处置的，由审批该单位立项环境影响评价文件的环境保护行政主管部门责令停止违法行为，限期改正；逾期不改正的，指定有处置能力的单位代为处置，所需费用由产生放射性固体废物的单位承担，可以并处二十万元以下罚款；构成犯罪的，依法追究刑事责任。</w:t>
            </w:r>
          </w:p>
        </w:tc>
        <w:tc>
          <w:tcPr>
            <w:tcW w:w="1129" w:type="dxa"/>
          </w:tcPr>
          <w:p w14:paraId="1DF2E5D3">
            <w:pPr>
              <w:keepNext w:val="0"/>
              <w:keepLines w:val="0"/>
              <w:pageBreakBefore w:val="0"/>
              <w:widowControl w:val="0"/>
              <w:kinsoku/>
              <w:wordWrap/>
              <w:overflowPunct/>
              <w:topLinePunct w:val="0"/>
              <w:autoSpaceDE/>
              <w:autoSpaceDN/>
              <w:bidi w:val="0"/>
              <w:spacing w:before="69" w:line="320" w:lineRule="exact"/>
              <w:ind w:left="49" w:leftChars="0" w:right="26" w:rightChars="0" w:firstLine="404" w:firstLineChars="200"/>
              <w:rPr>
                <w:rFonts w:ascii="宋体" w:hAnsi="宋体" w:eastAsia="宋体" w:cs="宋体"/>
                <w:spacing w:val="-4"/>
                <w:sz w:val="21"/>
                <w:szCs w:val="21"/>
              </w:rPr>
            </w:pPr>
          </w:p>
        </w:tc>
        <w:tc>
          <w:tcPr>
            <w:tcW w:w="990" w:type="dxa"/>
            <w:gridSpan w:val="2"/>
          </w:tcPr>
          <w:p w14:paraId="18250258">
            <w:pPr>
              <w:keepNext w:val="0"/>
              <w:keepLines w:val="0"/>
              <w:pageBreakBefore w:val="0"/>
              <w:widowControl w:val="0"/>
              <w:kinsoku/>
              <w:wordWrap/>
              <w:overflowPunct/>
              <w:topLinePunct w:val="0"/>
              <w:autoSpaceDE/>
              <w:autoSpaceDN/>
              <w:bidi w:val="0"/>
              <w:spacing w:before="69" w:line="320" w:lineRule="exact"/>
              <w:ind w:left="204" w:leftChars="0" w:right="59" w:rightChars="0" w:firstLine="404" w:firstLineChars="200"/>
              <w:rPr>
                <w:rFonts w:ascii="宋体" w:hAnsi="宋体" w:eastAsia="宋体" w:cs="宋体"/>
                <w:spacing w:val="-4"/>
                <w:sz w:val="21"/>
                <w:szCs w:val="21"/>
              </w:rPr>
            </w:pPr>
          </w:p>
        </w:tc>
      </w:tr>
      <w:tr w14:paraId="4665B5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6" w:hRule="atLeast"/>
        </w:trPr>
        <w:tc>
          <w:tcPr>
            <w:tcW w:w="557" w:type="dxa"/>
            <w:shd w:val="clear" w:color="auto" w:fill="auto"/>
            <w:vAlign w:val="center"/>
          </w:tcPr>
          <w:p w14:paraId="3A64FCD4">
            <w:pPr>
              <w:keepNext w:val="0"/>
              <w:keepLines w:val="0"/>
              <w:pageBreakBefore w:val="0"/>
              <w:widowControl w:val="0"/>
              <w:kinsoku/>
              <w:wordWrap/>
              <w:overflowPunct/>
              <w:topLinePunct w:val="0"/>
              <w:autoSpaceDE/>
              <w:autoSpaceDN/>
              <w:bidi w:val="0"/>
              <w:spacing w:before="68" w:line="320" w:lineRule="exact"/>
              <w:ind w:left="0" w:leftChars="0" w:firstLine="0" w:firstLineChars="0"/>
              <w:jc w:val="center"/>
              <w:rPr>
                <w:rFonts w:hint="eastAsia" w:ascii="仿宋_GB2312" w:hAnsi="仿宋_GB2312" w:eastAsia="仿宋_GB2312" w:cs="仿宋_GB2312"/>
                <w:spacing w:val="-8"/>
                <w:sz w:val="24"/>
                <w:szCs w:val="24"/>
                <w:lang w:val="en-US" w:eastAsia="zh-CN"/>
              </w:rPr>
            </w:pPr>
            <w:r>
              <w:rPr>
                <w:rFonts w:hint="eastAsia" w:ascii="仿宋_GB2312" w:hAnsi="仿宋_GB2312" w:eastAsia="仿宋_GB2312" w:cs="仿宋_GB2312"/>
                <w:spacing w:val="-8"/>
                <w:sz w:val="24"/>
                <w:szCs w:val="24"/>
                <w:lang w:val="en-US" w:eastAsia="zh-CN"/>
              </w:rPr>
              <w:t>148</w:t>
            </w:r>
          </w:p>
        </w:tc>
        <w:tc>
          <w:tcPr>
            <w:tcW w:w="2355" w:type="dxa"/>
            <w:shd w:val="clear" w:color="auto" w:fill="auto"/>
            <w:vAlign w:val="center"/>
          </w:tcPr>
          <w:p w14:paraId="2395AAC4">
            <w:pPr>
              <w:keepNext w:val="0"/>
              <w:keepLines w:val="0"/>
              <w:pageBreakBefore w:val="0"/>
              <w:widowControl w:val="0"/>
              <w:kinsoku/>
              <w:wordWrap/>
              <w:overflowPunct/>
              <w:topLinePunct w:val="0"/>
              <w:autoSpaceDE/>
              <w:autoSpaceDN/>
              <w:bidi w:val="0"/>
              <w:spacing w:before="68" w:line="320" w:lineRule="exact"/>
              <w:ind w:left="240" w:leftChars="100" w:right="127" w:rightChars="53" w:firstLine="0" w:firstLineChars="0"/>
              <w:jc w:val="center"/>
              <w:rPr>
                <w:rFonts w:hint="eastAsia" w:ascii="宋体" w:hAnsi="宋体" w:eastAsia="宋体" w:cs="宋体"/>
                <w:spacing w:val="-8"/>
                <w:kern w:val="2"/>
                <w:sz w:val="21"/>
                <w:szCs w:val="21"/>
                <w:lang w:val="en-US" w:eastAsia="zh-CN" w:bidi="ar-SA"/>
              </w:rPr>
            </w:pPr>
            <w:r>
              <w:rPr>
                <w:rFonts w:hint="eastAsia" w:ascii="宋体" w:hAnsi="宋体" w:eastAsia="宋体" w:cs="宋体"/>
                <w:spacing w:val="-8"/>
                <w:sz w:val="21"/>
                <w:szCs w:val="21"/>
                <w:lang w:val="en-US" w:eastAsia="zh-CN"/>
              </w:rPr>
              <w:t>对产生放射性固体废物的单位未按规定对放射性固体废物进行处置的行政强制</w:t>
            </w:r>
          </w:p>
        </w:tc>
        <w:tc>
          <w:tcPr>
            <w:tcW w:w="1094" w:type="dxa"/>
            <w:shd w:val="clear" w:color="auto" w:fill="auto"/>
            <w:vAlign w:val="center"/>
          </w:tcPr>
          <w:p w14:paraId="255605DC">
            <w:pPr>
              <w:keepNext w:val="0"/>
              <w:keepLines w:val="0"/>
              <w:pageBreakBefore w:val="0"/>
              <w:widowControl w:val="0"/>
              <w:kinsoku/>
              <w:wordWrap/>
              <w:overflowPunct/>
              <w:topLinePunct w:val="0"/>
              <w:autoSpaceDE/>
              <w:autoSpaceDN/>
              <w:bidi w:val="0"/>
              <w:spacing w:before="68" w:line="320" w:lineRule="exact"/>
              <w:ind w:left="0" w:leftChars="0" w:firstLine="0" w:firstLineChars="0"/>
              <w:jc w:val="center"/>
              <w:rPr>
                <w:rFonts w:hint="eastAsia" w:ascii="仿宋_GB2312" w:hAnsi="仿宋_GB2312" w:eastAsia="仿宋_GB2312" w:cs="仿宋_GB2312"/>
                <w:spacing w:val="-8"/>
                <w:kern w:val="2"/>
                <w:sz w:val="24"/>
                <w:szCs w:val="24"/>
                <w:lang w:val="en-US" w:eastAsia="zh-CN" w:bidi="ar-SA"/>
              </w:rPr>
            </w:pPr>
            <w:r>
              <w:rPr>
                <w:rFonts w:hint="eastAsia" w:ascii="仿宋_GB2312" w:hAnsi="仿宋_GB2312" w:eastAsia="仿宋_GB2312" w:cs="仿宋_GB2312"/>
                <w:spacing w:val="-8"/>
                <w:sz w:val="24"/>
                <w:szCs w:val="24"/>
                <w:lang w:val="en-US" w:eastAsia="zh-CN"/>
              </w:rPr>
              <w:t>行政强制</w:t>
            </w:r>
          </w:p>
        </w:tc>
        <w:tc>
          <w:tcPr>
            <w:tcW w:w="8317" w:type="dxa"/>
            <w:shd w:val="clear" w:color="auto" w:fill="auto"/>
            <w:vAlign w:val="top"/>
          </w:tcPr>
          <w:p w14:paraId="3C46B83A">
            <w:pPr>
              <w:keepNext w:val="0"/>
              <w:keepLines w:val="0"/>
              <w:pageBreakBefore w:val="0"/>
              <w:widowControl w:val="0"/>
              <w:suppressLineNumbers w:val="0"/>
              <w:kinsoku/>
              <w:wordWrap/>
              <w:overflowPunct/>
              <w:topLinePunct w:val="0"/>
              <w:autoSpaceDE/>
              <w:autoSpaceDN/>
              <w:bidi w:val="0"/>
              <w:adjustRightInd/>
              <w:snapToGrid/>
              <w:spacing w:after="0" w:afterLines="-2147483648" w:line="320" w:lineRule="exact"/>
              <w:ind w:left="240" w:leftChars="100" w:firstLine="420" w:firstLineChars="200"/>
              <w:jc w:val="both"/>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中华人民共和国放射性污染防治法》第四十五条产生放射性固体废物的单位，应当按照国务院环境保护行政主管部门的规定，对其产生的放射性固体废物进行处理后，送交放射性固体废物处置单位处置，并承担处置费用。放射性固体废物处置费用收取和使用管理办法，由国务院财政部门、价格主管部门会同国务院环境保护行政主管部门规定。第五十六条产生放射性固体废物的单位，不按照本法第四十五条的规定对其产生的放射性固体废物进行处置的，由审批该单位立项环境影响评价文件的环境保护行政主管部门责令停止违法行为，限期改正；逾期不改正的，指定有处置能力的单位代为处置，所需费用由产生放射性固体废物的单位承担，可以并处二十万元以下罚款；构成犯罪的，依法追究刑事责任。</w:t>
            </w:r>
          </w:p>
        </w:tc>
        <w:tc>
          <w:tcPr>
            <w:tcW w:w="1129" w:type="dxa"/>
          </w:tcPr>
          <w:p w14:paraId="2545DF63">
            <w:pPr>
              <w:keepNext w:val="0"/>
              <w:keepLines w:val="0"/>
              <w:pageBreakBefore w:val="0"/>
              <w:widowControl w:val="0"/>
              <w:kinsoku/>
              <w:wordWrap/>
              <w:overflowPunct/>
              <w:topLinePunct w:val="0"/>
              <w:autoSpaceDE/>
              <w:autoSpaceDN/>
              <w:bidi w:val="0"/>
              <w:spacing w:before="69" w:line="320" w:lineRule="exact"/>
              <w:ind w:left="49" w:leftChars="0" w:right="26" w:rightChars="0" w:firstLine="404" w:firstLineChars="200"/>
              <w:rPr>
                <w:rFonts w:ascii="宋体" w:hAnsi="宋体" w:eastAsia="宋体" w:cs="宋体"/>
                <w:spacing w:val="-4"/>
                <w:sz w:val="21"/>
                <w:szCs w:val="21"/>
              </w:rPr>
            </w:pPr>
          </w:p>
        </w:tc>
        <w:tc>
          <w:tcPr>
            <w:tcW w:w="990" w:type="dxa"/>
            <w:gridSpan w:val="2"/>
          </w:tcPr>
          <w:p w14:paraId="4047B900">
            <w:pPr>
              <w:keepNext w:val="0"/>
              <w:keepLines w:val="0"/>
              <w:pageBreakBefore w:val="0"/>
              <w:widowControl w:val="0"/>
              <w:kinsoku/>
              <w:wordWrap/>
              <w:overflowPunct/>
              <w:topLinePunct w:val="0"/>
              <w:autoSpaceDE/>
              <w:autoSpaceDN/>
              <w:bidi w:val="0"/>
              <w:spacing w:before="69" w:line="320" w:lineRule="exact"/>
              <w:ind w:left="204" w:leftChars="0" w:right="59" w:rightChars="0" w:firstLine="404" w:firstLineChars="200"/>
              <w:rPr>
                <w:rFonts w:ascii="宋体" w:hAnsi="宋体" w:eastAsia="宋体" w:cs="宋体"/>
                <w:spacing w:val="-4"/>
                <w:sz w:val="21"/>
                <w:szCs w:val="21"/>
              </w:rPr>
            </w:pPr>
          </w:p>
        </w:tc>
      </w:tr>
      <w:tr w14:paraId="630BA4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6" w:hRule="atLeast"/>
        </w:trPr>
        <w:tc>
          <w:tcPr>
            <w:tcW w:w="557" w:type="dxa"/>
            <w:shd w:val="clear" w:color="auto" w:fill="auto"/>
            <w:vAlign w:val="center"/>
          </w:tcPr>
          <w:p w14:paraId="3F581318">
            <w:pPr>
              <w:keepNext w:val="0"/>
              <w:keepLines w:val="0"/>
              <w:pageBreakBefore w:val="0"/>
              <w:widowControl w:val="0"/>
              <w:kinsoku/>
              <w:wordWrap/>
              <w:overflowPunct/>
              <w:topLinePunct w:val="0"/>
              <w:autoSpaceDE/>
              <w:autoSpaceDN/>
              <w:bidi w:val="0"/>
              <w:spacing w:before="68" w:line="320" w:lineRule="exact"/>
              <w:ind w:left="0" w:leftChars="0" w:firstLine="0" w:firstLineChars="0"/>
              <w:jc w:val="center"/>
              <w:rPr>
                <w:rFonts w:hint="eastAsia" w:ascii="仿宋_GB2312" w:hAnsi="仿宋_GB2312" w:eastAsia="仿宋_GB2312" w:cs="仿宋_GB2312"/>
                <w:spacing w:val="-8"/>
                <w:sz w:val="24"/>
                <w:szCs w:val="24"/>
                <w:lang w:val="en-US" w:eastAsia="zh-CN"/>
              </w:rPr>
            </w:pPr>
            <w:r>
              <w:rPr>
                <w:rFonts w:hint="eastAsia" w:ascii="仿宋_GB2312" w:hAnsi="仿宋_GB2312" w:eastAsia="仿宋_GB2312" w:cs="仿宋_GB2312"/>
                <w:spacing w:val="-8"/>
                <w:sz w:val="24"/>
                <w:szCs w:val="24"/>
                <w:lang w:val="en-US" w:eastAsia="zh-CN"/>
              </w:rPr>
              <w:t>149</w:t>
            </w:r>
          </w:p>
        </w:tc>
        <w:tc>
          <w:tcPr>
            <w:tcW w:w="2355" w:type="dxa"/>
            <w:shd w:val="clear" w:color="auto" w:fill="auto"/>
            <w:vAlign w:val="center"/>
          </w:tcPr>
          <w:p w14:paraId="671BBA4B">
            <w:pPr>
              <w:keepNext w:val="0"/>
              <w:keepLines w:val="0"/>
              <w:pageBreakBefore w:val="0"/>
              <w:widowControl w:val="0"/>
              <w:kinsoku/>
              <w:wordWrap/>
              <w:overflowPunct/>
              <w:topLinePunct w:val="0"/>
              <w:autoSpaceDE/>
              <w:autoSpaceDN/>
              <w:bidi w:val="0"/>
              <w:spacing w:before="68" w:line="320" w:lineRule="exact"/>
              <w:ind w:left="240" w:leftChars="100" w:right="127" w:rightChars="53" w:firstLine="0" w:firstLineChars="0"/>
              <w:jc w:val="center"/>
              <w:rPr>
                <w:rFonts w:hint="eastAsia" w:ascii="宋体" w:hAnsi="宋体" w:eastAsia="宋体" w:cs="宋体"/>
                <w:spacing w:val="-8"/>
                <w:kern w:val="2"/>
                <w:sz w:val="21"/>
                <w:szCs w:val="21"/>
                <w:lang w:val="en-US" w:eastAsia="zh-CN" w:bidi="ar-SA"/>
              </w:rPr>
            </w:pPr>
            <w:r>
              <w:rPr>
                <w:rFonts w:hint="eastAsia" w:ascii="宋体" w:hAnsi="宋体" w:eastAsia="宋体" w:cs="宋体"/>
                <w:spacing w:val="-8"/>
                <w:sz w:val="21"/>
                <w:szCs w:val="21"/>
                <w:lang w:val="en-US" w:eastAsia="zh-CN"/>
              </w:rPr>
              <w:t>对核设施营运单位、核技术利用单位或者放射性固体废物贮存、处置单位未按照规定如实报告放射性废物管理有关情况的行政处罚</w:t>
            </w:r>
          </w:p>
        </w:tc>
        <w:tc>
          <w:tcPr>
            <w:tcW w:w="1094" w:type="dxa"/>
            <w:shd w:val="clear" w:color="auto" w:fill="auto"/>
            <w:vAlign w:val="center"/>
          </w:tcPr>
          <w:p w14:paraId="4184F14A">
            <w:pPr>
              <w:keepNext w:val="0"/>
              <w:keepLines w:val="0"/>
              <w:pageBreakBefore w:val="0"/>
              <w:widowControl w:val="0"/>
              <w:kinsoku/>
              <w:wordWrap/>
              <w:overflowPunct/>
              <w:topLinePunct w:val="0"/>
              <w:autoSpaceDE/>
              <w:autoSpaceDN/>
              <w:bidi w:val="0"/>
              <w:spacing w:before="68" w:line="320" w:lineRule="exact"/>
              <w:ind w:left="0" w:leftChars="0" w:firstLine="0" w:firstLineChars="0"/>
              <w:jc w:val="center"/>
              <w:rPr>
                <w:rFonts w:hint="eastAsia" w:ascii="仿宋_GB2312" w:hAnsi="仿宋_GB2312" w:eastAsia="仿宋_GB2312" w:cs="仿宋_GB2312"/>
                <w:spacing w:val="-8"/>
                <w:kern w:val="2"/>
                <w:sz w:val="24"/>
                <w:szCs w:val="24"/>
                <w:lang w:val="en-US" w:eastAsia="zh-CN" w:bidi="ar-SA"/>
              </w:rPr>
            </w:pPr>
            <w:r>
              <w:rPr>
                <w:rFonts w:hint="eastAsia" w:ascii="仿宋_GB2312" w:hAnsi="仿宋_GB2312" w:eastAsia="仿宋_GB2312" w:cs="仿宋_GB2312"/>
                <w:spacing w:val="-8"/>
                <w:sz w:val="24"/>
                <w:szCs w:val="24"/>
                <w:lang w:val="en-US" w:eastAsia="zh-CN"/>
              </w:rPr>
              <w:t>行政处罚</w:t>
            </w:r>
          </w:p>
        </w:tc>
        <w:tc>
          <w:tcPr>
            <w:tcW w:w="8317" w:type="dxa"/>
            <w:shd w:val="clear" w:color="auto" w:fill="auto"/>
            <w:vAlign w:val="top"/>
          </w:tcPr>
          <w:p w14:paraId="17FF1354">
            <w:pPr>
              <w:keepNext w:val="0"/>
              <w:keepLines w:val="0"/>
              <w:pageBreakBefore w:val="0"/>
              <w:widowControl w:val="0"/>
              <w:suppressLineNumbers w:val="0"/>
              <w:kinsoku/>
              <w:wordWrap/>
              <w:overflowPunct/>
              <w:topLinePunct w:val="0"/>
              <w:autoSpaceDE/>
              <w:autoSpaceDN/>
              <w:bidi w:val="0"/>
              <w:adjustRightInd/>
              <w:snapToGrid/>
              <w:spacing w:after="0" w:afterLines="-2147483648" w:line="320" w:lineRule="exact"/>
              <w:ind w:left="240" w:leftChars="100" w:firstLine="420" w:firstLineChars="200"/>
              <w:jc w:val="both"/>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放射性废物安全管理条例》第三十二条核设施营运单位、核技术利用单位和放射性固体废物贮存单位应当按照国务院环境保护主管部门的规定定期如实报告放射性废物产生、排放、处理、贮存、清洁解控和送交处置等情况。放射性固体废物处置单位应当于每年3月31日前，向国务院环境保护主管部门和核工业行业主管部门如实报告上一年度放射性固体废物接收、处置和设施运行等情况。第四十条核设施营运单位、核技术利用单位或者放射性固体废物贮存、处置单位未按照本条例第三十二条的规定如实报告有关情况的，由县级以上人民政府环境保护主管部门责令限期改正，处1万元以上5万元以下的罚款；逾期不改正的，处5万元以上10万元以下的罚款。</w:t>
            </w:r>
          </w:p>
        </w:tc>
        <w:tc>
          <w:tcPr>
            <w:tcW w:w="1129" w:type="dxa"/>
          </w:tcPr>
          <w:p w14:paraId="74F8F450">
            <w:pPr>
              <w:keepNext w:val="0"/>
              <w:keepLines w:val="0"/>
              <w:pageBreakBefore w:val="0"/>
              <w:widowControl w:val="0"/>
              <w:kinsoku/>
              <w:wordWrap/>
              <w:overflowPunct/>
              <w:topLinePunct w:val="0"/>
              <w:autoSpaceDE/>
              <w:autoSpaceDN/>
              <w:bidi w:val="0"/>
              <w:spacing w:before="69" w:line="320" w:lineRule="exact"/>
              <w:ind w:left="49" w:leftChars="0" w:right="26" w:rightChars="0" w:firstLine="404" w:firstLineChars="200"/>
              <w:rPr>
                <w:rFonts w:ascii="宋体" w:hAnsi="宋体" w:eastAsia="宋体" w:cs="宋体"/>
                <w:spacing w:val="-4"/>
                <w:sz w:val="21"/>
                <w:szCs w:val="21"/>
              </w:rPr>
            </w:pPr>
          </w:p>
        </w:tc>
        <w:tc>
          <w:tcPr>
            <w:tcW w:w="990" w:type="dxa"/>
            <w:gridSpan w:val="2"/>
          </w:tcPr>
          <w:p w14:paraId="7A7616C5">
            <w:pPr>
              <w:keepNext w:val="0"/>
              <w:keepLines w:val="0"/>
              <w:pageBreakBefore w:val="0"/>
              <w:widowControl w:val="0"/>
              <w:kinsoku/>
              <w:wordWrap/>
              <w:overflowPunct/>
              <w:topLinePunct w:val="0"/>
              <w:autoSpaceDE/>
              <w:autoSpaceDN/>
              <w:bidi w:val="0"/>
              <w:spacing w:before="69" w:line="320" w:lineRule="exact"/>
              <w:ind w:left="204" w:leftChars="0" w:right="59" w:rightChars="0" w:firstLine="404" w:firstLineChars="200"/>
              <w:rPr>
                <w:rFonts w:ascii="宋体" w:hAnsi="宋体" w:eastAsia="宋体" w:cs="宋体"/>
                <w:spacing w:val="-4"/>
                <w:sz w:val="21"/>
                <w:szCs w:val="21"/>
              </w:rPr>
            </w:pPr>
          </w:p>
        </w:tc>
      </w:tr>
      <w:tr w14:paraId="7BCCDC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6" w:hRule="atLeast"/>
        </w:trPr>
        <w:tc>
          <w:tcPr>
            <w:tcW w:w="557" w:type="dxa"/>
            <w:shd w:val="clear" w:color="auto" w:fill="auto"/>
            <w:vAlign w:val="center"/>
          </w:tcPr>
          <w:p w14:paraId="2F03154F">
            <w:pPr>
              <w:keepNext w:val="0"/>
              <w:keepLines w:val="0"/>
              <w:pageBreakBefore w:val="0"/>
              <w:widowControl w:val="0"/>
              <w:kinsoku/>
              <w:wordWrap/>
              <w:overflowPunct/>
              <w:topLinePunct w:val="0"/>
              <w:autoSpaceDE/>
              <w:autoSpaceDN/>
              <w:bidi w:val="0"/>
              <w:spacing w:before="68" w:line="320" w:lineRule="exact"/>
              <w:ind w:left="0" w:leftChars="0" w:firstLine="0" w:firstLineChars="0"/>
              <w:jc w:val="center"/>
              <w:rPr>
                <w:rFonts w:hint="eastAsia" w:ascii="仿宋_GB2312" w:hAnsi="仿宋_GB2312" w:eastAsia="仿宋_GB2312" w:cs="仿宋_GB2312"/>
                <w:spacing w:val="-8"/>
                <w:sz w:val="24"/>
                <w:szCs w:val="24"/>
                <w:lang w:val="en-US" w:eastAsia="zh-CN"/>
              </w:rPr>
            </w:pPr>
            <w:r>
              <w:rPr>
                <w:rFonts w:hint="eastAsia" w:ascii="仿宋_GB2312" w:hAnsi="仿宋_GB2312" w:eastAsia="仿宋_GB2312" w:cs="仿宋_GB2312"/>
                <w:spacing w:val="-8"/>
                <w:sz w:val="24"/>
                <w:szCs w:val="24"/>
                <w:lang w:val="en-US" w:eastAsia="zh-CN"/>
              </w:rPr>
              <w:t>150</w:t>
            </w:r>
          </w:p>
        </w:tc>
        <w:tc>
          <w:tcPr>
            <w:tcW w:w="2355" w:type="dxa"/>
            <w:shd w:val="clear" w:color="auto" w:fill="auto"/>
            <w:vAlign w:val="center"/>
          </w:tcPr>
          <w:p w14:paraId="3EE0EAE2">
            <w:pPr>
              <w:keepNext w:val="0"/>
              <w:keepLines w:val="0"/>
              <w:pageBreakBefore w:val="0"/>
              <w:widowControl w:val="0"/>
              <w:kinsoku/>
              <w:wordWrap/>
              <w:overflowPunct/>
              <w:topLinePunct w:val="0"/>
              <w:autoSpaceDE/>
              <w:autoSpaceDN/>
              <w:bidi w:val="0"/>
              <w:spacing w:before="68" w:line="320" w:lineRule="exact"/>
              <w:ind w:left="240" w:leftChars="100" w:right="127" w:rightChars="53" w:firstLine="0" w:firstLineChars="0"/>
              <w:jc w:val="center"/>
              <w:rPr>
                <w:rFonts w:hint="eastAsia" w:ascii="宋体" w:hAnsi="宋体" w:eastAsia="宋体" w:cs="宋体"/>
                <w:spacing w:val="-8"/>
                <w:kern w:val="2"/>
                <w:sz w:val="21"/>
                <w:szCs w:val="21"/>
                <w:lang w:val="en-US" w:eastAsia="zh-CN" w:bidi="ar-SA"/>
              </w:rPr>
            </w:pPr>
            <w:r>
              <w:rPr>
                <w:rFonts w:hint="eastAsia" w:ascii="宋体" w:hAnsi="宋体" w:eastAsia="宋体" w:cs="宋体"/>
                <w:spacing w:val="-8"/>
                <w:sz w:val="21"/>
                <w:szCs w:val="21"/>
                <w:lang w:val="en-US" w:eastAsia="zh-CN"/>
              </w:rPr>
              <w:t>对核设施营运单位未按照规定将其产生的废旧放射源送交贮存、处置等行为的行政处罚</w:t>
            </w:r>
          </w:p>
        </w:tc>
        <w:tc>
          <w:tcPr>
            <w:tcW w:w="1094" w:type="dxa"/>
            <w:shd w:val="clear" w:color="auto" w:fill="auto"/>
            <w:vAlign w:val="center"/>
          </w:tcPr>
          <w:p w14:paraId="444F2926">
            <w:pPr>
              <w:keepNext w:val="0"/>
              <w:keepLines w:val="0"/>
              <w:pageBreakBefore w:val="0"/>
              <w:widowControl w:val="0"/>
              <w:kinsoku/>
              <w:wordWrap/>
              <w:overflowPunct/>
              <w:topLinePunct w:val="0"/>
              <w:autoSpaceDE/>
              <w:autoSpaceDN/>
              <w:bidi w:val="0"/>
              <w:spacing w:before="68" w:line="320" w:lineRule="exact"/>
              <w:ind w:left="0" w:leftChars="0" w:firstLine="0" w:firstLineChars="0"/>
              <w:jc w:val="center"/>
              <w:rPr>
                <w:rFonts w:hint="eastAsia" w:ascii="仿宋_GB2312" w:hAnsi="仿宋_GB2312" w:eastAsia="仿宋_GB2312" w:cs="仿宋_GB2312"/>
                <w:spacing w:val="-8"/>
                <w:kern w:val="2"/>
                <w:sz w:val="24"/>
                <w:szCs w:val="24"/>
                <w:lang w:val="en-US" w:eastAsia="zh-CN" w:bidi="ar-SA"/>
              </w:rPr>
            </w:pPr>
            <w:r>
              <w:rPr>
                <w:rFonts w:hint="eastAsia" w:ascii="仿宋_GB2312" w:hAnsi="仿宋_GB2312" w:eastAsia="仿宋_GB2312" w:cs="仿宋_GB2312"/>
                <w:spacing w:val="-8"/>
                <w:sz w:val="24"/>
                <w:szCs w:val="24"/>
                <w:lang w:val="en-US" w:eastAsia="zh-CN"/>
              </w:rPr>
              <w:t>行政处罚</w:t>
            </w:r>
          </w:p>
        </w:tc>
        <w:tc>
          <w:tcPr>
            <w:tcW w:w="8317" w:type="dxa"/>
            <w:shd w:val="clear" w:color="auto" w:fill="auto"/>
            <w:vAlign w:val="top"/>
          </w:tcPr>
          <w:p w14:paraId="0D8BE98C">
            <w:pPr>
              <w:keepNext w:val="0"/>
              <w:keepLines w:val="0"/>
              <w:pageBreakBefore w:val="0"/>
              <w:widowControl w:val="0"/>
              <w:suppressLineNumbers w:val="0"/>
              <w:kinsoku/>
              <w:wordWrap/>
              <w:overflowPunct/>
              <w:topLinePunct w:val="0"/>
              <w:autoSpaceDE/>
              <w:autoSpaceDN/>
              <w:bidi w:val="0"/>
              <w:adjustRightInd/>
              <w:snapToGrid/>
              <w:spacing w:after="0" w:afterLines="-2147483648" w:line="320" w:lineRule="exact"/>
              <w:ind w:left="240" w:leftChars="100" w:firstLine="420" w:firstLineChars="200"/>
              <w:jc w:val="both"/>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放射性废物安全管理条例》第三十六条违反本条例规定，核设施营运单位、核技术利用单位有下列行为之一的，由审批该单位立项环境影响评价文件的环境保护主管部门责令停止违法行为，限期改正；逾期不改正的，指定有相应许可证的单位代为贮存或者处置，所需费用由核设施营运单位、核技术利用单位承担，可以处20万元以下的罚款；构成犯罪的，依法追究刑事责任：（一）核设施营运单位未按照规定，将其产生的废旧放射源送交贮存、处置，或者将其产生的其他放射性固体废物送交处置的；（二)核技术利用单位未按照规定，将其产生的废旧放射源或者其他放射性固体废物送交贮存、处置的。</w:t>
            </w:r>
          </w:p>
          <w:p w14:paraId="095069E4">
            <w:pPr>
              <w:keepNext w:val="0"/>
              <w:keepLines w:val="0"/>
              <w:pageBreakBefore w:val="0"/>
              <w:widowControl w:val="0"/>
              <w:suppressLineNumbers w:val="0"/>
              <w:kinsoku/>
              <w:wordWrap/>
              <w:overflowPunct/>
              <w:topLinePunct w:val="0"/>
              <w:autoSpaceDE/>
              <w:autoSpaceDN/>
              <w:bidi w:val="0"/>
              <w:adjustRightInd/>
              <w:snapToGrid/>
              <w:spacing w:after="0" w:afterLines="-2147483648" w:line="320" w:lineRule="exact"/>
              <w:ind w:left="240" w:leftChars="100" w:firstLine="420" w:firstLineChars="200"/>
              <w:jc w:val="both"/>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第三十七条违反本条例规定，有下列行为之一的，由县级以上人民政府环境保护主管部门责令停止违法行为，限期改正，处10万元以上20万元以下的罚款；造成环境污染的，责令限期采取治理措施消除污染，逾期不采取治理措施，经催告仍不治理的，可以指定有治理能力的单位代为治理，所需费用由违法者承担；构成犯罪的，依法追究刑事责任：（一）核设施营运单位将废旧放射源送交无相应许可证的单位贮存、处置，或者将其他放射性固体废物送交无相应许可证的单位处置，或者擅自处置的；（二）核技术利用单位将废旧放射源或者其他放射性固体废物送交无相应许可证的单位贮存、处置，或者擅自处置的；（三）放射性固体废物贮存单位将废旧放射源或者其他放射性固体废物送交无相应许可证的单位处置，或者擅自处置的。</w:t>
            </w:r>
          </w:p>
        </w:tc>
        <w:tc>
          <w:tcPr>
            <w:tcW w:w="1129" w:type="dxa"/>
          </w:tcPr>
          <w:p w14:paraId="0019D74E">
            <w:pPr>
              <w:keepNext w:val="0"/>
              <w:keepLines w:val="0"/>
              <w:pageBreakBefore w:val="0"/>
              <w:widowControl w:val="0"/>
              <w:kinsoku/>
              <w:wordWrap/>
              <w:overflowPunct/>
              <w:topLinePunct w:val="0"/>
              <w:autoSpaceDE/>
              <w:autoSpaceDN/>
              <w:bidi w:val="0"/>
              <w:spacing w:before="69" w:line="320" w:lineRule="exact"/>
              <w:ind w:left="49" w:leftChars="0" w:right="26" w:rightChars="0" w:firstLine="404" w:firstLineChars="200"/>
              <w:rPr>
                <w:rFonts w:ascii="宋体" w:hAnsi="宋体" w:eastAsia="宋体" w:cs="宋体"/>
                <w:spacing w:val="-4"/>
                <w:sz w:val="21"/>
                <w:szCs w:val="21"/>
              </w:rPr>
            </w:pPr>
          </w:p>
        </w:tc>
        <w:tc>
          <w:tcPr>
            <w:tcW w:w="990" w:type="dxa"/>
            <w:gridSpan w:val="2"/>
          </w:tcPr>
          <w:p w14:paraId="45812486">
            <w:pPr>
              <w:keepNext w:val="0"/>
              <w:keepLines w:val="0"/>
              <w:pageBreakBefore w:val="0"/>
              <w:widowControl w:val="0"/>
              <w:kinsoku/>
              <w:wordWrap/>
              <w:overflowPunct/>
              <w:topLinePunct w:val="0"/>
              <w:autoSpaceDE/>
              <w:autoSpaceDN/>
              <w:bidi w:val="0"/>
              <w:spacing w:before="69" w:line="320" w:lineRule="exact"/>
              <w:ind w:left="204" w:leftChars="0" w:right="59" w:rightChars="0" w:firstLine="404" w:firstLineChars="200"/>
              <w:rPr>
                <w:rFonts w:ascii="宋体" w:hAnsi="宋体" w:eastAsia="宋体" w:cs="宋体"/>
                <w:spacing w:val="-4"/>
                <w:sz w:val="21"/>
                <w:szCs w:val="21"/>
              </w:rPr>
            </w:pPr>
          </w:p>
        </w:tc>
      </w:tr>
      <w:tr w14:paraId="729093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6" w:hRule="atLeast"/>
        </w:trPr>
        <w:tc>
          <w:tcPr>
            <w:tcW w:w="557" w:type="dxa"/>
            <w:shd w:val="clear" w:color="auto" w:fill="auto"/>
            <w:vAlign w:val="center"/>
          </w:tcPr>
          <w:p w14:paraId="100E2AE4">
            <w:pPr>
              <w:keepNext w:val="0"/>
              <w:keepLines w:val="0"/>
              <w:pageBreakBefore w:val="0"/>
              <w:widowControl w:val="0"/>
              <w:kinsoku/>
              <w:wordWrap/>
              <w:overflowPunct/>
              <w:topLinePunct w:val="0"/>
              <w:autoSpaceDE/>
              <w:autoSpaceDN/>
              <w:bidi w:val="0"/>
              <w:spacing w:before="68" w:line="320" w:lineRule="exact"/>
              <w:ind w:left="0" w:leftChars="0" w:firstLine="0" w:firstLineChars="0"/>
              <w:jc w:val="center"/>
              <w:rPr>
                <w:rFonts w:hint="eastAsia" w:ascii="仿宋_GB2312" w:hAnsi="仿宋_GB2312" w:eastAsia="仿宋_GB2312" w:cs="仿宋_GB2312"/>
                <w:spacing w:val="-8"/>
                <w:sz w:val="24"/>
                <w:szCs w:val="24"/>
                <w:lang w:val="en-US" w:eastAsia="zh-CN"/>
              </w:rPr>
            </w:pPr>
            <w:r>
              <w:rPr>
                <w:rFonts w:hint="eastAsia" w:ascii="仿宋_GB2312" w:hAnsi="仿宋_GB2312" w:eastAsia="仿宋_GB2312" w:cs="仿宋_GB2312"/>
                <w:spacing w:val="-8"/>
                <w:sz w:val="24"/>
                <w:szCs w:val="24"/>
                <w:lang w:val="en-US" w:eastAsia="zh-CN"/>
              </w:rPr>
              <w:t>151</w:t>
            </w:r>
          </w:p>
        </w:tc>
        <w:tc>
          <w:tcPr>
            <w:tcW w:w="2355" w:type="dxa"/>
            <w:shd w:val="clear" w:color="auto" w:fill="auto"/>
            <w:vAlign w:val="center"/>
          </w:tcPr>
          <w:p w14:paraId="3105A50F">
            <w:pPr>
              <w:keepNext w:val="0"/>
              <w:keepLines w:val="0"/>
              <w:pageBreakBefore w:val="0"/>
              <w:widowControl w:val="0"/>
              <w:kinsoku/>
              <w:wordWrap/>
              <w:overflowPunct/>
              <w:topLinePunct w:val="0"/>
              <w:autoSpaceDE/>
              <w:autoSpaceDN/>
              <w:bidi w:val="0"/>
              <w:spacing w:before="68" w:line="320" w:lineRule="exact"/>
              <w:ind w:left="240" w:leftChars="100" w:right="127" w:rightChars="53" w:firstLine="0" w:firstLineChars="0"/>
              <w:jc w:val="center"/>
              <w:rPr>
                <w:rFonts w:hint="eastAsia" w:ascii="宋体" w:hAnsi="宋体" w:eastAsia="宋体" w:cs="宋体"/>
                <w:spacing w:val="-8"/>
                <w:kern w:val="2"/>
                <w:sz w:val="21"/>
                <w:szCs w:val="21"/>
                <w:lang w:val="en-US" w:eastAsia="zh-CN" w:bidi="ar-SA"/>
              </w:rPr>
            </w:pPr>
            <w:r>
              <w:rPr>
                <w:rFonts w:hint="eastAsia" w:ascii="宋体" w:hAnsi="宋体" w:eastAsia="宋体" w:cs="宋体"/>
                <w:spacing w:val="-8"/>
                <w:sz w:val="21"/>
                <w:szCs w:val="21"/>
                <w:lang w:val="en-US" w:eastAsia="zh-CN"/>
              </w:rPr>
              <w:t>对核设施营运单位未按照规定将其产生的废旧放射源送交贮存、处置等行为的行政强制</w:t>
            </w:r>
          </w:p>
        </w:tc>
        <w:tc>
          <w:tcPr>
            <w:tcW w:w="1094" w:type="dxa"/>
            <w:shd w:val="clear" w:color="auto" w:fill="auto"/>
            <w:vAlign w:val="center"/>
          </w:tcPr>
          <w:p w14:paraId="7490BEF4">
            <w:pPr>
              <w:keepNext w:val="0"/>
              <w:keepLines w:val="0"/>
              <w:pageBreakBefore w:val="0"/>
              <w:widowControl w:val="0"/>
              <w:kinsoku/>
              <w:wordWrap/>
              <w:overflowPunct/>
              <w:topLinePunct w:val="0"/>
              <w:autoSpaceDE/>
              <w:autoSpaceDN/>
              <w:bidi w:val="0"/>
              <w:spacing w:before="68" w:line="320" w:lineRule="exact"/>
              <w:ind w:left="0" w:leftChars="0" w:firstLine="0" w:firstLineChars="0"/>
              <w:jc w:val="center"/>
              <w:rPr>
                <w:rFonts w:hint="eastAsia" w:ascii="仿宋_GB2312" w:hAnsi="仿宋_GB2312" w:eastAsia="仿宋_GB2312" w:cs="仿宋_GB2312"/>
                <w:spacing w:val="-8"/>
                <w:kern w:val="2"/>
                <w:sz w:val="24"/>
                <w:szCs w:val="24"/>
                <w:lang w:val="en-US" w:eastAsia="zh-CN" w:bidi="ar-SA"/>
              </w:rPr>
            </w:pPr>
            <w:r>
              <w:rPr>
                <w:rFonts w:hint="eastAsia" w:ascii="仿宋_GB2312" w:hAnsi="仿宋_GB2312" w:eastAsia="仿宋_GB2312" w:cs="仿宋_GB2312"/>
                <w:spacing w:val="-8"/>
                <w:sz w:val="24"/>
                <w:szCs w:val="24"/>
                <w:lang w:val="en-US" w:eastAsia="zh-CN"/>
              </w:rPr>
              <w:t>行政强制</w:t>
            </w:r>
          </w:p>
        </w:tc>
        <w:tc>
          <w:tcPr>
            <w:tcW w:w="8317" w:type="dxa"/>
            <w:shd w:val="clear" w:color="auto" w:fill="auto"/>
            <w:vAlign w:val="top"/>
          </w:tcPr>
          <w:p w14:paraId="571CE9A1">
            <w:pPr>
              <w:keepNext w:val="0"/>
              <w:keepLines w:val="0"/>
              <w:pageBreakBefore w:val="0"/>
              <w:widowControl w:val="0"/>
              <w:suppressLineNumbers w:val="0"/>
              <w:kinsoku/>
              <w:wordWrap/>
              <w:overflowPunct/>
              <w:topLinePunct w:val="0"/>
              <w:autoSpaceDE/>
              <w:autoSpaceDN/>
              <w:bidi w:val="0"/>
              <w:adjustRightInd/>
              <w:snapToGrid/>
              <w:spacing w:after="0" w:afterLines="-2147483648" w:line="320" w:lineRule="exact"/>
              <w:ind w:left="240" w:leftChars="100" w:firstLine="420" w:firstLineChars="200"/>
              <w:jc w:val="both"/>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放射性废物安全管理条例》第三十六条违反本条例规定，核设施营运单位、核技术利用单位有下列行为之一的，由审批该单位立项环境影响评价文件的环境保护主管部门责令停止违法行为，限期改正；逾期不改正的，指定有相应许可证的单位代为贮存或者处置，所需费用由核设施营运单位、核技术利用单位承担，可以处20万元以下的罚款；构成犯罪的，依法追究刑事责任：（一）核设施营运单位未按照规定，将其产生的废旧放射源送交贮存、处置，或者将其产生的其他放射性固体废物送交处置的；（二）核技术利用单位未按照规定，将其产生的废旧放射源或者其他放射性固体废物送交贮存、处置的。</w:t>
            </w:r>
          </w:p>
        </w:tc>
        <w:tc>
          <w:tcPr>
            <w:tcW w:w="1129" w:type="dxa"/>
          </w:tcPr>
          <w:p w14:paraId="54397565">
            <w:pPr>
              <w:keepNext w:val="0"/>
              <w:keepLines w:val="0"/>
              <w:pageBreakBefore w:val="0"/>
              <w:widowControl w:val="0"/>
              <w:kinsoku/>
              <w:wordWrap/>
              <w:overflowPunct/>
              <w:topLinePunct w:val="0"/>
              <w:autoSpaceDE/>
              <w:autoSpaceDN/>
              <w:bidi w:val="0"/>
              <w:spacing w:before="69" w:line="320" w:lineRule="exact"/>
              <w:ind w:left="49" w:leftChars="0" w:right="26" w:rightChars="0" w:firstLine="404" w:firstLineChars="200"/>
              <w:rPr>
                <w:rFonts w:ascii="宋体" w:hAnsi="宋体" w:eastAsia="宋体" w:cs="宋体"/>
                <w:spacing w:val="-4"/>
                <w:sz w:val="21"/>
                <w:szCs w:val="21"/>
              </w:rPr>
            </w:pPr>
          </w:p>
        </w:tc>
        <w:tc>
          <w:tcPr>
            <w:tcW w:w="990" w:type="dxa"/>
            <w:gridSpan w:val="2"/>
          </w:tcPr>
          <w:p w14:paraId="2C2A2C21">
            <w:pPr>
              <w:keepNext w:val="0"/>
              <w:keepLines w:val="0"/>
              <w:pageBreakBefore w:val="0"/>
              <w:widowControl w:val="0"/>
              <w:kinsoku/>
              <w:wordWrap/>
              <w:overflowPunct/>
              <w:topLinePunct w:val="0"/>
              <w:autoSpaceDE/>
              <w:autoSpaceDN/>
              <w:bidi w:val="0"/>
              <w:spacing w:before="69" w:line="320" w:lineRule="exact"/>
              <w:ind w:left="204" w:leftChars="0" w:right="59" w:rightChars="0" w:firstLine="404" w:firstLineChars="200"/>
              <w:rPr>
                <w:rFonts w:ascii="宋体" w:hAnsi="宋体" w:eastAsia="宋体" w:cs="宋体"/>
                <w:spacing w:val="-4"/>
                <w:sz w:val="21"/>
                <w:szCs w:val="21"/>
              </w:rPr>
            </w:pPr>
          </w:p>
        </w:tc>
      </w:tr>
      <w:tr w14:paraId="33E0B6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87" w:hRule="atLeast"/>
        </w:trPr>
        <w:tc>
          <w:tcPr>
            <w:tcW w:w="557" w:type="dxa"/>
            <w:shd w:val="clear" w:color="auto" w:fill="auto"/>
            <w:vAlign w:val="center"/>
          </w:tcPr>
          <w:p w14:paraId="08173B09">
            <w:pPr>
              <w:keepNext w:val="0"/>
              <w:keepLines w:val="0"/>
              <w:pageBreakBefore w:val="0"/>
              <w:widowControl w:val="0"/>
              <w:kinsoku/>
              <w:wordWrap/>
              <w:overflowPunct/>
              <w:topLinePunct w:val="0"/>
              <w:autoSpaceDE/>
              <w:autoSpaceDN/>
              <w:bidi w:val="0"/>
              <w:spacing w:before="68" w:line="320" w:lineRule="exact"/>
              <w:ind w:left="0" w:leftChars="0" w:firstLine="0" w:firstLineChars="0"/>
              <w:jc w:val="center"/>
              <w:rPr>
                <w:rFonts w:hint="eastAsia" w:ascii="仿宋_GB2312" w:hAnsi="仿宋_GB2312" w:eastAsia="仿宋_GB2312" w:cs="仿宋_GB2312"/>
                <w:spacing w:val="-8"/>
                <w:sz w:val="24"/>
                <w:szCs w:val="24"/>
                <w:lang w:val="en-US" w:eastAsia="zh-CN"/>
              </w:rPr>
            </w:pPr>
            <w:r>
              <w:rPr>
                <w:rFonts w:hint="eastAsia" w:ascii="仿宋_GB2312" w:hAnsi="仿宋_GB2312" w:eastAsia="仿宋_GB2312" w:cs="仿宋_GB2312"/>
                <w:spacing w:val="-8"/>
                <w:sz w:val="24"/>
                <w:szCs w:val="24"/>
                <w:lang w:val="en-US" w:eastAsia="zh-CN"/>
              </w:rPr>
              <w:t>152</w:t>
            </w:r>
          </w:p>
        </w:tc>
        <w:tc>
          <w:tcPr>
            <w:tcW w:w="2355" w:type="dxa"/>
            <w:shd w:val="clear" w:color="auto" w:fill="auto"/>
            <w:vAlign w:val="center"/>
          </w:tcPr>
          <w:p w14:paraId="0881C127">
            <w:pPr>
              <w:keepNext w:val="0"/>
              <w:keepLines w:val="0"/>
              <w:pageBreakBefore w:val="0"/>
              <w:widowControl w:val="0"/>
              <w:kinsoku/>
              <w:wordWrap/>
              <w:overflowPunct/>
              <w:topLinePunct w:val="0"/>
              <w:autoSpaceDE/>
              <w:autoSpaceDN/>
              <w:bidi w:val="0"/>
              <w:spacing w:before="68" w:line="320" w:lineRule="exact"/>
              <w:ind w:left="240" w:leftChars="100" w:right="127" w:rightChars="53" w:firstLine="0" w:firstLineChars="0"/>
              <w:jc w:val="center"/>
              <w:rPr>
                <w:rFonts w:hint="eastAsia" w:ascii="宋体" w:hAnsi="宋体" w:eastAsia="宋体" w:cs="宋体"/>
                <w:spacing w:val="-8"/>
                <w:kern w:val="2"/>
                <w:sz w:val="21"/>
                <w:szCs w:val="21"/>
                <w:lang w:val="en-US" w:eastAsia="zh-CN" w:bidi="ar-SA"/>
              </w:rPr>
            </w:pPr>
            <w:r>
              <w:rPr>
                <w:rFonts w:hint="eastAsia" w:ascii="宋体" w:hAnsi="宋体" w:eastAsia="宋体" w:cs="宋体"/>
                <w:spacing w:val="-8"/>
                <w:sz w:val="21"/>
                <w:szCs w:val="21"/>
                <w:lang w:val="en-US" w:eastAsia="zh-CN"/>
              </w:rPr>
              <w:t>对核设施营运单位造成环境污染被责令限期采取治理措施消除污染，逾期不采取治理措施的行政强制</w:t>
            </w:r>
          </w:p>
        </w:tc>
        <w:tc>
          <w:tcPr>
            <w:tcW w:w="1094" w:type="dxa"/>
            <w:shd w:val="clear" w:color="auto" w:fill="auto"/>
            <w:vAlign w:val="center"/>
          </w:tcPr>
          <w:p w14:paraId="3FEE5CED">
            <w:pPr>
              <w:keepNext w:val="0"/>
              <w:keepLines w:val="0"/>
              <w:pageBreakBefore w:val="0"/>
              <w:widowControl w:val="0"/>
              <w:kinsoku/>
              <w:wordWrap/>
              <w:overflowPunct/>
              <w:topLinePunct w:val="0"/>
              <w:autoSpaceDE/>
              <w:autoSpaceDN/>
              <w:bidi w:val="0"/>
              <w:spacing w:before="68" w:line="320" w:lineRule="exact"/>
              <w:ind w:left="0" w:leftChars="0" w:firstLine="0" w:firstLineChars="0"/>
              <w:jc w:val="center"/>
              <w:rPr>
                <w:rFonts w:hint="eastAsia" w:ascii="仿宋_GB2312" w:hAnsi="仿宋_GB2312" w:eastAsia="仿宋_GB2312" w:cs="仿宋_GB2312"/>
                <w:spacing w:val="-8"/>
                <w:kern w:val="2"/>
                <w:sz w:val="24"/>
                <w:szCs w:val="24"/>
                <w:lang w:val="en-US" w:eastAsia="zh-CN" w:bidi="ar-SA"/>
              </w:rPr>
            </w:pPr>
            <w:r>
              <w:rPr>
                <w:rFonts w:hint="eastAsia" w:ascii="仿宋_GB2312" w:hAnsi="仿宋_GB2312" w:eastAsia="仿宋_GB2312" w:cs="仿宋_GB2312"/>
                <w:spacing w:val="-8"/>
                <w:sz w:val="24"/>
                <w:szCs w:val="24"/>
                <w:lang w:val="en-US" w:eastAsia="zh-CN"/>
              </w:rPr>
              <w:t>行政强制</w:t>
            </w:r>
          </w:p>
        </w:tc>
        <w:tc>
          <w:tcPr>
            <w:tcW w:w="8317" w:type="dxa"/>
            <w:shd w:val="clear" w:color="auto" w:fill="auto"/>
            <w:vAlign w:val="top"/>
          </w:tcPr>
          <w:p w14:paraId="10D74A8E">
            <w:pPr>
              <w:keepNext w:val="0"/>
              <w:keepLines w:val="0"/>
              <w:pageBreakBefore w:val="0"/>
              <w:widowControl w:val="0"/>
              <w:suppressLineNumbers w:val="0"/>
              <w:kinsoku/>
              <w:wordWrap/>
              <w:overflowPunct/>
              <w:topLinePunct w:val="0"/>
              <w:autoSpaceDE/>
              <w:autoSpaceDN/>
              <w:bidi w:val="0"/>
              <w:adjustRightInd/>
              <w:snapToGrid/>
              <w:spacing w:after="0" w:afterLines="-2147483648" w:line="320" w:lineRule="exact"/>
              <w:ind w:left="240" w:leftChars="100" w:firstLine="420" w:firstLineChars="200"/>
              <w:jc w:val="both"/>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放射性废物安全管理条例》第三十七条违反本条例规定，有下列行为之一的，由县级以上人民政府环境保护主管部门责令停止违法行为，限期改正，处10万元以上20万元以下的罚款；造成环境污染的，责令限期采取治理措施消除污染，逾期不采取治理措施，经催告仍不治理的，可以指定有治理能力的单位代为治理，所需费用由违法者承担；构成犯罪的，依法追究刑事责任：（一）核设施营运单位将废旧放射源送交无相应许可证的单位贮存、处置，或者将其他放射性固体废物送交无相应许可证的单位处置，或者擅自处置的；（二）核技术利用单位将废旧放射源或者其他放射性固体废物送交无相应许可证的单位贮存、处置，或者擅自处置的；（三）放射性固体废物贮存单位将废旧放射源或者其他放射性固体废物送交无相应许可证的单位处置，或者擅自处置的。</w:t>
            </w:r>
          </w:p>
        </w:tc>
        <w:tc>
          <w:tcPr>
            <w:tcW w:w="1129" w:type="dxa"/>
          </w:tcPr>
          <w:p w14:paraId="1774B0C9">
            <w:pPr>
              <w:keepNext w:val="0"/>
              <w:keepLines w:val="0"/>
              <w:pageBreakBefore w:val="0"/>
              <w:widowControl w:val="0"/>
              <w:kinsoku/>
              <w:wordWrap/>
              <w:overflowPunct/>
              <w:topLinePunct w:val="0"/>
              <w:autoSpaceDE/>
              <w:autoSpaceDN/>
              <w:bidi w:val="0"/>
              <w:spacing w:before="69" w:line="320" w:lineRule="exact"/>
              <w:ind w:left="49" w:leftChars="0" w:right="26" w:rightChars="0" w:firstLine="404" w:firstLineChars="200"/>
              <w:rPr>
                <w:rFonts w:ascii="宋体" w:hAnsi="宋体" w:eastAsia="宋体" w:cs="宋体"/>
                <w:spacing w:val="-4"/>
                <w:sz w:val="21"/>
                <w:szCs w:val="21"/>
              </w:rPr>
            </w:pPr>
          </w:p>
        </w:tc>
        <w:tc>
          <w:tcPr>
            <w:tcW w:w="990" w:type="dxa"/>
            <w:gridSpan w:val="2"/>
          </w:tcPr>
          <w:p w14:paraId="2F997CAC">
            <w:pPr>
              <w:keepNext w:val="0"/>
              <w:keepLines w:val="0"/>
              <w:pageBreakBefore w:val="0"/>
              <w:widowControl w:val="0"/>
              <w:kinsoku/>
              <w:wordWrap/>
              <w:overflowPunct/>
              <w:topLinePunct w:val="0"/>
              <w:autoSpaceDE/>
              <w:autoSpaceDN/>
              <w:bidi w:val="0"/>
              <w:spacing w:before="69" w:line="320" w:lineRule="exact"/>
              <w:ind w:left="204" w:leftChars="0" w:right="59" w:rightChars="0" w:firstLine="404" w:firstLineChars="200"/>
              <w:rPr>
                <w:rFonts w:ascii="宋体" w:hAnsi="宋体" w:eastAsia="宋体" w:cs="宋体"/>
                <w:spacing w:val="-4"/>
                <w:sz w:val="21"/>
                <w:szCs w:val="21"/>
              </w:rPr>
            </w:pPr>
          </w:p>
        </w:tc>
      </w:tr>
      <w:tr w14:paraId="5B0149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6" w:hRule="atLeast"/>
        </w:trPr>
        <w:tc>
          <w:tcPr>
            <w:tcW w:w="557" w:type="dxa"/>
            <w:shd w:val="clear" w:color="auto" w:fill="auto"/>
            <w:vAlign w:val="center"/>
          </w:tcPr>
          <w:p w14:paraId="7A553177">
            <w:pPr>
              <w:keepNext w:val="0"/>
              <w:keepLines w:val="0"/>
              <w:pageBreakBefore w:val="0"/>
              <w:widowControl w:val="0"/>
              <w:kinsoku/>
              <w:wordWrap/>
              <w:overflowPunct/>
              <w:topLinePunct w:val="0"/>
              <w:autoSpaceDE/>
              <w:autoSpaceDN/>
              <w:bidi w:val="0"/>
              <w:spacing w:before="68" w:line="320" w:lineRule="exact"/>
              <w:ind w:left="0" w:leftChars="0" w:firstLine="0" w:firstLineChars="0"/>
              <w:jc w:val="center"/>
              <w:rPr>
                <w:rFonts w:hint="eastAsia" w:ascii="仿宋_GB2312" w:hAnsi="仿宋_GB2312" w:eastAsia="仿宋_GB2312" w:cs="仿宋_GB2312"/>
                <w:spacing w:val="-8"/>
                <w:sz w:val="24"/>
                <w:szCs w:val="24"/>
                <w:lang w:val="en-US" w:eastAsia="zh-CN"/>
              </w:rPr>
            </w:pPr>
            <w:r>
              <w:rPr>
                <w:rFonts w:hint="eastAsia" w:ascii="仿宋_GB2312" w:hAnsi="仿宋_GB2312" w:eastAsia="仿宋_GB2312" w:cs="仿宋_GB2312"/>
                <w:spacing w:val="-8"/>
                <w:sz w:val="24"/>
                <w:szCs w:val="24"/>
                <w:lang w:val="en-US" w:eastAsia="zh-CN"/>
              </w:rPr>
              <w:t>153</w:t>
            </w:r>
          </w:p>
        </w:tc>
        <w:tc>
          <w:tcPr>
            <w:tcW w:w="2355" w:type="dxa"/>
            <w:shd w:val="clear" w:color="auto" w:fill="auto"/>
            <w:vAlign w:val="center"/>
          </w:tcPr>
          <w:p w14:paraId="0C3C4BA1">
            <w:pPr>
              <w:keepNext w:val="0"/>
              <w:keepLines w:val="0"/>
              <w:pageBreakBefore w:val="0"/>
              <w:widowControl w:val="0"/>
              <w:kinsoku/>
              <w:wordWrap/>
              <w:overflowPunct/>
              <w:topLinePunct w:val="0"/>
              <w:autoSpaceDE/>
              <w:autoSpaceDN/>
              <w:bidi w:val="0"/>
              <w:spacing w:before="68" w:line="320" w:lineRule="exact"/>
              <w:ind w:left="240" w:leftChars="100" w:right="127" w:rightChars="53" w:firstLine="0" w:firstLineChars="0"/>
              <w:jc w:val="center"/>
              <w:rPr>
                <w:rFonts w:hint="eastAsia" w:ascii="宋体" w:hAnsi="宋体" w:eastAsia="宋体" w:cs="宋体"/>
                <w:spacing w:val="-8"/>
                <w:kern w:val="2"/>
                <w:sz w:val="21"/>
                <w:szCs w:val="21"/>
                <w:lang w:val="en-US" w:eastAsia="zh-CN" w:bidi="ar-SA"/>
              </w:rPr>
            </w:pPr>
            <w:r>
              <w:rPr>
                <w:rFonts w:hint="eastAsia" w:ascii="宋体" w:hAnsi="宋体" w:eastAsia="宋体" w:cs="宋体"/>
                <w:spacing w:val="-8"/>
                <w:sz w:val="21"/>
                <w:szCs w:val="21"/>
                <w:lang w:val="en-US" w:eastAsia="zh-CN"/>
              </w:rPr>
              <w:t>对核设施营运等单位未按照规定对有关工作人员进行技术培训和考核的行政处罚</w:t>
            </w:r>
          </w:p>
        </w:tc>
        <w:tc>
          <w:tcPr>
            <w:tcW w:w="1094" w:type="dxa"/>
            <w:shd w:val="clear" w:color="auto" w:fill="auto"/>
            <w:vAlign w:val="center"/>
          </w:tcPr>
          <w:p w14:paraId="353BE219">
            <w:pPr>
              <w:keepNext w:val="0"/>
              <w:keepLines w:val="0"/>
              <w:pageBreakBefore w:val="0"/>
              <w:widowControl w:val="0"/>
              <w:kinsoku/>
              <w:wordWrap/>
              <w:overflowPunct/>
              <w:topLinePunct w:val="0"/>
              <w:autoSpaceDE/>
              <w:autoSpaceDN/>
              <w:bidi w:val="0"/>
              <w:spacing w:before="68" w:line="320" w:lineRule="exact"/>
              <w:ind w:left="0" w:leftChars="0" w:firstLine="0" w:firstLineChars="0"/>
              <w:jc w:val="center"/>
              <w:rPr>
                <w:rFonts w:hint="eastAsia" w:ascii="仿宋_GB2312" w:hAnsi="仿宋_GB2312" w:eastAsia="仿宋_GB2312" w:cs="仿宋_GB2312"/>
                <w:spacing w:val="-8"/>
                <w:kern w:val="2"/>
                <w:sz w:val="24"/>
                <w:szCs w:val="24"/>
                <w:lang w:val="en-US" w:eastAsia="zh-CN" w:bidi="ar-SA"/>
              </w:rPr>
            </w:pPr>
            <w:r>
              <w:rPr>
                <w:rFonts w:hint="eastAsia" w:ascii="仿宋_GB2312" w:hAnsi="仿宋_GB2312" w:eastAsia="仿宋_GB2312" w:cs="仿宋_GB2312"/>
                <w:spacing w:val="-8"/>
                <w:sz w:val="24"/>
                <w:szCs w:val="24"/>
                <w:lang w:val="en-US" w:eastAsia="zh-CN"/>
              </w:rPr>
              <w:t>行政处罚</w:t>
            </w:r>
          </w:p>
        </w:tc>
        <w:tc>
          <w:tcPr>
            <w:tcW w:w="8317" w:type="dxa"/>
            <w:shd w:val="clear" w:color="auto" w:fill="auto"/>
            <w:vAlign w:val="top"/>
          </w:tcPr>
          <w:p w14:paraId="43ACD45B">
            <w:pPr>
              <w:keepNext w:val="0"/>
              <w:keepLines w:val="0"/>
              <w:pageBreakBefore w:val="0"/>
              <w:widowControl w:val="0"/>
              <w:suppressLineNumbers w:val="0"/>
              <w:kinsoku/>
              <w:wordWrap/>
              <w:overflowPunct/>
              <w:topLinePunct w:val="0"/>
              <w:autoSpaceDE/>
              <w:autoSpaceDN/>
              <w:bidi w:val="0"/>
              <w:adjustRightInd/>
              <w:snapToGrid/>
              <w:spacing w:after="0" w:afterLines="-2147483648" w:line="320" w:lineRule="exact"/>
              <w:ind w:left="240" w:leftChars="100" w:firstLine="420" w:firstLineChars="200"/>
              <w:jc w:val="both"/>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放射性废物安全管理条例》第四十二条核设施营运单位、核技术利用单位或者放射性固体废物贮存、处置单位未按照规定对有关工作人员进行技术培训和考核的，由县级以上人民政府环境保护主管部门责令限期改正，处1万元以上5万元以下的罚款；逾期不改正的，处5万元以上10万元以下的罚款。</w:t>
            </w:r>
          </w:p>
        </w:tc>
        <w:tc>
          <w:tcPr>
            <w:tcW w:w="1129" w:type="dxa"/>
          </w:tcPr>
          <w:p w14:paraId="62615988">
            <w:pPr>
              <w:keepNext w:val="0"/>
              <w:keepLines w:val="0"/>
              <w:pageBreakBefore w:val="0"/>
              <w:widowControl w:val="0"/>
              <w:kinsoku/>
              <w:wordWrap/>
              <w:overflowPunct/>
              <w:topLinePunct w:val="0"/>
              <w:autoSpaceDE/>
              <w:autoSpaceDN/>
              <w:bidi w:val="0"/>
              <w:spacing w:before="69" w:line="320" w:lineRule="exact"/>
              <w:ind w:left="49" w:leftChars="0" w:right="26" w:rightChars="0" w:firstLine="404" w:firstLineChars="200"/>
              <w:rPr>
                <w:rFonts w:ascii="宋体" w:hAnsi="宋体" w:eastAsia="宋体" w:cs="宋体"/>
                <w:spacing w:val="-4"/>
                <w:sz w:val="21"/>
                <w:szCs w:val="21"/>
              </w:rPr>
            </w:pPr>
          </w:p>
        </w:tc>
        <w:tc>
          <w:tcPr>
            <w:tcW w:w="990" w:type="dxa"/>
            <w:gridSpan w:val="2"/>
          </w:tcPr>
          <w:p w14:paraId="730C4C42">
            <w:pPr>
              <w:keepNext w:val="0"/>
              <w:keepLines w:val="0"/>
              <w:pageBreakBefore w:val="0"/>
              <w:widowControl w:val="0"/>
              <w:kinsoku/>
              <w:wordWrap/>
              <w:overflowPunct/>
              <w:topLinePunct w:val="0"/>
              <w:autoSpaceDE/>
              <w:autoSpaceDN/>
              <w:bidi w:val="0"/>
              <w:spacing w:before="69" w:line="320" w:lineRule="exact"/>
              <w:ind w:left="204" w:leftChars="0" w:right="59" w:rightChars="0" w:firstLine="404" w:firstLineChars="200"/>
              <w:rPr>
                <w:rFonts w:ascii="宋体" w:hAnsi="宋体" w:eastAsia="宋体" w:cs="宋体"/>
                <w:spacing w:val="-4"/>
                <w:sz w:val="21"/>
                <w:szCs w:val="21"/>
              </w:rPr>
            </w:pPr>
          </w:p>
        </w:tc>
      </w:tr>
      <w:tr w14:paraId="609E58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7" w:hRule="atLeast"/>
        </w:trPr>
        <w:tc>
          <w:tcPr>
            <w:tcW w:w="557" w:type="dxa"/>
            <w:shd w:val="clear" w:color="auto" w:fill="auto"/>
            <w:vAlign w:val="center"/>
          </w:tcPr>
          <w:p w14:paraId="11162FB1">
            <w:pPr>
              <w:keepNext w:val="0"/>
              <w:keepLines w:val="0"/>
              <w:pageBreakBefore w:val="0"/>
              <w:widowControl w:val="0"/>
              <w:kinsoku/>
              <w:wordWrap/>
              <w:overflowPunct/>
              <w:topLinePunct w:val="0"/>
              <w:autoSpaceDE/>
              <w:autoSpaceDN/>
              <w:bidi w:val="0"/>
              <w:spacing w:before="68" w:line="320" w:lineRule="exact"/>
              <w:ind w:left="0" w:leftChars="0" w:firstLine="0" w:firstLineChars="0"/>
              <w:jc w:val="center"/>
              <w:rPr>
                <w:rFonts w:hint="eastAsia" w:ascii="仿宋_GB2312" w:hAnsi="仿宋_GB2312" w:eastAsia="仿宋_GB2312" w:cs="仿宋_GB2312"/>
                <w:spacing w:val="-8"/>
                <w:sz w:val="24"/>
                <w:szCs w:val="24"/>
                <w:lang w:val="en-US" w:eastAsia="zh-CN"/>
              </w:rPr>
            </w:pPr>
            <w:r>
              <w:rPr>
                <w:rFonts w:hint="eastAsia" w:ascii="仿宋_GB2312" w:hAnsi="仿宋_GB2312" w:eastAsia="仿宋_GB2312" w:cs="仿宋_GB2312"/>
                <w:spacing w:val="-8"/>
                <w:sz w:val="24"/>
                <w:szCs w:val="24"/>
                <w:lang w:val="en-US" w:eastAsia="zh-CN"/>
              </w:rPr>
              <w:t>154</w:t>
            </w:r>
          </w:p>
        </w:tc>
        <w:tc>
          <w:tcPr>
            <w:tcW w:w="2355" w:type="dxa"/>
            <w:shd w:val="clear" w:color="auto" w:fill="auto"/>
            <w:vAlign w:val="center"/>
          </w:tcPr>
          <w:p w14:paraId="3BDA7B06">
            <w:pPr>
              <w:keepNext w:val="0"/>
              <w:keepLines w:val="0"/>
              <w:pageBreakBefore w:val="0"/>
              <w:widowControl w:val="0"/>
              <w:kinsoku/>
              <w:wordWrap/>
              <w:overflowPunct/>
              <w:topLinePunct w:val="0"/>
              <w:autoSpaceDE/>
              <w:autoSpaceDN/>
              <w:bidi w:val="0"/>
              <w:spacing w:before="68" w:line="320" w:lineRule="exact"/>
              <w:ind w:left="240" w:leftChars="100" w:right="127" w:rightChars="53" w:firstLine="0" w:firstLineChars="0"/>
              <w:jc w:val="center"/>
              <w:rPr>
                <w:rFonts w:hint="eastAsia" w:ascii="宋体" w:hAnsi="宋体" w:eastAsia="宋体" w:cs="宋体"/>
                <w:spacing w:val="-8"/>
                <w:kern w:val="2"/>
                <w:sz w:val="21"/>
                <w:szCs w:val="21"/>
                <w:lang w:val="en-US" w:eastAsia="zh-CN" w:bidi="ar-SA"/>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对在放射性物品运输中造成核与辐射事故的行政处罚</w:t>
            </w:r>
          </w:p>
        </w:tc>
        <w:tc>
          <w:tcPr>
            <w:tcW w:w="1094" w:type="dxa"/>
            <w:shd w:val="clear" w:color="auto" w:fill="auto"/>
            <w:vAlign w:val="center"/>
          </w:tcPr>
          <w:p w14:paraId="475B1B41">
            <w:pPr>
              <w:keepNext w:val="0"/>
              <w:keepLines w:val="0"/>
              <w:pageBreakBefore w:val="0"/>
              <w:widowControl w:val="0"/>
              <w:kinsoku/>
              <w:wordWrap/>
              <w:overflowPunct/>
              <w:topLinePunct w:val="0"/>
              <w:autoSpaceDE/>
              <w:autoSpaceDN/>
              <w:bidi w:val="0"/>
              <w:spacing w:before="68" w:line="320" w:lineRule="exact"/>
              <w:ind w:left="0" w:leftChars="0" w:firstLine="0" w:firstLineChars="0"/>
              <w:jc w:val="center"/>
              <w:rPr>
                <w:rFonts w:hint="eastAsia" w:ascii="仿宋_GB2312" w:hAnsi="仿宋_GB2312" w:eastAsia="仿宋_GB2312" w:cs="仿宋_GB2312"/>
                <w:spacing w:val="-8"/>
                <w:kern w:val="2"/>
                <w:sz w:val="24"/>
                <w:szCs w:val="24"/>
                <w:lang w:val="en-US" w:eastAsia="zh-CN" w:bidi="ar-SA"/>
              </w:rPr>
            </w:pPr>
            <w:r>
              <w:rPr>
                <w:rFonts w:hint="eastAsia" w:ascii="仿宋_GB2312" w:hAnsi="仿宋_GB2312" w:eastAsia="仿宋_GB2312" w:cs="仿宋_GB2312"/>
                <w:spacing w:val="-8"/>
                <w:sz w:val="24"/>
                <w:szCs w:val="24"/>
                <w:lang w:val="en-US" w:eastAsia="zh-CN"/>
              </w:rPr>
              <w:t>行政处罚</w:t>
            </w:r>
          </w:p>
        </w:tc>
        <w:tc>
          <w:tcPr>
            <w:tcW w:w="8317" w:type="dxa"/>
            <w:shd w:val="clear" w:color="auto" w:fill="auto"/>
            <w:vAlign w:val="top"/>
          </w:tcPr>
          <w:p w14:paraId="31E9E059">
            <w:pPr>
              <w:keepNext w:val="0"/>
              <w:keepLines w:val="0"/>
              <w:pageBreakBefore w:val="0"/>
              <w:widowControl w:val="0"/>
              <w:suppressLineNumbers w:val="0"/>
              <w:kinsoku/>
              <w:wordWrap/>
              <w:overflowPunct/>
              <w:topLinePunct w:val="0"/>
              <w:autoSpaceDE/>
              <w:autoSpaceDN/>
              <w:bidi w:val="0"/>
              <w:adjustRightInd/>
              <w:snapToGrid/>
              <w:spacing w:after="0" w:afterLines="-2147483648" w:line="320" w:lineRule="exact"/>
              <w:ind w:left="240" w:leftChars="100" w:firstLine="420" w:firstLineChars="200"/>
              <w:jc w:val="both"/>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放射性物品运输安全管理条例》第六十五条第一款违反本条例规定，在放射性物品运输中造成核与辐射事故的，由县级以上地方人民政府环境保护主管部门处以罚款，罚款数额按照核与辐射事故造成的直接损失的20%计算；构成犯罪的，依法追究刑事责任。</w:t>
            </w:r>
          </w:p>
        </w:tc>
        <w:tc>
          <w:tcPr>
            <w:tcW w:w="1129" w:type="dxa"/>
          </w:tcPr>
          <w:p w14:paraId="38CF9A84">
            <w:pPr>
              <w:keepNext w:val="0"/>
              <w:keepLines w:val="0"/>
              <w:pageBreakBefore w:val="0"/>
              <w:widowControl w:val="0"/>
              <w:kinsoku/>
              <w:wordWrap/>
              <w:overflowPunct/>
              <w:topLinePunct w:val="0"/>
              <w:autoSpaceDE/>
              <w:autoSpaceDN/>
              <w:bidi w:val="0"/>
              <w:spacing w:before="69" w:line="320" w:lineRule="exact"/>
              <w:ind w:left="49" w:leftChars="0" w:right="26" w:rightChars="0" w:firstLine="404" w:firstLineChars="200"/>
              <w:rPr>
                <w:rFonts w:ascii="宋体" w:hAnsi="宋体" w:eastAsia="宋体" w:cs="宋体"/>
                <w:spacing w:val="-4"/>
                <w:sz w:val="21"/>
                <w:szCs w:val="21"/>
              </w:rPr>
            </w:pPr>
          </w:p>
        </w:tc>
        <w:tc>
          <w:tcPr>
            <w:tcW w:w="990" w:type="dxa"/>
            <w:gridSpan w:val="2"/>
          </w:tcPr>
          <w:p w14:paraId="4D0B042B">
            <w:pPr>
              <w:keepNext w:val="0"/>
              <w:keepLines w:val="0"/>
              <w:pageBreakBefore w:val="0"/>
              <w:widowControl w:val="0"/>
              <w:kinsoku/>
              <w:wordWrap/>
              <w:overflowPunct/>
              <w:topLinePunct w:val="0"/>
              <w:autoSpaceDE/>
              <w:autoSpaceDN/>
              <w:bidi w:val="0"/>
              <w:spacing w:before="69" w:line="320" w:lineRule="exact"/>
              <w:ind w:left="204" w:leftChars="0" w:right="59" w:rightChars="0" w:firstLine="404" w:firstLineChars="200"/>
              <w:rPr>
                <w:rFonts w:ascii="宋体" w:hAnsi="宋体" w:eastAsia="宋体" w:cs="宋体"/>
                <w:spacing w:val="-4"/>
                <w:sz w:val="21"/>
                <w:szCs w:val="21"/>
              </w:rPr>
            </w:pPr>
          </w:p>
        </w:tc>
      </w:tr>
      <w:tr w14:paraId="2118E0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14" w:hRule="atLeast"/>
        </w:trPr>
        <w:tc>
          <w:tcPr>
            <w:tcW w:w="557" w:type="dxa"/>
            <w:shd w:val="clear" w:color="auto" w:fill="auto"/>
            <w:vAlign w:val="center"/>
          </w:tcPr>
          <w:p w14:paraId="219E52A1">
            <w:pPr>
              <w:keepNext w:val="0"/>
              <w:keepLines w:val="0"/>
              <w:pageBreakBefore w:val="0"/>
              <w:widowControl w:val="0"/>
              <w:kinsoku/>
              <w:wordWrap/>
              <w:overflowPunct/>
              <w:topLinePunct w:val="0"/>
              <w:autoSpaceDE/>
              <w:autoSpaceDN/>
              <w:bidi w:val="0"/>
              <w:spacing w:before="68" w:line="320" w:lineRule="exact"/>
              <w:ind w:left="0" w:leftChars="0" w:firstLine="0" w:firstLineChars="0"/>
              <w:jc w:val="center"/>
              <w:rPr>
                <w:rFonts w:hint="eastAsia" w:ascii="仿宋_GB2312" w:hAnsi="仿宋_GB2312" w:eastAsia="仿宋_GB2312" w:cs="仿宋_GB2312"/>
                <w:spacing w:val="-8"/>
                <w:sz w:val="24"/>
                <w:szCs w:val="24"/>
                <w:lang w:val="en-US" w:eastAsia="zh-CN"/>
              </w:rPr>
            </w:pPr>
            <w:r>
              <w:rPr>
                <w:rFonts w:hint="eastAsia" w:ascii="仿宋_GB2312" w:hAnsi="仿宋_GB2312" w:eastAsia="仿宋_GB2312" w:cs="仿宋_GB2312"/>
                <w:spacing w:val="-8"/>
                <w:sz w:val="24"/>
                <w:szCs w:val="24"/>
                <w:lang w:val="en-US" w:eastAsia="zh-CN"/>
              </w:rPr>
              <w:t>155</w:t>
            </w:r>
          </w:p>
        </w:tc>
        <w:tc>
          <w:tcPr>
            <w:tcW w:w="2355" w:type="dxa"/>
            <w:shd w:val="clear" w:color="auto" w:fill="auto"/>
            <w:vAlign w:val="center"/>
          </w:tcPr>
          <w:p w14:paraId="73821D1E">
            <w:pPr>
              <w:keepNext w:val="0"/>
              <w:keepLines w:val="0"/>
              <w:pageBreakBefore w:val="0"/>
              <w:widowControl w:val="0"/>
              <w:kinsoku/>
              <w:wordWrap/>
              <w:overflowPunct/>
              <w:topLinePunct w:val="0"/>
              <w:autoSpaceDE/>
              <w:autoSpaceDN/>
              <w:bidi w:val="0"/>
              <w:spacing w:before="68" w:line="320" w:lineRule="exact"/>
              <w:ind w:left="240" w:leftChars="100" w:right="127" w:rightChars="53" w:firstLine="0" w:firstLineChars="0"/>
              <w:jc w:val="center"/>
              <w:rPr>
                <w:rFonts w:hint="eastAsia" w:ascii="宋体" w:hAnsi="宋体" w:eastAsia="宋体" w:cs="宋体"/>
                <w:spacing w:val="-8"/>
                <w:kern w:val="2"/>
                <w:sz w:val="21"/>
                <w:szCs w:val="21"/>
                <w:lang w:val="en-US" w:eastAsia="zh-CN" w:bidi="ar-SA"/>
              </w:rPr>
            </w:pPr>
            <w:r>
              <w:rPr>
                <w:rFonts w:hint="eastAsia" w:ascii="宋体" w:hAnsi="宋体" w:eastAsia="宋体" w:cs="宋体"/>
                <w:spacing w:val="-8"/>
                <w:sz w:val="21"/>
                <w:szCs w:val="21"/>
                <w:lang w:val="en-US" w:eastAsia="zh-CN"/>
              </w:rPr>
              <w:t>对托运人、承运人在放射性物品运输中未按照要求做好事故应急工作并报告事故的行政处罚</w:t>
            </w:r>
          </w:p>
        </w:tc>
        <w:tc>
          <w:tcPr>
            <w:tcW w:w="1094" w:type="dxa"/>
            <w:shd w:val="clear" w:color="auto" w:fill="auto"/>
            <w:vAlign w:val="center"/>
          </w:tcPr>
          <w:p w14:paraId="4FD4DE74">
            <w:pPr>
              <w:keepNext w:val="0"/>
              <w:keepLines w:val="0"/>
              <w:pageBreakBefore w:val="0"/>
              <w:widowControl w:val="0"/>
              <w:kinsoku/>
              <w:wordWrap/>
              <w:overflowPunct/>
              <w:topLinePunct w:val="0"/>
              <w:autoSpaceDE/>
              <w:autoSpaceDN/>
              <w:bidi w:val="0"/>
              <w:spacing w:before="68" w:line="320" w:lineRule="exact"/>
              <w:ind w:left="0" w:leftChars="0" w:firstLine="0" w:firstLineChars="0"/>
              <w:jc w:val="center"/>
              <w:rPr>
                <w:rFonts w:hint="eastAsia" w:ascii="仿宋_GB2312" w:hAnsi="仿宋_GB2312" w:eastAsia="仿宋_GB2312" w:cs="仿宋_GB2312"/>
                <w:spacing w:val="-8"/>
                <w:kern w:val="2"/>
                <w:sz w:val="24"/>
                <w:szCs w:val="24"/>
                <w:lang w:val="en-US" w:eastAsia="zh-CN" w:bidi="ar-SA"/>
              </w:rPr>
            </w:pPr>
            <w:r>
              <w:rPr>
                <w:rFonts w:hint="eastAsia" w:ascii="仿宋_GB2312" w:hAnsi="仿宋_GB2312" w:eastAsia="仿宋_GB2312" w:cs="仿宋_GB2312"/>
                <w:spacing w:val="-8"/>
                <w:sz w:val="24"/>
                <w:szCs w:val="24"/>
                <w:lang w:val="en-US" w:eastAsia="zh-CN"/>
              </w:rPr>
              <w:t>行政处罚</w:t>
            </w:r>
          </w:p>
        </w:tc>
        <w:tc>
          <w:tcPr>
            <w:tcW w:w="8317" w:type="dxa"/>
            <w:shd w:val="clear" w:color="auto" w:fill="auto"/>
            <w:vAlign w:val="top"/>
          </w:tcPr>
          <w:p w14:paraId="3AFCA789">
            <w:pPr>
              <w:keepNext w:val="0"/>
              <w:keepLines w:val="0"/>
              <w:pageBreakBefore w:val="0"/>
              <w:widowControl w:val="0"/>
              <w:suppressLineNumbers w:val="0"/>
              <w:kinsoku/>
              <w:wordWrap/>
              <w:overflowPunct/>
              <w:topLinePunct w:val="0"/>
              <w:autoSpaceDE/>
              <w:autoSpaceDN/>
              <w:bidi w:val="0"/>
              <w:adjustRightInd/>
              <w:snapToGrid/>
              <w:spacing w:after="0" w:afterLines="-2147483648" w:line="320" w:lineRule="exact"/>
              <w:ind w:left="240" w:leftChars="100" w:firstLine="420" w:firstLineChars="200"/>
              <w:jc w:val="both"/>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放射性物品运输安全管理条例》第六十五条第二款托运人、承运人未按照核与辐射事故应急响应指南的要求，做好事故应急工作并报告事故的，由县级以上地方人民政府环境保护主管部门处5万元以上20万元以下的罚款。</w:t>
            </w:r>
          </w:p>
        </w:tc>
        <w:tc>
          <w:tcPr>
            <w:tcW w:w="1129" w:type="dxa"/>
          </w:tcPr>
          <w:p w14:paraId="045A4ADA">
            <w:pPr>
              <w:keepNext w:val="0"/>
              <w:keepLines w:val="0"/>
              <w:pageBreakBefore w:val="0"/>
              <w:widowControl w:val="0"/>
              <w:kinsoku/>
              <w:wordWrap/>
              <w:overflowPunct/>
              <w:topLinePunct w:val="0"/>
              <w:autoSpaceDE/>
              <w:autoSpaceDN/>
              <w:bidi w:val="0"/>
              <w:spacing w:before="69" w:line="320" w:lineRule="exact"/>
              <w:ind w:left="49" w:leftChars="0" w:right="26" w:rightChars="0" w:firstLine="404" w:firstLineChars="200"/>
              <w:rPr>
                <w:rFonts w:ascii="宋体" w:hAnsi="宋体" w:eastAsia="宋体" w:cs="宋体"/>
                <w:spacing w:val="-4"/>
                <w:sz w:val="21"/>
                <w:szCs w:val="21"/>
              </w:rPr>
            </w:pPr>
          </w:p>
        </w:tc>
        <w:tc>
          <w:tcPr>
            <w:tcW w:w="990" w:type="dxa"/>
            <w:gridSpan w:val="2"/>
          </w:tcPr>
          <w:p w14:paraId="24E70A75">
            <w:pPr>
              <w:keepNext w:val="0"/>
              <w:keepLines w:val="0"/>
              <w:pageBreakBefore w:val="0"/>
              <w:widowControl w:val="0"/>
              <w:kinsoku/>
              <w:wordWrap/>
              <w:overflowPunct/>
              <w:topLinePunct w:val="0"/>
              <w:autoSpaceDE/>
              <w:autoSpaceDN/>
              <w:bidi w:val="0"/>
              <w:spacing w:before="69" w:line="320" w:lineRule="exact"/>
              <w:ind w:left="204" w:leftChars="0" w:right="59" w:rightChars="0" w:firstLine="404" w:firstLineChars="200"/>
              <w:rPr>
                <w:rFonts w:ascii="宋体" w:hAnsi="宋体" w:eastAsia="宋体" w:cs="宋体"/>
                <w:spacing w:val="-4"/>
                <w:sz w:val="21"/>
                <w:szCs w:val="21"/>
              </w:rPr>
            </w:pPr>
          </w:p>
        </w:tc>
      </w:tr>
      <w:tr w14:paraId="33AD55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6" w:hRule="atLeast"/>
        </w:trPr>
        <w:tc>
          <w:tcPr>
            <w:tcW w:w="557" w:type="dxa"/>
            <w:shd w:val="clear" w:color="auto" w:fill="auto"/>
            <w:vAlign w:val="center"/>
          </w:tcPr>
          <w:p w14:paraId="66055991">
            <w:pPr>
              <w:keepNext w:val="0"/>
              <w:keepLines w:val="0"/>
              <w:pageBreakBefore w:val="0"/>
              <w:widowControl w:val="0"/>
              <w:kinsoku/>
              <w:wordWrap/>
              <w:overflowPunct/>
              <w:topLinePunct w:val="0"/>
              <w:autoSpaceDE/>
              <w:autoSpaceDN/>
              <w:bidi w:val="0"/>
              <w:spacing w:before="68" w:line="320" w:lineRule="exact"/>
              <w:ind w:left="0" w:leftChars="0" w:firstLine="0" w:firstLineChars="0"/>
              <w:jc w:val="center"/>
              <w:rPr>
                <w:rFonts w:hint="eastAsia" w:ascii="仿宋_GB2312" w:hAnsi="仿宋_GB2312" w:eastAsia="仿宋_GB2312" w:cs="仿宋_GB2312"/>
                <w:spacing w:val="-8"/>
                <w:sz w:val="24"/>
                <w:szCs w:val="24"/>
                <w:lang w:val="en-US" w:eastAsia="zh-CN"/>
              </w:rPr>
            </w:pPr>
            <w:r>
              <w:rPr>
                <w:rFonts w:hint="eastAsia" w:ascii="仿宋_GB2312" w:hAnsi="仿宋_GB2312" w:eastAsia="仿宋_GB2312" w:cs="仿宋_GB2312"/>
                <w:spacing w:val="-8"/>
                <w:sz w:val="24"/>
                <w:szCs w:val="24"/>
                <w:lang w:val="en-US" w:eastAsia="zh-CN"/>
              </w:rPr>
              <w:t>156</w:t>
            </w:r>
          </w:p>
        </w:tc>
        <w:tc>
          <w:tcPr>
            <w:tcW w:w="2355" w:type="dxa"/>
            <w:shd w:val="clear" w:color="auto" w:fill="auto"/>
            <w:vAlign w:val="center"/>
          </w:tcPr>
          <w:p w14:paraId="31AEE0F4">
            <w:pPr>
              <w:keepNext w:val="0"/>
              <w:keepLines w:val="0"/>
              <w:pageBreakBefore w:val="0"/>
              <w:widowControl w:val="0"/>
              <w:kinsoku/>
              <w:wordWrap/>
              <w:overflowPunct/>
              <w:topLinePunct w:val="0"/>
              <w:autoSpaceDE/>
              <w:autoSpaceDN/>
              <w:bidi w:val="0"/>
              <w:spacing w:before="68" w:line="320" w:lineRule="exact"/>
              <w:ind w:left="240" w:leftChars="100" w:right="127" w:rightChars="53" w:firstLine="0" w:firstLineChars="0"/>
              <w:jc w:val="center"/>
              <w:rPr>
                <w:rFonts w:hint="eastAsia" w:ascii="宋体" w:hAnsi="宋体" w:eastAsia="宋体" w:cs="宋体"/>
                <w:spacing w:val="-8"/>
                <w:kern w:val="2"/>
                <w:sz w:val="21"/>
                <w:szCs w:val="21"/>
                <w:lang w:val="en-US" w:eastAsia="zh-CN" w:bidi="ar-SA"/>
              </w:rPr>
            </w:pPr>
            <w:r>
              <w:rPr>
                <w:rFonts w:hint="eastAsia" w:ascii="宋体" w:hAnsi="宋体" w:eastAsia="宋体" w:cs="宋体"/>
                <w:spacing w:val="-8"/>
                <w:sz w:val="21"/>
                <w:szCs w:val="21"/>
                <w:lang w:val="en-US" w:eastAsia="zh-CN"/>
              </w:rPr>
              <w:t>对不按照规定设置放射性标识、标志、中文警示说明等行为的行政处罚</w:t>
            </w:r>
          </w:p>
        </w:tc>
        <w:tc>
          <w:tcPr>
            <w:tcW w:w="1094" w:type="dxa"/>
            <w:shd w:val="clear" w:color="auto" w:fill="auto"/>
            <w:vAlign w:val="center"/>
          </w:tcPr>
          <w:p w14:paraId="3A2B2D42">
            <w:pPr>
              <w:keepNext w:val="0"/>
              <w:keepLines w:val="0"/>
              <w:pageBreakBefore w:val="0"/>
              <w:widowControl w:val="0"/>
              <w:kinsoku/>
              <w:wordWrap/>
              <w:overflowPunct/>
              <w:topLinePunct w:val="0"/>
              <w:autoSpaceDE/>
              <w:autoSpaceDN/>
              <w:bidi w:val="0"/>
              <w:spacing w:before="68" w:line="320" w:lineRule="exact"/>
              <w:ind w:left="0" w:leftChars="0" w:firstLine="0" w:firstLineChars="0"/>
              <w:jc w:val="center"/>
              <w:rPr>
                <w:rFonts w:hint="eastAsia" w:ascii="仿宋_GB2312" w:hAnsi="仿宋_GB2312" w:eastAsia="仿宋_GB2312" w:cs="仿宋_GB2312"/>
                <w:spacing w:val="-8"/>
                <w:kern w:val="2"/>
                <w:sz w:val="24"/>
                <w:szCs w:val="24"/>
                <w:lang w:val="en-US" w:eastAsia="zh-CN" w:bidi="ar-SA"/>
              </w:rPr>
            </w:pPr>
            <w:r>
              <w:rPr>
                <w:rFonts w:hint="eastAsia" w:ascii="仿宋_GB2312" w:hAnsi="仿宋_GB2312" w:eastAsia="仿宋_GB2312" w:cs="仿宋_GB2312"/>
                <w:spacing w:val="-8"/>
                <w:sz w:val="24"/>
                <w:szCs w:val="24"/>
                <w:lang w:val="en-US" w:eastAsia="zh-CN"/>
              </w:rPr>
              <w:t>行政处罚</w:t>
            </w:r>
          </w:p>
        </w:tc>
        <w:tc>
          <w:tcPr>
            <w:tcW w:w="8317" w:type="dxa"/>
            <w:shd w:val="clear" w:color="auto" w:fill="auto"/>
            <w:vAlign w:val="top"/>
          </w:tcPr>
          <w:p w14:paraId="3336C271">
            <w:pPr>
              <w:keepNext w:val="0"/>
              <w:keepLines w:val="0"/>
              <w:pageBreakBefore w:val="0"/>
              <w:widowControl w:val="0"/>
              <w:suppressLineNumbers w:val="0"/>
              <w:kinsoku/>
              <w:wordWrap/>
              <w:overflowPunct/>
              <w:topLinePunct w:val="0"/>
              <w:autoSpaceDE/>
              <w:autoSpaceDN/>
              <w:bidi w:val="0"/>
              <w:adjustRightInd/>
              <w:snapToGrid/>
              <w:spacing w:after="0" w:afterLines="-2147483648" w:line="320" w:lineRule="exact"/>
              <w:ind w:left="240" w:leftChars="100" w:firstLine="420" w:firstLineChars="200"/>
              <w:jc w:val="both"/>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中华人民共和国放射性污染防治法》第五十五条违反本法规定，有下列行为之一的，由县级以上人民政府环境保护行政主管部门或者其他有关部门依据职权责令限期改正；逾期不改正的，责令停产停业，并处二万元以上十万元以下罚款；构成犯罪的，依法追究刑事责任：（一）不按照规定设置放射性标识、标志、中文警示说明的；（二）不按照规定建立健全安全保卫制度和制定事故应急计划或者应急措施的；（三）不按照规定报告放射源丢失、被盗情况或者放射性污染事故的。</w:t>
            </w:r>
          </w:p>
        </w:tc>
        <w:tc>
          <w:tcPr>
            <w:tcW w:w="1129" w:type="dxa"/>
          </w:tcPr>
          <w:p w14:paraId="205323BD">
            <w:pPr>
              <w:keepNext w:val="0"/>
              <w:keepLines w:val="0"/>
              <w:pageBreakBefore w:val="0"/>
              <w:widowControl w:val="0"/>
              <w:kinsoku/>
              <w:wordWrap/>
              <w:overflowPunct/>
              <w:topLinePunct w:val="0"/>
              <w:autoSpaceDE/>
              <w:autoSpaceDN/>
              <w:bidi w:val="0"/>
              <w:spacing w:before="69" w:line="320" w:lineRule="exact"/>
              <w:ind w:left="49" w:leftChars="0" w:right="26" w:rightChars="0" w:firstLine="404" w:firstLineChars="200"/>
              <w:rPr>
                <w:rFonts w:ascii="宋体" w:hAnsi="宋体" w:eastAsia="宋体" w:cs="宋体"/>
                <w:spacing w:val="-4"/>
                <w:sz w:val="21"/>
                <w:szCs w:val="21"/>
              </w:rPr>
            </w:pPr>
          </w:p>
        </w:tc>
        <w:tc>
          <w:tcPr>
            <w:tcW w:w="990" w:type="dxa"/>
            <w:gridSpan w:val="2"/>
          </w:tcPr>
          <w:p w14:paraId="2894544B">
            <w:pPr>
              <w:keepNext w:val="0"/>
              <w:keepLines w:val="0"/>
              <w:pageBreakBefore w:val="0"/>
              <w:widowControl w:val="0"/>
              <w:kinsoku/>
              <w:wordWrap/>
              <w:overflowPunct/>
              <w:topLinePunct w:val="0"/>
              <w:autoSpaceDE/>
              <w:autoSpaceDN/>
              <w:bidi w:val="0"/>
              <w:spacing w:before="69" w:line="320" w:lineRule="exact"/>
              <w:ind w:left="204" w:leftChars="0" w:right="59" w:rightChars="0" w:firstLine="404" w:firstLineChars="200"/>
              <w:rPr>
                <w:rFonts w:ascii="宋体" w:hAnsi="宋体" w:eastAsia="宋体" w:cs="宋体"/>
                <w:spacing w:val="-4"/>
                <w:sz w:val="21"/>
                <w:szCs w:val="21"/>
              </w:rPr>
            </w:pPr>
          </w:p>
        </w:tc>
      </w:tr>
      <w:tr w14:paraId="44C30A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6" w:hRule="atLeast"/>
        </w:trPr>
        <w:tc>
          <w:tcPr>
            <w:tcW w:w="557" w:type="dxa"/>
            <w:shd w:val="clear" w:color="auto" w:fill="auto"/>
            <w:vAlign w:val="center"/>
          </w:tcPr>
          <w:p w14:paraId="3B225112">
            <w:pPr>
              <w:keepNext w:val="0"/>
              <w:keepLines w:val="0"/>
              <w:pageBreakBefore w:val="0"/>
              <w:widowControl w:val="0"/>
              <w:kinsoku/>
              <w:wordWrap/>
              <w:overflowPunct/>
              <w:topLinePunct w:val="0"/>
              <w:autoSpaceDE/>
              <w:autoSpaceDN/>
              <w:bidi w:val="0"/>
              <w:spacing w:before="68" w:line="320" w:lineRule="exact"/>
              <w:ind w:left="0" w:leftChars="0" w:firstLine="0" w:firstLineChars="0"/>
              <w:jc w:val="center"/>
              <w:rPr>
                <w:rFonts w:hint="eastAsia" w:ascii="仿宋_GB2312" w:hAnsi="仿宋_GB2312" w:eastAsia="仿宋_GB2312" w:cs="仿宋_GB2312"/>
                <w:spacing w:val="-8"/>
                <w:sz w:val="24"/>
                <w:szCs w:val="24"/>
                <w:lang w:val="en-US" w:eastAsia="zh-CN"/>
              </w:rPr>
            </w:pPr>
            <w:r>
              <w:rPr>
                <w:rFonts w:hint="eastAsia" w:ascii="仿宋_GB2312" w:hAnsi="仿宋_GB2312" w:eastAsia="仿宋_GB2312" w:cs="仿宋_GB2312"/>
                <w:spacing w:val="-8"/>
                <w:sz w:val="24"/>
                <w:szCs w:val="24"/>
                <w:lang w:val="en-US" w:eastAsia="zh-CN"/>
              </w:rPr>
              <w:t>157</w:t>
            </w:r>
          </w:p>
        </w:tc>
        <w:tc>
          <w:tcPr>
            <w:tcW w:w="2355" w:type="dxa"/>
            <w:shd w:val="clear" w:color="auto" w:fill="auto"/>
            <w:vAlign w:val="center"/>
          </w:tcPr>
          <w:p w14:paraId="53BD7BC9">
            <w:pPr>
              <w:keepNext w:val="0"/>
              <w:keepLines w:val="0"/>
              <w:pageBreakBefore w:val="0"/>
              <w:widowControl w:val="0"/>
              <w:kinsoku/>
              <w:wordWrap/>
              <w:overflowPunct/>
              <w:topLinePunct w:val="0"/>
              <w:autoSpaceDE/>
              <w:autoSpaceDN/>
              <w:bidi w:val="0"/>
              <w:spacing w:before="68" w:line="320" w:lineRule="exact"/>
              <w:ind w:left="240" w:leftChars="100" w:right="127" w:rightChars="53" w:firstLine="0" w:firstLineChars="0"/>
              <w:jc w:val="center"/>
              <w:rPr>
                <w:rFonts w:hint="eastAsia" w:ascii="宋体" w:hAnsi="宋体" w:eastAsia="宋体" w:cs="宋体"/>
                <w:spacing w:val="-8"/>
                <w:kern w:val="2"/>
                <w:sz w:val="21"/>
                <w:szCs w:val="21"/>
                <w:lang w:val="en-US" w:eastAsia="zh-CN" w:bidi="ar-SA"/>
              </w:rPr>
            </w:pPr>
            <w:r>
              <w:rPr>
                <w:rFonts w:hint="eastAsia" w:ascii="宋体" w:hAnsi="宋体" w:eastAsia="宋体" w:cs="宋体"/>
                <w:spacing w:val="-8"/>
                <w:sz w:val="21"/>
                <w:szCs w:val="21"/>
                <w:lang w:val="en-US" w:eastAsia="zh-CN"/>
              </w:rPr>
              <w:t>对调试单位未按规定要求进行调试，导致工作人员和公众受到意外照射，尚未造成辐射事故的行政处罚</w:t>
            </w:r>
          </w:p>
        </w:tc>
        <w:tc>
          <w:tcPr>
            <w:tcW w:w="1094" w:type="dxa"/>
            <w:shd w:val="clear" w:color="auto" w:fill="auto"/>
            <w:vAlign w:val="center"/>
          </w:tcPr>
          <w:p w14:paraId="7DB80D95">
            <w:pPr>
              <w:keepNext w:val="0"/>
              <w:keepLines w:val="0"/>
              <w:pageBreakBefore w:val="0"/>
              <w:widowControl w:val="0"/>
              <w:kinsoku/>
              <w:wordWrap/>
              <w:overflowPunct/>
              <w:topLinePunct w:val="0"/>
              <w:autoSpaceDE/>
              <w:autoSpaceDN/>
              <w:bidi w:val="0"/>
              <w:spacing w:before="68" w:line="320" w:lineRule="exact"/>
              <w:ind w:left="0" w:leftChars="0" w:firstLine="0" w:firstLineChars="0"/>
              <w:jc w:val="center"/>
              <w:rPr>
                <w:rFonts w:hint="eastAsia" w:ascii="仿宋_GB2312" w:hAnsi="仿宋_GB2312" w:eastAsia="仿宋_GB2312" w:cs="仿宋_GB2312"/>
                <w:spacing w:val="-8"/>
                <w:kern w:val="2"/>
                <w:sz w:val="24"/>
                <w:szCs w:val="24"/>
                <w:lang w:val="en-US" w:eastAsia="zh-CN" w:bidi="ar-SA"/>
              </w:rPr>
            </w:pPr>
            <w:r>
              <w:rPr>
                <w:rFonts w:hint="eastAsia" w:ascii="仿宋_GB2312" w:hAnsi="仿宋_GB2312" w:eastAsia="仿宋_GB2312" w:cs="仿宋_GB2312"/>
                <w:spacing w:val="-8"/>
                <w:sz w:val="24"/>
                <w:szCs w:val="24"/>
                <w:lang w:val="en-US" w:eastAsia="zh-CN"/>
              </w:rPr>
              <w:t>行政处罚</w:t>
            </w:r>
          </w:p>
        </w:tc>
        <w:tc>
          <w:tcPr>
            <w:tcW w:w="8317" w:type="dxa"/>
            <w:shd w:val="clear" w:color="auto" w:fill="auto"/>
            <w:vAlign w:val="top"/>
          </w:tcPr>
          <w:p w14:paraId="412E5BB5">
            <w:pPr>
              <w:keepNext w:val="0"/>
              <w:keepLines w:val="0"/>
              <w:pageBreakBefore w:val="0"/>
              <w:widowControl w:val="0"/>
              <w:suppressLineNumbers w:val="0"/>
              <w:kinsoku/>
              <w:wordWrap/>
              <w:overflowPunct/>
              <w:topLinePunct w:val="0"/>
              <w:autoSpaceDE/>
              <w:autoSpaceDN/>
              <w:bidi w:val="0"/>
              <w:adjustRightInd/>
              <w:snapToGrid/>
              <w:spacing w:after="0" w:afterLines="-2147483648" w:line="320" w:lineRule="exact"/>
              <w:ind w:left="240" w:leftChars="100" w:firstLine="420" w:firstLineChars="200"/>
              <w:jc w:val="both"/>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陕西省放射性污染防治条例（2019年修正）》第三十八条违反本条例第十五条第二款规定，调试单位未按规定要求进行调试，导致工作人员和公众受到意外照射，尚未造成辐射事故的，由县级以上生态环境行政主管部门责令改正，处一万元以上五万元以下罚款。</w:t>
            </w:r>
          </w:p>
        </w:tc>
        <w:tc>
          <w:tcPr>
            <w:tcW w:w="1129" w:type="dxa"/>
          </w:tcPr>
          <w:p w14:paraId="4EF4E941">
            <w:pPr>
              <w:keepNext w:val="0"/>
              <w:keepLines w:val="0"/>
              <w:pageBreakBefore w:val="0"/>
              <w:widowControl w:val="0"/>
              <w:kinsoku/>
              <w:wordWrap/>
              <w:overflowPunct/>
              <w:topLinePunct w:val="0"/>
              <w:autoSpaceDE/>
              <w:autoSpaceDN/>
              <w:bidi w:val="0"/>
              <w:spacing w:before="69" w:line="320" w:lineRule="exact"/>
              <w:ind w:left="49" w:leftChars="0" w:right="26" w:rightChars="0" w:firstLine="404" w:firstLineChars="200"/>
              <w:rPr>
                <w:rFonts w:ascii="宋体" w:hAnsi="宋体" w:eastAsia="宋体" w:cs="宋体"/>
                <w:spacing w:val="-4"/>
                <w:sz w:val="21"/>
                <w:szCs w:val="21"/>
              </w:rPr>
            </w:pPr>
          </w:p>
        </w:tc>
        <w:tc>
          <w:tcPr>
            <w:tcW w:w="990" w:type="dxa"/>
            <w:gridSpan w:val="2"/>
          </w:tcPr>
          <w:p w14:paraId="292A1932">
            <w:pPr>
              <w:keepNext w:val="0"/>
              <w:keepLines w:val="0"/>
              <w:pageBreakBefore w:val="0"/>
              <w:widowControl w:val="0"/>
              <w:kinsoku/>
              <w:wordWrap/>
              <w:overflowPunct/>
              <w:topLinePunct w:val="0"/>
              <w:autoSpaceDE/>
              <w:autoSpaceDN/>
              <w:bidi w:val="0"/>
              <w:spacing w:before="69" w:line="320" w:lineRule="exact"/>
              <w:ind w:left="204" w:leftChars="0" w:right="59" w:rightChars="0" w:firstLine="404" w:firstLineChars="200"/>
              <w:rPr>
                <w:rFonts w:ascii="宋体" w:hAnsi="宋体" w:eastAsia="宋体" w:cs="宋体"/>
                <w:spacing w:val="-4"/>
                <w:sz w:val="21"/>
                <w:szCs w:val="21"/>
              </w:rPr>
            </w:pPr>
          </w:p>
        </w:tc>
      </w:tr>
      <w:tr w14:paraId="66A48D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6" w:hRule="atLeast"/>
        </w:trPr>
        <w:tc>
          <w:tcPr>
            <w:tcW w:w="557" w:type="dxa"/>
            <w:shd w:val="clear" w:color="auto" w:fill="auto"/>
            <w:vAlign w:val="center"/>
          </w:tcPr>
          <w:p w14:paraId="6D4B182B">
            <w:pPr>
              <w:keepNext w:val="0"/>
              <w:keepLines w:val="0"/>
              <w:pageBreakBefore w:val="0"/>
              <w:widowControl w:val="0"/>
              <w:kinsoku/>
              <w:wordWrap/>
              <w:overflowPunct/>
              <w:topLinePunct w:val="0"/>
              <w:autoSpaceDE/>
              <w:autoSpaceDN/>
              <w:bidi w:val="0"/>
              <w:spacing w:before="68" w:line="320" w:lineRule="exact"/>
              <w:ind w:left="0" w:leftChars="0" w:firstLine="0" w:firstLineChars="0"/>
              <w:jc w:val="center"/>
              <w:rPr>
                <w:rFonts w:hint="eastAsia" w:ascii="仿宋_GB2312" w:hAnsi="仿宋_GB2312" w:eastAsia="仿宋_GB2312" w:cs="仿宋_GB2312"/>
                <w:spacing w:val="-8"/>
                <w:sz w:val="24"/>
                <w:szCs w:val="24"/>
                <w:lang w:val="en-US" w:eastAsia="zh-CN"/>
              </w:rPr>
            </w:pPr>
            <w:r>
              <w:rPr>
                <w:rFonts w:hint="eastAsia" w:ascii="仿宋_GB2312" w:hAnsi="仿宋_GB2312" w:eastAsia="仿宋_GB2312" w:cs="仿宋_GB2312"/>
                <w:spacing w:val="-8"/>
                <w:sz w:val="24"/>
                <w:szCs w:val="24"/>
                <w:lang w:val="en-US" w:eastAsia="zh-CN"/>
              </w:rPr>
              <w:t>158</w:t>
            </w:r>
          </w:p>
        </w:tc>
        <w:tc>
          <w:tcPr>
            <w:tcW w:w="2355" w:type="dxa"/>
            <w:shd w:val="clear" w:color="auto" w:fill="auto"/>
            <w:vAlign w:val="center"/>
          </w:tcPr>
          <w:p w14:paraId="7628E42F">
            <w:pPr>
              <w:keepNext w:val="0"/>
              <w:keepLines w:val="0"/>
              <w:pageBreakBefore w:val="0"/>
              <w:widowControl w:val="0"/>
              <w:kinsoku/>
              <w:wordWrap/>
              <w:overflowPunct/>
              <w:topLinePunct w:val="0"/>
              <w:autoSpaceDE/>
              <w:autoSpaceDN/>
              <w:bidi w:val="0"/>
              <w:spacing w:before="68" w:line="320" w:lineRule="exact"/>
              <w:ind w:left="240" w:leftChars="100" w:right="127" w:rightChars="53" w:firstLine="0" w:firstLineChars="0"/>
              <w:jc w:val="center"/>
              <w:rPr>
                <w:rFonts w:hint="eastAsia" w:ascii="宋体" w:hAnsi="宋体" w:eastAsia="宋体" w:cs="宋体"/>
                <w:spacing w:val="-8"/>
                <w:kern w:val="2"/>
                <w:sz w:val="21"/>
                <w:szCs w:val="21"/>
                <w:lang w:val="en-US" w:eastAsia="zh-CN" w:bidi="ar-SA"/>
              </w:rPr>
            </w:pPr>
            <w:r>
              <w:rPr>
                <w:rFonts w:hint="eastAsia" w:ascii="宋体" w:hAnsi="宋体" w:eastAsia="宋体" w:cs="宋体"/>
                <w:spacing w:val="-8"/>
                <w:sz w:val="21"/>
                <w:szCs w:val="21"/>
                <w:lang w:val="en-US" w:eastAsia="zh-CN"/>
              </w:rPr>
              <w:t>对未办理登记、注销或者备案手续的行政处罚</w:t>
            </w:r>
          </w:p>
        </w:tc>
        <w:tc>
          <w:tcPr>
            <w:tcW w:w="1094" w:type="dxa"/>
            <w:shd w:val="clear" w:color="auto" w:fill="auto"/>
            <w:vAlign w:val="center"/>
          </w:tcPr>
          <w:p w14:paraId="4AFECBD1">
            <w:pPr>
              <w:keepNext w:val="0"/>
              <w:keepLines w:val="0"/>
              <w:pageBreakBefore w:val="0"/>
              <w:widowControl w:val="0"/>
              <w:kinsoku/>
              <w:wordWrap/>
              <w:overflowPunct/>
              <w:topLinePunct w:val="0"/>
              <w:autoSpaceDE/>
              <w:autoSpaceDN/>
              <w:bidi w:val="0"/>
              <w:spacing w:before="68" w:line="320" w:lineRule="exact"/>
              <w:ind w:left="0" w:leftChars="0" w:firstLine="0" w:firstLineChars="0"/>
              <w:jc w:val="center"/>
              <w:rPr>
                <w:rFonts w:hint="eastAsia" w:ascii="仿宋_GB2312" w:hAnsi="仿宋_GB2312" w:eastAsia="仿宋_GB2312" w:cs="仿宋_GB2312"/>
                <w:spacing w:val="-8"/>
                <w:kern w:val="2"/>
                <w:sz w:val="24"/>
                <w:szCs w:val="24"/>
                <w:lang w:val="en-US" w:eastAsia="zh-CN" w:bidi="ar-SA"/>
              </w:rPr>
            </w:pPr>
            <w:r>
              <w:rPr>
                <w:rFonts w:hint="eastAsia" w:ascii="仿宋_GB2312" w:hAnsi="仿宋_GB2312" w:eastAsia="仿宋_GB2312" w:cs="仿宋_GB2312"/>
                <w:spacing w:val="-8"/>
                <w:sz w:val="24"/>
                <w:szCs w:val="24"/>
                <w:lang w:val="en-US" w:eastAsia="zh-CN"/>
              </w:rPr>
              <w:t>行政处罚</w:t>
            </w:r>
          </w:p>
        </w:tc>
        <w:tc>
          <w:tcPr>
            <w:tcW w:w="8317" w:type="dxa"/>
            <w:shd w:val="clear" w:color="auto" w:fill="auto"/>
            <w:vAlign w:val="top"/>
          </w:tcPr>
          <w:p w14:paraId="34D82B4E">
            <w:pPr>
              <w:keepNext w:val="0"/>
              <w:keepLines w:val="0"/>
              <w:pageBreakBefore w:val="0"/>
              <w:widowControl w:val="0"/>
              <w:suppressLineNumbers w:val="0"/>
              <w:kinsoku/>
              <w:wordWrap/>
              <w:overflowPunct/>
              <w:topLinePunct w:val="0"/>
              <w:autoSpaceDE/>
              <w:autoSpaceDN/>
              <w:bidi w:val="0"/>
              <w:adjustRightInd/>
              <w:snapToGrid/>
              <w:spacing w:after="0" w:afterLines="-2147483648" w:line="320" w:lineRule="exact"/>
              <w:ind w:left="240" w:leftChars="100" w:firstLine="420" w:firstLineChars="200"/>
              <w:jc w:val="both"/>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陕西省放射性污染防治条例（2019年修正）》第三十九条违反本条例第十六条第三款、第十七条第二款、第十八条规定的，未办理登记、注销或者备案手续的，由县级以上生态环境行政主管部门责令补办手续，处五千元以上二万元以下罚款；情节严重的，处二万元以上五万元以下罚款。</w:t>
            </w:r>
          </w:p>
        </w:tc>
        <w:tc>
          <w:tcPr>
            <w:tcW w:w="1129" w:type="dxa"/>
          </w:tcPr>
          <w:p w14:paraId="0EDBE16E">
            <w:pPr>
              <w:keepNext w:val="0"/>
              <w:keepLines w:val="0"/>
              <w:pageBreakBefore w:val="0"/>
              <w:widowControl w:val="0"/>
              <w:kinsoku/>
              <w:wordWrap/>
              <w:overflowPunct/>
              <w:topLinePunct w:val="0"/>
              <w:autoSpaceDE/>
              <w:autoSpaceDN/>
              <w:bidi w:val="0"/>
              <w:spacing w:before="69" w:line="320" w:lineRule="exact"/>
              <w:ind w:left="49" w:leftChars="0" w:right="26" w:rightChars="0" w:firstLine="404" w:firstLineChars="200"/>
              <w:rPr>
                <w:rFonts w:ascii="宋体" w:hAnsi="宋体" w:eastAsia="宋体" w:cs="宋体"/>
                <w:spacing w:val="-4"/>
                <w:sz w:val="21"/>
                <w:szCs w:val="21"/>
              </w:rPr>
            </w:pPr>
          </w:p>
        </w:tc>
        <w:tc>
          <w:tcPr>
            <w:tcW w:w="990" w:type="dxa"/>
            <w:gridSpan w:val="2"/>
          </w:tcPr>
          <w:p w14:paraId="0D0F8D8F">
            <w:pPr>
              <w:keepNext w:val="0"/>
              <w:keepLines w:val="0"/>
              <w:pageBreakBefore w:val="0"/>
              <w:widowControl w:val="0"/>
              <w:kinsoku/>
              <w:wordWrap/>
              <w:overflowPunct/>
              <w:topLinePunct w:val="0"/>
              <w:autoSpaceDE/>
              <w:autoSpaceDN/>
              <w:bidi w:val="0"/>
              <w:spacing w:before="69" w:line="320" w:lineRule="exact"/>
              <w:ind w:left="204" w:leftChars="0" w:right="59" w:rightChars="0" w:firstLine="404" w:firstLineChars="200"/>
              <w:rPr>
                <w:rFonts w:ascii="宋体" w:hAnsi="宋体" w:eastAsia="宋体" w:cs="宋体"/>
                <w:spacing w:val="-4"/>
                <w:sz w:val="21"/>
                <w:szCs w:val="21"/>
              </w:rPr>
            </w:pPr>
          </w:p>
        </w:tc>
      </w:tr>
      <w:tr w14:paraId="26794B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6" w:hRule="atLeast"/>
        </w:trPr>
        <w:tc>
          <w:tcPr>
            <w:tcW w:w="557" w:type="dxa"/>
            <w:shd w:val="clear" w:color="auto" w:fill="auto"/>
            <w:vAlign w:val="center"/>
          </w:tcPr>
          <w:p w14:paraId="029C735D">
            <w:pPr>
              <w:keepNext w:val="0"/>
              <w:keepLines w:val="0"/>
              <w:pageBreakBefore w:val="0"/>
              <w:widowControl w:val="0"/>
              <w:kinsoku/>
              <w:wordWrap/>
              <w:overflowPunct/>
              <w:topLinePunct w:val="0"/>
              <w:autoSpaceDE/>
              <w:autoSpaceDN/>
              <w:bidi w:val="0"/>
              <w:spacing w:before="68" w:line="320" w:lineRule="exact"/>
              <w:ind w:left="0" w:leftChars="0" w:firstLine="0" w:firstLineChars="0"/>
              <w:jc w:val="center"/>
              <w:rPr>
                <w:rFonts w:hint="eastAsia" w:ascii="仿宋_GB2312" w:hAnsi="仿宋_GB2312" w:eastAsia="仿宋_GB2312" w:cs="仿宋_GB2312"/>
                <w:spacing w:val="-8"/>
                <w:sz w:val="24"/>
                <w:szCs w:val="24"/>
                <w:lang w:val="en-US" w:eastAsia="zh-CN"/>
              </w:rPr>
            </w:pPr>
            <w:r>
              <w:rPr>
                <w:rFonts w:hint="eastAsia" w:ascii="仿宋_GB2312" w:hAnsi="仿宋_GB2312" w:eastAsia="仿宋_GB2312" w:cs="仿宋_GB2312"/>
                <w:spacing w:val="-8"/>
                <w:sz w:val="24"/>
                <w:szCs w:val="24"/>
                <w:lang w:val="en-US" w:eastAsia="zh-CN"/>
              </w:rPr>
              <w:t>159</w:t>
            </w:r>
          </w:p>
        </w:tc>
        <w:tc>
          <w:tcPr>
            <w:tcW w:w="2355" w:type="dxa"/>
            <w:shd w:val="clear" w:color="auto" w:fill="auto"/>
            <w:vAlign w:val="center"/>
          </w:tcPr>
          <w:p w14:paraId="51B5E53A">
            <w:pPr>
              <w:keepNext w:val="0"/>
              <w:keepLines w:val="0"/>
              <w:pageBreakBefore w:val="0"/>
              <w:widowControl w:val="0"/>
              <w:kinsoku/>
              <w:wordWrap/>
              <w:overflowPunct/>
              <w:topLinePunct w:val="0"/>
              <w:autoSpaceDE/>
              <w:autoSpaceDN/>
              <w:bidi w:val="0"/>
              <w:spacing w:before="68" w:line="320" w:lineRule="exact"/>
              <w:ind w:left="240" w:leftChars="100" w:right="127" w:rightChars="53" w:firstLine="0" w:firstLineChars="0"/>
              <w:jc w:val="center"/>
              <w:rPr>
                <w:rFonts w:hint="eastAsia" w:ascii="宋体" w:hAnsi="宋体" w:eastAsia="宋体" w:cs="宋体"/>
                <w:spacing w:val="-8"/>
                <w:kern w:val="2"/>
                <w:sz w:val="21"/>
                <w:szCs w:val="21"/>
                <w:lang w:val="en-US" w:eastAsia="zh-CN" w:bidi="ar-SA"/>
              </w:rPr>
            </w:pPr>
            <w:r>
              <w:rPr>
                <w:rFonts w:hint="eastAsia" w:ascii="宋体" w:hAnsi="宋体" w:eastAsia="宋体" w:cs="宋体"/>
                <w:spacing w:val="-8"/>
                <w:sz w:val="21"/>
                <w:szCs w:val="21"/>
                <w:lang w:val="en-US" w:eastAsia="zh-CN"/>
              </w:rPr>
              <w:t>对未按规定监测、报告的行政处罚</w:t>
            </w:r>
          </w:p>
        </w:tc>
        <w:tc>
          <w:tcPr>
            <w:tcW w:w="1094" w:type="dxa"/>
            <w:shd w:val="clear" w:color="auto" w:fill="auto"/>
            <w:vAlign w:val="center"/>
          </w:tcPr>
          <w:p w14:paraId="14211987">
            <w:pPr>
              <w:keepNext w:val="0"/>
              <w:keepLines w:val="0"/>
              <w:pageBreakBefore w:val="0"/>
              <w:widowControl w:val="0"/>
              <w:kinsoku/>
              <w:wordWrap/>
              <w:overflowPunct/>
              <w:topLinePunct w:val="0"/>
              <w:autoSpaceDE/>
              <w:autoSpaceDN/>
              <w:bidi w:val="0"/>
              <w:spacing w:before="68" w:line="320" w:lineRule="exact"/>
              <w:ind w:left="0" w:leftChars="0" w:firstLine="0" w:firstLineChars="0"/>
              <w:jc w:val="center"/>
              <w:rPr>
                <w:rFonts w:hint="eastAsia" w:ascii="仿宋_GB2312" w:hAnsi="仿宋_GB2312" w:eastAsia="仿宋_GB2312" w:cs="仿宋_GB2312"/>
                <w:spacing w:val="-8"/>
                <w:kern w:val="2"/>
                <w:sz w:val="24"/>
                <w:szCs w:val="24"/>
                <w:lang w:val="en-US" w:eastAsia="zh-CN" w:bidi="ar-SA"/>
              </w:rPr>
            </w:pPr>
            <w:r>
              <w:rPr>
                <w:rFonts w:hint="eastAsia" w:ascii="仿宋_GB2312" w:hAnsi="仿宋_GB2312" w:eastAsia="仿宋_GB2312" w:cs="仿宋_GB2312"/>
                <w:spacing w:val="-8"/>
                <w:sz w:val="24"/>
                <w:szCs w:val="24"/>
                <w:lang w:val="en-US" w:eastAsia="zh-CN"/>
              </w:rPr>
              <w:t>行政处罚</w:t>
            </w:r>
          </w:p>
        </w:tc>
        <w:tc>
          <w:tcPr>
            <w:tcW w:w="8317" w:type="dxa"/>
            <w:shd w:val="clear" w:color="auto" w:fill="auto"/>
            <w:vAlign w:val="top"/>
          </w:tcPr>
          <w:p w14:paraId="22A1F4C9">
            <w:pPr>
              <w:keepNext w:val="0"/>
              <w:keepLines w:val="0"/>
              <w:pageBreakBefore w:val="0"/>
              <w:widowControl w:val="0"/>
              <w:suppressLineNumbers w:val="0"/>
              <w:kinsoku/>
              <w:wordWrap/>
              <w:overflowPunct/>
              <w:topLinePunct w:val="0"/>
              <w:autoSpaceDE/>
              <w:autoSpaceDN/>
              <w:bidi w:val="0"/>
              <w:adjustRightInd/>
              <w:snapToGrid/>
              <w:spacing w:after="0" w:afterLines="-2147483648" w:line="320" w:lineRule="exact"/>
              <w:ind w:left="240" w:leftChars="100" w:firstLine="420" w:firstLineChars="200"/>
              <w:jc w:val="both"/>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陕西省放射性污染防治条例（2019年修正）》第四十条违反本条例第二十条第一款、第二十三条第二款、第二十六条第二款、第二十九条第二款、第三十四条第一款规定，未按规定监测、报告的，由生态环境、应急管理或者其他行政主管部门按照职责处一万元以上五万元以下罚款，对直接负责的主管人员和其他直接责任人员依法给予行政处分。</w:t>
            </w:r>
          </w:p>
        </w:tc>
        <w:tc>
          <w:tcPr>
            <w:tcW w:w="1129" w:type="dxa"/>
          </w:tcPr>
          <w:p w14:paraId="60CC4377">
            <w:pPr>
              <w:keepNext w:val="0"/>
              <w:keepLines w:val="0"/>
              <w:pageBreakBefore w:val="0"/>
              <w:widowControl w:val="0"/>
              <w:kinsoku/>
              <w:wordWrap/>
              <w:overflowPunct/>
              <w:topLinePunct w:val="0"/>
              <w:autoSpaceDE/>
              <w:autoSpaceDN/>
              <w:bidi w:val="0"/>
              <w:spacing w:before="69" w:line="320" w:lineRule="exact"/>
              <w:ind w:left="49" w:leftChars="0" w:right="26" w:rightChars="0" w:firstLine="404" w:firstLineChars="200"/>
              <w:rPr>
                <w:rFonts w:ascii="宋体" w:hAnsi="宋体" w:eastAsia="宋体" w:cs="宋体"/>
                <w:spacing w:val="-4"/>
                <w:sz w:val="21"/>
                <w:szCs w:val="21"/>
              </w:rPr>
            </w:pPr>
          </w:p>
        </w:tc>
        <w:tc>
          <w:tcPr>
            <w:tcW w:w="990" w:type="dxa"/>
            <w:gridSpan w:val="2"/>
          </w:tcPr>
          <w:p w14:paraId="15DDC0D2">
            <w:pPr>
              <w:keepNext w:val="0"/>
              <w:keepLines w:val="0"/>
              <w:pageBreakBefore w:val="0"/>
              <w:widowControl w:val="0"/>
              <w:kinsoku/>
              <w:wordWrap/>
              <w:overflowPunct/>
              <w:topLinePunct w:val="0"/>
              <w:autoSpaceDE/>
              <w:autoSpaceDN/>
              <w:bidi w:val="0"/>
              <w:spacing w:before="69" w:line="320" w:lineRule="exact"/>
              <w:ind w:left="204" w:leftChars="0" w:right="59" w:rightChars="0" w:firstLine="404" w:firstLineChars="200"/>
              <w:rPr>
                <w:rFonts w:ascii="宋体" w:hAnsi="宋体" w:eastAsia="宋体" w:cs="宋体"/>
                <w:spacing w:val="-4"/>
                <w:sz w:val="21"/>
                <w:szCs w:val="21"/>
              </w:rPr>
            </w:pPr>
          </w:p>
        </w:tc>
      </w:tr>
      <w:tr w14:paraId="7E8A4E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6" w:hRule="atLeast"/>
        </w:trPr>
        <w:tc>
          <w:tcPr>
            <w:tcW w:w="557" w:type="dxa"/>
            <w:shd w:val="clear" w:color="auto" w:fill="auto"/>
            <w:vAlign w:val="center"/>
          </w:tcPr>
          <w:p w14:paraId="5911CAE3">
            <w:pPr>
              <w:keepNext w:val="0"/>
              <w:keepLines w:val="0"/>
              <w:pageBreakBefore w:val="0"/>
              <w:widowControl w:val="0"/>
              <w:kinsoku/>
              <w:wordWrap/>
              <w:overflowPunct/>
              <w:topLinePunct w:val="0"/>
              <w:autoSpaceDE/>
              <w:autoSpaceDN/>
              <w:bidi w:val="0"/>
              <w:spacing w:before="68" w:line="320" w:lineRule="exact"/>
              <w:ind w:left="0" w:leftChars="0" w:firstLine="0" w:firstLineChars="0"/>
              <w:jc w:val="center"/>
              <w:rPr>
                <w:rFonts w:hint="eastAsia" w:ascii="仿宋_GB2312" w:hAnsi="仿宋_GB2312" w:eastAsia="仿宋_GB2312" w:cs="仿宋_GB2312"/>
                <w:spacing w:val="-8"/>
                <w:sz w:val="24"/>
                <w:szCs w:val="24"/>
                <w:lang w:val="en-US" w:eastAsia="zh-CN"/>
              </w:rPr>
            </w:pPr>
            <w:r>
              <w:rPr>
                <w:rFonts w:hint="eastAsia" w:ascii="仿宋_GB2312" w:hAnsi="仿宋_GB2312" w:eastAsia="仿宋_GB2312" w:cs="仿宋_GB2312"/>
                <w:spacing w:val="-8"/>
                <w:sz w:val="24"/>
                <w:szCs w:val="24"/>
                <w:lang w:val="en-US" w:eastAsia="zh-CN"/>
              </w:rPr>
              <w:t>160</w:t>
            </w:r>
          </w:p>
        </w:tc>
        <w:tc>
          <w:tcPr>
            <w:tcW w:w="2355" w:type="dxa"/>
            <w:shd w:val="clear" w:color="auto" w:fill="auto"/>
            <w:vAlign w:val="center"/>
          </w:tcPr>
          <w:p w14:paraId="319A5A07">
            <w:pPr>
              <w:keepNext w:val="0"/>
              <w:keepLines w:val="0"/>
              <w:pageBreakBefore w:val="0"/>
              <w:widowControl w:val="0"/>
              <w:kinsoku/>
              <w:wordWrap/>
              <w:overflowPunct/>
              <w:topLinePunct w:val="0"/>
              <w:autoSpaceDE/>
              <w:autoSpaceDN/>
              <w:bidi w:val="0"/>
              <w:spacing w:before="68" w:line="320" w:lineRule="exact"/>
              <w:ind w:left="240" w:leftChars="100" w:right="127" w:rightChars="53" w:firstLine="0" w:firstLineChars="0"/>
              <w:jc w:val="center"/>
              <w:rPr>
                <w:rFonts w:hint="eastAsia" w:ascii="宋体" w:hAnsi="宋体" w:eastAsia="宋体" w:cs="宋体"/>
                <w:spacing w:val="-8"/>
                <w:kern w:val="2"/>
                <w:sz w:val="21"/>
                <w:szCs w:val="21"/>
                <w:lang w:val="en-US" w:eastAsia="zh-CN" w:bidi="ar-SA"/>
              </w:rPr>
            </w:pPr>
            <w:r>
              <w:rPr>
                <w:rFonts w:hint="eastAsia" w:ascii="宋体" w:hAnsi="宋体" w:eastAsia="宋体" w:cs="宋体"/>
                <w:spacing w:val="-8"/>
                <w:sz w:val="21"/>
                <w:szCs w:val="21"/>
                <w:lang w:val="en-US" w:eastAsia="zh-CN"/>
              </w:rPr>
              <w:t>对回灌水水质劣于含水层地下水水质和地下水功能区的目标水质等行为的行政处罚</w:t>
            </w:r>
          </w:p>
        </w:tc>
        <w:tc>
          <w:tcPr>
            <w:tcW w:w="1094" w:type="dxa"/>
            <w:shd w:val="clear" w:color="auto" w:fill="auto"/>
            <w:vAlign w:val="center"/>
          </w:tcPr>
          <w:p w14:paraId="59F42AC5">
            <w:pPr>
              <w:keepNext w:val="0"/>
              <w:keepLines w:val="0"/>
              <w:pageBreakBefore w:val="0"/>
              <w:widowControl w:val="0"/>
              <w:kinsoku/>
              <w:wordWrap/>
              <w:overflowPunct/>
              <w:topLinePunct w:val="0"/>
              <w:autoSpaceDE/>
              <w:autoSpaceDN/>
              <w:bidi w:val="0"/>
              <w:spacing w:before="68" w:line="320" w:lineRule="exact"/>
              <w:ind w:left="0" w:leftChars="0" w:firstLine="0" w:firstLineChars="0"/>
              <w:jc w:val="center"/>
              <w:rPr>
                <w:rFonts w:hint="eastAsia" w:ascii="仿宋_GB2312" w:hAnsi="仿宋_GB2312" w:eastAsia="仿宋_GB2312" w:cs="仿宋_GB2312"/>
                <w:spacing w:val="-8"/>
                <w:kern w:val="2"/>
                <w:sz w:val="24"/>
                <w:szCs w:val="24"/>
                <w:lang w:val="en-US" w:eastAsia="zh-CN" w:bidi="ar-SA"/>
              </w:rPr>
            </w:pPr>
            <w:r>
              <w:rPr>
                <w:rFonts w:hint="eastAsia" w:ascii="仿宋_GB2312" w:hAnsi="仿宋_GB2312" w:eastAsia="仿宋_GB2312" w:cs="仿宋_GB2312"/>
                <w:spacing w:val="-8"/>
                <w:sz w:val="24"/>
                <w:szCs w:val="24"/>
                <w:lang w:val="en-US" w:eastAsia="zh-CN"/>
              </w:rPr>
              <w:t>行政处罚</w:t>
            </w:r>
          </w:p>
        </w:tc>
        <w:tc>
          <w:tcPr>
            <w:tcW w:w="8317" w:type="dxa"/>
            <w:shd w:val="clear" w:color="auto" w:fill="auto"/>
            <w:vAlign w:val="top"/>
          </w:tcPr>
          <w:p w14:paraId="5AC7B3C4">
            <w:pPr>
              <w:keepNext w:val="0"/>
              <w:keepLines w:val="0"/>
              <w:pageBreakBefore w:val="0"/>
              <w:widowControl w:val="0"/>
              <w:suppressLineNumbers w:val="0"/>
              <w:kinsoku/>
              <w:wordWrap/>
              <w:overflowPunct/>
              <w:topLinePunct w:val="0"/>
              <w:autoSpaceDE/>
              <w:autoSpaceDN/>
              <w:bidi w:val="0"/>
              <w:adjustRightInd/>
              <w:snapToGrid/>
              <w:spacing w:after="0" w:afterLines="-2147483648" w:line="320" w:lineRule="exact"/>
              <w:ind w:left="240" w:leftChars="100" w:firstLine="420" w:firstLineChars="200"/>
              <w:jc w:val="both"/>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陕西省地下水条例（2015年）》第五十六条违反本条例第三十六条第二款、第三十八条、第三十九条、第四十条规定，造成地下水污染的，依照《中华人民共和国环境保护法》、《中华人民共和国水污染防治法》的规定予以处罚。</w:t>
            </w:r>
          </w:p>
          <w:p w14:paraId="74BECE5E">
            <w:pPr>
              <w:keepNext w:val="0"/>
              <w:keepLines w:val="0"/>
              <w:pageBreakBefore w:val="0"/>
              <w:widowControl w:val="0"/>
              <w:suppressLineNumbers w:val="0"/>
              <w:kinsoku/>
              <w:wordWrap/>
              <w:overflowPunct/>
              <w:topLinePunct w:val="0"/>
              <w:autoSpaceDE/>
              <w:autoSpaceDN/>
              <w:bidi w:val="0"/>
              <w:adjustRightInd/>
              <w:snapToGrid/>
              <w:spacing w:after="0" w:afterLines="-2147483648" w:line="320" w:lineRule="exact"/>
              <w:ind w:left="240" w:leftChars="100" w:firstLine="420" w:firstLineChars="200"/>
              <w:jc w:val="both"/>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第三十六条在地下水超采区，县级以上人民政府应当有计划的采取人工回灌等措施，增加地下水的有效补给。采用人工回灌方式补给地下水的，回灌水水质不得劣于含水层地下水水质和地下水功能区的目标水质。采取人工回灌措施前，应当由县级以上水行政主管部门组织技术论证，严格管理。严禁将废污水用于地下水回灌。</w:t>
            </w:r>
          </w:p>
          <w:p w14:paraId="4D76ABD6">
            <w:pPr>
              <w:keepNext w:val="0"/>
              <w:keepLines w:val="0"/>
              <w:pageBreakBefore w:val="0"/>
              <w:widowControl w:val="0"/>
              <w:suppressLineNumbers w:val="0"/>
              <w:kinsoku/>
              <w:wordWrap/>
              <w:overflowPunct/>
              <w:topLinePunct w:val="0"/>
              <w:autoSpaceDE/>
              <w:autoSpaceDN/>
              <w:bidi w:val="0"/>
              <w:adjustRightInd/>
              <w:snapToGrid/>
              <w:spacing w:after="0" w:afterLines="-2147483648" w:line="320" w:lineRule="exact"/>
              <w:ind w:left="240" w:leftChars="100" w:firstLine="420" w:firstLineChars="200"/>
              <w:jc w:val="both"/>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第三十八条利用沟渠、坑塘输送或者存贮含有污染物的废水、含病原体的污水和其他废弃物，垃圾填埋场、尾矿库、储灰场等容易造成地下水污染的建设项目或者建设活动，建设单位或者个人应当按照国家有关规定进行防渗处理，并配套建设收集处理系统、地下水监测设施，定期进行水质监测。</w:t>
            </w:r>
          </w:p>
          <w:p w14:paraId="68061432">
            <w:pPr>
              <w:keepNext w:val="0"/>
              <w:keepLines w:val="0"/>
              <w:pageBreakBefore w:val="0"/>
              <w:widowControl w:val="0"/>
              <w:suppressLineNumbers w:val="0"/>
              <w:kinsoku/>
              <w:wordWrap/>
              <w:overflowPunct/>
              <w:topLinePunct w:val="0"/>
              <w:autoSpaceDE/>
              <w:autoSpaceDN/>
              <w:bidi w:val="0"/>
              <w:adjustRightInd/>
              <w:snapToGrid/>
              <w:spacing w:after="0" w:afterLines="-2147483648" w:line="320" w:lineRule="exact"/>
              <w:ind w:left="240" w:leftChars="100" w:firstLine="420" w:firstLineChars="200"/>
              <w:jc w:val="both"/>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第三十九条禁止利用渗井、深井、渗坑、裂隙和溶洞等直接向地下排放、倾倒含有毒污染物的废水、含病原体的污水和其他废弃物。报废各类钻井、矿井和取水井应当由使用单位封井回填，保证封井回填质量，防止串层污染地下水。</w:t>
            </w:r>
          </w:p>
          <w:p w14:paraId="6B08E74B">
            <w:pPr>
              <w:keepNext w:val="0"/>
              <w:keepLines w:val="0"/>
              <w:pageBreakBefore w:val="0"/>
              <w:widowControl w:val="0"/>
              <w:suppressLineNumbers w:val="0"/>
              <w:kinsoku/>
              <w:wordWrap/>
              <w:overflowPunct/>
              <w:topLinePunct w:val="0"/>
              <w:autoSpaceDE/>
              <w:autoSpaceDN/>
              <w:bidi w:val="0"/>
              <w:adjustRightInd/>
              <w:snapToGrid/>
              <w:spacing w:after="0" w:afterLines="-2147483648" w:line="320" w:lineRule="exact"/>
              <w:ind w:left="240" w:leftChars="100" w:firstLine="420" w:firstLineChars="200"/>
              <w:jc w:val="both"/>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第四十条县级以上人民政府农业等有关行政主管部门和农业技术推广机构应当组织开展测土配方施肥、病虫草害综合防治、生物防治和精准施药等技术,指导农民和农业生产经营组织科学、合理施用化肥和农药，防止地下水污染。地下水饮用水水源补给区应当采取工程、生物技术等措施，实施生态补偿，减少化肥和农药的施用量，优先推广使用生物农药或者高效、低毒、低残留农药和病虫害综合防治技术，积极发展绿色有机农业。</w:t>
            </w:r>
          </w:p>
          <w:p w14:paraId="10B89AA6">
            <w:pPr>
              <w:keepNext w:val="0"/>
              <w:keepLines w:val="0"/>
              <w:pageBreakBefore w:val="0"/>
              <w:widowControl w:val="0"/>
              <w:suppressLineNumbers w:val="0"/>
              <w:kinsoku/>
              <w:wordWrap/>
              <w:overflowPunct/>
              <w:topLinePunct w:val="0"/>
              <w:autoSpaceDE/>
              <w:autoSpaceDN/>
              <w:bidi w:val="0"/>
              <w:adjustRightInd/>
              <w:snapToGrid/>
              <w:spacing w:after="0" w:afterLines="-2147483648" w:line="320" w:lineRule="exact"/>
              <w:ind w:left="240" w:leftChars="100" w:firstLine="420" w:firstLineChars="200"/>
              <w:jc w:val="both"/>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环境保护法》第六十三条企业事业单位和其他生产经营者有下列行为之一，尚不构成犯罪的，除依照有关法律法规规定予以处罚外，由县级以上人民政府环境保护主管部门或者其他有关部门将案件移送公安机关，对其直接负责的主管人员和其他直接责任人员，处十日以上十五日以下拘留；情节较轻的，处五日以上十日以下拘留：（一）建设项目未依法进行环境影响评价，被责令停止建设，拒不执行的；（二）违反法律规定，未取得排污许可证排放污染物，被责令停止排污，拒不执行的；（三）通过暗管、渗井、渗坑、灌注或者篡改、伪造监测数据，或者不正常运行防治污染设施等逃避监管的方式违法排放污染物的；（四）生产、使用国家明令禁止生产、使用的农药，被责令改正，拒不改正的。</w:t>
            </w:r>
          </w:p>
          <w:p w14:paraId="1B7320AB">
            <w:pPr>
              <w:keepNext w:val="0"/>
              <w:keepLines w:val="0"/>
              <w:pageBreakBefore w:val="0"/>
              <w:widowControl w:val="0"/>
              <w:suppressLineNumbers w:val="0"/>
              <w:kinsoku/>
              <w:wordWrap/>
              <w:overflowPunct/>
              <w:topLinePunct w:val="0"/>
              <w:autoSpaceDE/>
              <w:autoSpaceDN/>
              <w:bidi w:val="0"/>
              <w:adjustRightInd/>
              <w:snapToGrid/>
              <w:spacing w:after="0" w:afterLines="-2147483648" w:line="320" w:lineRule="exact"/>
              <w:ind w:left="240" w:leftChars="100" w:firstLine="420" w:firstLineChars="200"/>
              <w:jc w:val="both"/>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3.《水污染防治法》第八十三条违反本法规定，有下列行为之一的，由县级以上人民政府环境保护主管部门责令改正或者责令限制生产、停产整治，并处十万元以上一百万元以下的罚款；情节严重的，报经有批准权的人民政府批准，责令停业、关闭：（一）未依法取得排污许可证排放水污染物的；（二）超过水污染物排放标准或者超过重点水污染物排放总量控制指标排放水污染物的；（三）利用渗井、渗坑、裂隙、溶洞，私设暗管，篡改、伪造监测数据，或者不正常运行水污染防治设施等逃避监管的方式排放水污染物的；（四）未按照规定进行预处理，向污水集中处理设施排放不符合处理工艺要求的工业废水的。第八十五条有下列行为之一的，由县级以上地方人民政府环境保护主管部门责令停止违法行为，限期采取治理措施，消除污染，处以罚款；逾期不采取治理措施的，环境保护主管部门可以指定有治理能力的单位代为治理，所需费用由违法者承担：（一）向水体排放油类、酸液、碱液的；（二）向水体排放剧毒废液，或者将含有汞、镉、砷、铬、铅、氰化物、黄磷等的可溶性剧毒废渣向水体排放、倾倒或者直接埋入地下的；（三）在水体清洗装贮过油类、有毒污染物的车辆或者容器的；（四）向水体排放、倾倒工业废渣、城镇垃圾或者其他废弃物，或者在江河、湖泊、运河、渠道、水库最高水位线以下的滩地、岸坡堆放、存贮固体废弃物或者其他污染物的；（五）向水体排放、倾倒放射性固体废物或者含有高放射性、中放射性物质的废水的；（六）违反国家有关规定或者标准，向水体排放含低放射性物质的废水、热废水或者含病原体的污水的；（七）未采取防渗漏等措施，或者未建设地下水水质监测井进行监测的；（八）加油站等的地下油罐未使用双层罐或者采取建造防渗池等其他有效措施，或者未进行防渗漏监测的；（九）未按照规定采取防护性措施，或者利用无防渗漏措施的沟渠、坑塘等输送或者存贮含有毒污染物的废水、含病原体的污水或者其他废弃物的。有前款第三项、第四项、第六项、第七项、第八项行为之一的，处二万元以上二十万元以下的罚款。有前款第一项、第二项、第五项、第九项行为之一的，处十万元以上一百万元以下的罚款；情节严重的，报经有批准权的人民政府批准，责令停业、关闭。</w:t>
            </w:r>
          </w:p>
        </w:tc>
        <w:tc>
          <w:tcPr>
            <w:tcW w:w="1129" w:type="dxa"/>
          </w:tcPr>
          <w:p w14:paraId="052EFF59">
            <w:pPr>
              <w:keepNext w:val="0"/>
              <w:keepLines w:val="0"/>
              <w:pageBreakBefore w:val="0"/>
              <w:widowControl w:val="0"/>
              <w:kinsoku/>
              <w:wordWrap/>
              <w:overflowPunct/>
              <w:topLinePunct w:val="0"/>
              <w:autoSpaceDE/>
              <w:autoSpaceDN/>
              <w:bidi w:val="0"/>
              <w:spacing w:before="69" w:line="320" w:lineRule="exact"/>
              <w:ind w:left="49" w:leftChars="0" w:right="26" w:rightChars="0" w:firstLine="404" w:firstLineChars="200"/>
              <w:rPr>
                <w:rFonts w:ascii="宋体" w:hAnsi="宋体" w:eastAsia="宋体" w:cs="宋体"/>
                <w:spacing w:val="-4"/>
                <w:sz w:val="21"/>
                <w:szCs w:val="21"/>
              </w:rPr>
            </w:pPr>
          </w:p>
        </w:tc>
        <w:tc>
          <w:tcPr>
            <w:tcW w:w="990" w:type="dxa"/>
            <w:gridSpan w:val="2"/>
          </w:tcPr>
          <w:p w14:paraId="6C637D69">
            <w:pPr>
              <w:keepNext w:val="0"/>
              <w:keepLines w:val="0"/>
              <w:pageBreakBefore w:val="0"/>
              <w:widowControl w:val="0"/>
              <w:kinsoku/>
              <w:wordWrap/>
              <w:overflowPunct/>
              <w:topLinePunct w:val="0"/>
              <w:autoSpaceDE/>
              <w:autoSpaceDN/>
              <w:bidi w:val="0"/>
              <w:spacing w:before="69" w:line="320" w:lineRule="exact"/>
              <w:ind w:left="204" w:leftChars="0" w:right="59" w:rightChars="0" w:firstLine="404" w:firstLineChars="200"/>
              <w:rPr>
                <w:rFonts w:ascii="宋体" w:hAnsi="宋体" w:eastAsia="宋体" w:cs="宋体"/>
                <w:spacing w:val="-4"/>
                <w:sz w:val="21"/>
                <w:szCs w:val="21"/>
              </w:rPr>
            </w:pPr>
          </w:p>
        </w:tc>
      </w:tr>
      <w:tr w14:paraId="71E3E7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6" w:hRule="atLeast"/>
        </w:trPr>
        <w:tc>
          <w:tcPr>
            <w:tcW w:w="557" w:type="dxa"/>
            <w:shd w:val="clear" w:color="auto" w:fill="auto"/>
            <w:vAlign w:val="center"/>
          </w:tcPr>
          <w:p w14:paraId="1C993D04">
            <w:pPr>
              <w:keepNext w:val="0"/>
              <w:keepLines w:val="0"/>
              <w:pageBreakBefore w:val="0"/>
              <w:widowControl w:val="0"/>
              <w:kinsoku/>
              <w:wordWrap/>
              <w:overflowPunct/>
              <w:topLinePunct w:val="0"/>
              <w:autoSpaceDE/>
              <w:autoSpaceDN/>
              <w:bidi w:val="0"/>
              <w:spacing w:before="68" w:line="320" w:lineRule="exact"/>
              <w:ind w:left="0" w:leftChars="0" w:firstLine="0" w:firstLineChars="0"/>
              <w:jc w:val="center"/>
              <w:rPr>
                <w:rFonts w:hint="eastAsia" w:ascii="仿宋_GB2312" w:hAnsi="仿宋_GB2312" w:eastAsia="仿宋_GB2312" w:cs="仿宋_GB2312"/>
                <w:spacing w:val="-8"/>
                <w:sz w:val="24"/>
                <w:szCs w:val="24"/>
                <w:lang w:val="en-US" w:eastAsia="zh-CN"/>
              </w:rPr>
            </w:pPr>
            <w:r>
              <w:rPr>
                <w:rFonts w:hint="eastAsia" w:ascii="仿宋_GB2312" w:hAnsi="仿宋_GB2312" w:eastAsia="仿宋_GB2312" w:cs="仿宋_GB2312"/>
                <w:spacing w:val="-8"/>
                <w:sz w:val="24"/>
                <w:szCs w:val="24"/>
                <w:lang w:val="en-US" w:eastAsia="zh-CN"/>
              </w:rPr>
              <w:t>161</w:t>
            </w:r>
          </w:p>
        </w:tc>
        <w:tc>
          <w:tcPr>
            <w:tcW w:w="2355" w:type="dxa"/>
            <w:shd w:val="clear" w:color="auto" w:fill="auto"/>
            <w:vAlign w:val="center"/>
          </w:tcPr>
          <w:p w14:paraId="2A54F959">
            <w:pPr>
              <w:keepNext w:val="0"/>
              <w:keepLines w:val="0"/>
              <w:pageBreakBefore w:val="0"/>
              <w:widowControl w:val="0"/>
              <w:kinsoku/>
              <w:wordWrap/>
              <w:overflowPunct/>
              <w:topLinePunct w:val="0"/>
              <w:autoSpaceDE/>
              <w:autoSpaceDN/>
              <w:bidi w:val="0"/>
              <w:spacing w:before="68" w:line="320" w:lineRule="exact"/>
              <w:ind w:left="240" w:leftChars="100" w:right="127" w:rightChars="53" w:firstLine="0" w:firstLineChars="0"/>
              <w:jc w:val="center"/>
              <w:rPr>
                <w:rFonts w:hint="eastAsia" w:ascii="宋体" w:hAnsi="宋体" w:eastAsia="宋体" w:cs="宋体"/>
                <w:spacing w:val="-8"/>
                <w:kern w:val="2"/>
                <w:sz w:val="21"/>
                <w:szCs w:val="21"/>
                <w:lang w:val="en-US" w:eastAsia="zh-CN" w:bidi="ar-SA"/>
              </w:rPr>
            </w:pPr>
            <w:r>
              <w:rPr>
                <w:rFonts w:hint="eastAsia" w:ascii="宋体" w:hAnsi="宋体" w:eastAsia="宋体" w:cs="宋体"/>
                <w:spacing w:val="-8"/>
                <w:sz w:val="21"/>
                <w:szCs w:val="21"/>
                <w:lang w:val="en-US" w:eastAsia="zh-CN"/>
              </w:rPr>
              <w:t>对使用不符合国家规定防污条件的运载工具过饮用水地表水水源保护区的行政处罚</w:t>
            </w:r>
          </w:p>
        </w:tc>
        <w:tc>
          <w:tcPr>
            <w:tcW w:w="1094" w:type="dxa"/>
            <w:shd w:val="clear" w:color="auto" w:fill="auto"/>
            <w:vAlign w:val="center"/>
          </w:tcPr>
          <w:p w14:paraId="3C3456BF">
            <w:pPr>
              <w:keepNext w:val="0"/>
              <w:keepLines w:val="0"/>
              <w:pageBreakBefore w:val="0"/>
              <w:widowControl w:val="0"/>
              <w:kinsoku/>
              <w:wordWrap/>
              <w:overflowPunct/>
              <w:topLinePunct w:val="0"/>
              <w:autoSpaceDE/>
              <w:autoSpaceDN/>
              <w:bidi w:val="0"/>
              <w:spacing w:before="68" w:line="320" w:lineRule="exact"/>
              <w:ind w:left="0" w:leftChars="0" w:firstLine="0" w:firstLineChars="0"/>
              <w:jc w:val="center"/>
              <w:rPr>
                <w:rFonts w:hint="eastAsia" w:ascii="仿宋_GB2312" w:hAnsi="仿宋_GB2312" w:eastAsia="仿宋_GB2312" w:cs="仿宋_GB2312"/>
                <w:spacing w:val="-8"/>
                <w:kern w:val="2"/>
                <w:sz w:val="24"/>
                <w:szCs w:val="24"/>
                <w:lang w:val="en-US" w:eastAsia="zh-CN" w:bidi="ar-SA"/>
              </w:rPr>
            </w:pPr>
            <w:r>
              <w:rPr>
                <w:rFonts w:hint="eastAsia" w:ascii="仿宋_GB2312" w:hAnsi="仿宋_GB2312" w:eastAsia="仿宋_GB2312" w:cs="仿宋_GB2312"/>
                <w:spacing w:val="-8"/>
                <w:sz w:val="24"/>
                <w:szCs w:val="24"/>
                <w:lang w:val="en-US" w:eastAsia="zh-CN"/>
              </w:rPr>
              <w:t>行政处罚</w:t>
            </w:r>
          </w:p>
        </w:tc>
        <w:tc>
          <w:tcPr>
            <w:tcW w:w="8317" w:type="dxa"/>
            <w:shd w:val="clear" w:color="auto" w:fill="auto"/>
            <w:vAlign w:val="top"/>
          </w:tcPr>
          <w:p w14:paraId="13A130A3">
            <w:pPr>
              <w:keepNext w:val="0"/>
              <w:keepLines w:val="0"/>
              <w:pageBreakBefore w:val="0"/>
              <w:widowControl w:val="0"/>
              <w:suppressLineNumbers w:val="0"/>
              <w:kinsoku/>
              <w:wordWrap/>
              <w:overflowPunct/>
              <w:topLinePunct w:val="0"/>
              <w:autoSpaceDE/>
              <w:autoSpaceDN/>
              <w:bidi w:val="0"/>
              <w:adjustRightInd/>
              <w:snapToGrid/>
              <w:spacing w:after="0" w:afterLines="-2147483648" w:line="320" w:lineRule="exact"/>
              <w:ind w:left="240" w:leftChars="100" w:firstLine="420" w:firstLineChars="200"/>
              <w:jc w:val="both"/>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rightMargin">
                        <wp:posOffset>-6129655</wp:posOffset>
                      </wp:positionH>
                      <wp:positionV relativeFrom="topMargin">
                        <wp:posOffset>1930400</wp:posOffset>
                      </wp:positionV>
                      <wp:extent cx="143510" cy="159385"/>
                      <wp:effectExtent l="0" t="0" r="0" b="0"/>
                      <wp:wrapNone/>
                      <wp:docPr id="1" name="文本框 1"/>
                      <wp:cNvGraphicFramePr/>
                      <a:graphic xmlns:a="http://schemas.openxmlformats.org/drawingml/2006/main">
                        <a:graphicData uri="http://schemas.microsoft.com/office/word/2010/wordprocessingShape">
                          <wps:wsp>
                            <wps:cNvSpPr txBox="1"/>
                            <wps:spPr>
                              <a:xfrm>
                                <a:off x="0" y="0"/>
                                <a:ext cx="143510" cy="159385"/>
                              </a:xfrm>
                              <a:prstGeom prst="rect">
                                <a:avLst/>
                              </a:prstGeom>
                              <a:noFill/>
                              <a:ln>
                                <a:noFill/>
                              </a:ln>
                            </wps:spPr>
                            <wps:txbx>
                              <w:txbxContent>
                                <w:p w14:paraId="704E171B">
                                  <w:pPr>
                                    <w:spacing w:before="20" w:line="185" w:lineRule="auto"/>
                                    <w:ind w:firstLine="20"/>
                                    <w:rPr>
                                      <w:rFonts w:hint="eastAsia" w:ascii="宋体" w:hAnsi="宋体" w:eastAsia="宋体" w:cs="宋体"/>
                                      <w:sz w:val="21"/>
                                      <w:szCs w:val="21"/>
                                      <w:lang w:eastAsia="zh-CN"/>
                                    </w:rPr>
                                  </w:pPr>
                                  <w:r>
                                    <w:rPr>
                                      <w:rFonts w:ascii="宋体" w:hAnsi="宋体" w:eastAsia="宋体" w:cs="宋体"/>
                                      <w:spacing w:val="-20"/>
                                      <w:w w:val="97"/>
                                      <w:sz w:val="21"/>
                                      <w:szCs w:val="21"/>
                                    </w:rPr>
                                    <w:t>区</w:t>
                                  </w:r>
                                </w:p>
                              </w:txbxContent>
                            </wps:txbx>
                            <wps:bodyPr lIns="0" tIns="0" rIns="0" bIns="0" upright="1"/>
                          </wps:wsp>
                        </a:graphicData>
                      </a:graphic>
                    </wp:anchor>
                  </w:drawing>
                </mc:Choice>
                <mc:Fallback>
                  <w:pict>
                    <v:shape id="_x0000_s1026" o:spid="_x0000_s1026" o:spt="202" type="#_x0000_t202" style="position:absolute;left:0pt;margin-left:-66.9pt;margin-top:152.25pt;height:12.55pt;width:11.3pt;mso-position-horizontal-relative:page;mso-position-vertical-relative:page;z-index:251659264;mso-width-relative:page;mso-height-relative:page;" filled="f" stroked="f" coordsize="21600,21600" o:gfxdata="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BDXGXZ3AAAAA0BAAAPAAAAAAAAAAEAIAAAACIAAABkcnMvZG93bnJldi54bWxQ&#10;SwECFAAUAAAACACHTuJAS+ix4boBAABxAwAADgAAAAAAAAABACAAAAArAQAAZHJzL2Uyb0RvYy54&#10;bWxQSwUGAAAAAAYABgBZAQAAVwUAAAAA&#10;">
                      <v:fill on="f" focussize="0,0"/>
                      <v:stroke on="f"/>
                      <v:imagedata o:title=""/>
                      <o:lock v:ext="edit" aspectratio="f"/>
                      <v:textbox inset="0mm,0mm,0mm,0mm">
                        <w:txbxContent>
                          <w:p w14:paraId="704E171B">
                            <w:pPr>
                              <w:spacing w:before="20" w:line="185" w:lineRule="auto"/>
                              <w:ind w:firstLine="20"/>
                              <w:rPr>
                                <w:rFonts w:hint="eastAsia" w:ascii="宋体" w:hAnsi="宋体" w:eastAsia="宋体" w:cs="宋体"/>
                                <w:sz w:val="21"/>
                                <w:szCs w:val="21"/>
                                <w:lang w:eastAsia="zh-CN"/>
                              </w:rPr>
                            </w:pPr>
                            <w:r>
                              <w:rPr>
                                <w:rFonts w:ascii="宋体" w:hAnsi="宋体" w:eastAsia="宋体" w:cs="宋体"/>
                                <w:spacing w:val="-20"/>
                                <w:w w:val="97"/>
                                <w:sz w:val="21"/>
                                <w:szCs w:val="21"/>
                              </w:rPr>
                              <w:t>区</w:t>
                            </w:r>
                          </w:p>
                        </w:txbxContent>
                      </v:textbox>
                    </v:shape>
                  </w:pict>
                </mc:Fallback>
              </mc:AlternateContent>
            </w: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陕西省城市饮用水水源保护区环境保护条例》第三十二条违反本条例第十六条第一款第（五）项，第十七条第一款第（四）项、第（七）项，第二十条第一款第（四）项规定的，由环境保护行政主管部门责令改正，可以处一千元以上一万元以下罚款。第十六条饮用水地表水水源保护区内禁止下列活动：（一）破坏水源涵养林、护岸林以及与水源保护相关的植被；（二）向水域倾倒工业废渣、垃圾、粪便及其他废弃物；（三）使用剧毒、高残留农药；（四）使用炸药、毒药捕杀鱼类和其他生物；（五）使用不符合国家规定防污条件的运载工具，运载油类、粪便及其他有毒有害物品通过水源保护。禁止运输危险化学品的车辆通过饮用水地表水水源保护区；确需通过的，应当依照国务院《危险化学品安全管理条例》的有关规定执行。</w:t>
            </w:r>
          </w:p>
          <w:p w14:paraId="17E5CA04">
            <w:pPr>
              <w:keepNext w:val="0"/>
              <w:keepLines w:val="0"/>
              <w:pageBreakBefore w:val="0"/>
              <w:widowControl w:val="0"/>
              <w:suppressLineNumbers w:val="0"/>
              <w:kinsoku/>
              <w:wordWrap/>
              <w:overflowPunct/>
              <w:topLinePunct w:val="0"/>
              <w:autoSpaceDE/>
              <w:autoSpaceDN/>
              <w:bidi w:val="0"/>
              <w:adjustRightInd/>
              <w:snapToGrid/>
              <w:spacing w:after="0" w:afterLines="-2147483648" w:line="320" w:lineRule="exact"/>
              <w:ind w:left="240" w:leftChars="100" w:firstLine="420" w:firstLineChars="200"/>
              <w:jc w:val="both"/>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第十七条饮用水地表水水源一级保护区内，还禁止下列活动：（一）建设与供水设施和保护水源无关的项目；（二）向水体排放污染物；（三）勘探、开采矿产资源；（四）从事养殖业和种植农作物；（五）旅游和旅游开发活动；（六）堆放工业固体废弃物、垃圾、粪便和其他有毒有害物品；（七）建立墓地和掩埋动物尸体；（八）其他污染水源的活动。本条例施行前已有的排污口应当限期拆除；已有的旅游设施、采矿设施等污染源应当予以取缔；已建立的墓地必须搬迁；有害物质必须清除。</w:t>
            </w:r>
          </w:p>
          <w:p w14:paraId="07ABDABF">
            <w:pPr>
              <w:keepNext w:val="0"/>
              <w:keepLines w:val="0"/>
              <w:pageBreakBefore w:val="0"/>
              <w:widowControl w:val="0"/>
              <w:suppressLineNumbers w:val="0"/>
              <w:kinsoku/>
              <w:wordWrap/>
              <w:overflowPunct/>
              <w:topLinePunct w:val="0"/>
              <w:autoSpaceDE/>
              <w:autoSpaceDN/>
              <w:bidi w:val="0"/>
              <w:adjustRightInd/>
              <w:snapToGrid/>
              <w:spacing w:after="0" w:afterLines="-2147483648" w:line="320" w:lineRule="exact"/>
              <w:ind w:left="240" w:leftChars="100" w:firstLine="420" w:firstLineChars="200"/>
              <w:jc w:val="both"/>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第二十条饮用水地下水水源保护区内，禁止下列活动：（一）利用渗坑、渗井、裂隙、溶洞等排放污水和其他废弃物；（二）利用储水层孔隙、裂隙、溶洞和废弃矿坑储存油类、放射性物质、有毒有害化学物品；（三）设置垃圾、粪便和易溶、有害废弃物的集中堆放场、转运站；（四）使用不符合国家《农田灌溉水质标准》的污水灌溉农田。地质钻探过程中，必须采取防护措施，分层止水、封隔，防止污染地下水水源。</w:t>
            </w:r>
          </w:p>
        </w:tc>
        <w:tc>
          <w:tcPr>
            <w:tcW w:w="1129" w:type="dxa"/>
          </w:tcPr>
          <w:p w14:paraId="7AAF11C3">
            <w:pPr>
              <w:keepNext w:val="0"/>
              <w:keepLines w:val="0"/>
              <w:pageBreakBefore w:val="0"/>
              <w:widowControl w:val="0"/>
              <w:kinsoku/>
              <w:wordWrap/>
              <w:overflowPunct/>
              <w:topLinePunct w:val="0"/>
              <w:autoSpaceDE/>
              <w:autoSpaceDN/>
              <w:bidi w:val="0"/>
              <w:spacing w:before="69" w:line="320" w:lineRule="exact"/>
              <w:ind w:left="49" w:leftChars="0" w:right="26" w:rightChars="0" w:firstLine="404" w:firstLineChars="200"/>
              <w:rPr>
                <w:rFonts w:ascii="宋体" w:hAnsi="宋体" w:eastAsia="宋体" w:cs="宋体"/>
                <w:spacing w:val="-4"/>
                <w:sz w:val="21"/>
                <w:szCs w:val="21"/>
              </w:rPr>
            </w:pPr>
          </w:p>
        </w:tc>
        <w:tc>
          <w:tcPr>
            <w:tcW w:w="990" w:type="dxa"/>
            <w:gridSpan w:val="2"/>
          </w:tcPr>
          <w:p w14:paraId="61C2D131">
            <w:pPr>
              <w:keepNext w:val="0"/>
              <w:keepLines w:val="0"/>
              <w:pageBreakBefore w:val="0"/>
              <w:widowControl w:val="0"/>
              <w:kinsoku/>
              <w:wordWrap/>
              <w:overflowPunct/>
              <w:topLinePunct w:val="0"/>
              <w:autoSpaceDE/>
              <w:autoSpaceDN/>
              <w:bidi w:val="0"/>
              <w:spacing w:before="69" w:line="320" w:lineRule="exact"/>
              <w:ind w:left="204" w:leftChars="0" w:right="59" w:rightChars="0" w:firstLine="404" w:firstLineChars="200"/>
              <w:rPr>
                <w:rFonts w:ascii="宋体" w:hAnsi="宋体" w:eastAsia="宋体" w:cs="宋体"/>
                <w:spacing w:val="-4"/>
                <w:sz w:val="21"/>
                <w:szCs w:val="21"/>
              </w:rPr>
            </w:pPr>
          </w:p>
        </w:tc>
      </w:tr>
    </w:tbl>
    <w:p w14:paraId="09A82883">
      <w:pPr>
        <w:spacing w:before="143" w:line="249" w:lineRule="auto"/>
        <w:ind w:left="0" w:leftChars="0" w:right="996" w:firstLine="0" w:firstLineChars="0"/>
        <w:jc w:val="both"/>
        <w:rPr>
          <w:rFonts w:hint="eastAsia" w:eastAsia="仿宋"/>
          <w:lang w:eastAsia="zh-CN"/>
        </w:rPr>
      </w:pPr>
    </w:p>
    <w:sectPr>
      <w:footerReference r:id="rId5" w:type="default"/>
      <w:pgSz w:w="16838" w:h="11906" w:orient="landscape"/>
      <w:pgMar w:top="1746" w:right="1440" w:bottom="1633" w:left="1440" w:header="851" w:footer="992" w:gutter="0"/>
      <w:cols w:space="0" w:num="1"/>
      <w:rtlGutter w:val="0"/>
      <w:docGrid w:type="lines" w:linePitch="33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Segoe UI">
    <w:panose1 w:val="020B0502040204020203"/>
    <w:charset w:val="00"/>
    <w:family w:val="auto"/>
    <w:pitch w:val="default"/>
    <w:sig w:usb0="E4002EFF" w:usb1="C000E47F"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汉仪雅酷黑-95J">
    <w:altName w:val="黑体"/>
    <w:panose1 w:val="00020600040101010101"/>
    <w:charset w:val="86"/>
    <w:family w:val="roman"/>
    <w:pitch w:val="default"/>
    <w:sig w:usb0="00000000" w:usb1="00000000" w:usb2="00000016" w:usb3="00000000" w:csb0="2004000F" w:csb1="00000000"/>
  </w:font>
  <w:font w:name="Microsoft YaHei UI">
    <w:panose1 w:val="020B0503020204020204"/>
    <w:charset w:val="86"/>
    <w:family w:val="swiss"/>
    <w:pitch w:val="default"/>
    <w:sig w:usb0="80000287" w:usb1="2ACF3C50"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汉仪雅酷黑-95J">
    <w:altName w:val="黑体"/>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88725C">
    <w:pPr>
      <w:spacing w:line="197" w:lineRule="exact"/>
      <w:ind w:left="0" w:leftChars="0" w:firstLine="0" w:firstLineChars="0"/>
      <w:rPr>
        <w:rFonts w:hint="eastAsia" w:ascii="宋体" w:hAnsi="宋体" w:eastAsia="宋体" w:cs="宋体"/>
        <w:sz w:val="28"/>
        <w:szCs w:val="28"/>
        <w:lang w:eastAsia="zh-C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ind w:firstLine="480"/>
      </w:pPr>
      <w:r>
        <w:separator/>
      </w:r>
    </w:p>
  </w:footnote>
  <w:footnote w:type="continuationSeparator" w:id="1">
    <w:p>
      <w:pPr>
        <w:spacing w:before="0" w:after="0" w:line="240" w:lineRule="auto"/>
        <w:ind w:firstLine="48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8C6EDA1"/>
    <w:multiLevelType w:val="multilevel"/>
    <w:tmpl w:val="D8C6EDA1"/>
    <w:lvl w:ilvl="0" w:tentative="0">
      <w:start w:val="1"/>
      <w:numFmt w:val="chineseCounting"/>
      <w:pStyle w:val="4"/>
      <w:suff w:val="nothing"/>
      <w:lvlText w:val="%1、"/>
      <w:lvlJc w:val="left"/>
      <w:pPr>
        <w:tabs>
          <w:tab w:val="left" w:pos="0"/>
        </w:tabs>
        <w:ind w:left="0" w:firstLine="0"/>
      </w:pPr>
      <w:rPr>
        <w:rFonts w:hint="eastAsia" w:ascii="微软雅黑" w:hAnsi="微软雅黑" w:eastAsia="微软雅黑" w:cs="Times New Roman"/>
        <w:b/>
        <w:bCs/>
      </w:rPr>
    </w:lvl>
    <w:lvl w:ilvl="1" w:tentative="0">
      <w:start w:val="1"/>
      <w:numFmt w:val="decimal"/>
      <w:pStyle w:val="5"/>
      <w:suff w:val="nothing"/>
      <w:lvlText w:val="%2．"/>
      <w:lvlJc w:val="left"/>
      <w:pPr>
        <w:tabs>
          <w:tab w:val="left" w:pos="0"/>
        </w:tabs>
        <w:ind w:left="0" w:firstLine="0"/>
      </w:pPr>
      <w:rPr>
        <w:rFonts w:hint="eastAsia" w:ascii="微软雅黑" w:hAnsi="微软雅黑" w:eastAsia="微软雅黑" w:cs="Times New Roman"/>
      </w:rPr>
    </w:lvl>
    <w:lvl w:ilvl="2" w:tentative="0">
      <w:start w:val="1"/>
      <w:numFmt w:val="decimal"/>
      <w:pStyle w:val="6"/>
      <w:suff w:val="nothing"/>
      <w:lvlText w:val="(%3) "/>
      <w:lvlJc w:val="left"/>
      <w:pPr>
        <w:ind w:left="0" w:firstLine="0"/>
      </w:pPr>
      <w:rPr>
        <w:rFonts w:hint="eastAsia" w:ascii="微软雅黑" w:hAnsi="微软雅黑" w:eastAsia="微软雅黑" w:cs="Times New Roman"/>
      </w:rPr>
    </w:lvl>
    <w:lvl w:ilvl="3" w:tentative="0">
      <w:start w:val="1"/>
      <w:numFmt w:val="decimal"/>
      <w:pStyle w:val="7"/>
      <w:suff w:val="nothing"/>
      <w:lvlText w:val="%4）"/>
      <w:lvlJc w:val="left"/>
      <w:pPr>
        <w:tabs>
          <w:tab w:val="left" w:pos="0"/>
        </w:tabs>
        <w:ind w:left="0" w:firstLine="0"/>
      </w:pPr>
      <w:rPr>
        <w:rFonts w:hint="eastAsia" w:ascii="微软雅黑" w:hAnsi="微软雅黑" w:eastAsia="微软雅黑" w:cs="Times New Roman"/>
      </w:rPr>
    </w:lvl>
    <w:lvl w:ilvl="4" w:tentative="0">
      <w:start w:val="1"/>
      <w:numFmt w:val="upperLetter"/>
      <w:pStyle w:val="8"/>
      <w:suff w:val="nothing"/>
      <w:lvlText w:val="%5．"/>
      <w:lvlJc w:val="left"/>
      <w:pPr>
        <w:tabs>
          <w:tab w:val="left" w:pos="0"/>
        </w:tabs>
        <w:ind w:left="0" w:firstLine="0"/>
      </w:pPr>
      <w:rPr>
        <w:rFonts w:hint="eastAsia" w:ascii="微软雅黑" w:hAnsi="微软雅黑" w:eastAsia="微软雅黑" w:cs="Times New Roman"/>
      </w:rPr>
    </w:lvl>
    <w:lvl w:ilvl="5" w:tentative="0">
      <w:start w:val="1"/>
      <w:numFmt w:val="lowerLetter"/>
      <w:pStyle w:val="9"/>
      <w:suff w:val="nothing"/>
      <w:lvlText w:val="%6．"/>
      <w:lvlJc w:val="left"/>
      <w:pPr>
        <w:ind w:left="0" w:firstLine="0"/>
      </w:pPr>
      <w:rPr>
        <w:rFonts w:hint="eastAsia" w:ascii="微软雅黑" w:hAnsi="微软雅黑" w:eastAsia="微软雅黑" w:cs="Times New Roman"/>
      </w:rPr>
    </w:lvl>
    <w:lvl w:ilvl="6" w:tentative="0">
      <w:start w:val="1"/>
      <w:numFmt w:val="lowerLetter"/>
      <w:pStyle w:val="10"/>
      <w:suff w:val="nothing"/>
      <w:lvlText w:val="%7）"/>
      <w:lvlJc w:val="left"/>
      <w:pPr>
        <w:ind w:left="0" w:firstLine="0"/>
      </w:pPr>
      <w:rPr>
        <w:rFonts w:hint="eastAsia" w:ascii="微软雅黑" w:hAnsi="微软雅黑" w:eastAsia="微软雅黑" w:cs="Times New Roman"/>
      </w:rPr>
    </w:lvl>
    <w:lvl w:ilvl="7" w:tentative="0">
      <w:start w:val="1"/>
      <w:numFmt w:val="lowerRoman"/>
      <w:pStyle w:val="11"/>
      <w:suff w:val="nothing"/>
      <w:lvlText w:val="%8．"/>
      <w:lvlJc w:val="left"/>
      <w:pPr>
        <w:tabs>
          <w:tab w:val="left" w:pos="0"/>
        </w:tabs>
        <w:ind w:left="0" w:firstLine="0"/>
      </w:pPr>
      <w:rPr>
        <w:rFonts w:hint="eastAsia" w:ascii="微软雅黑" w:hAnsi="微软雅黑" w:eastAsia="微软雅黑" w:cs="Times New Roman"/>
      </w:rPr>
    </w:lvl>
    <w:lvl w:ilvl="8" w:tentative="0">
      <w:start w:val="1"/>
      <w:numFmt w:val="lowerRoman"/>
      <w:pStyle w:val="12"/>
      <w:suff w:val="nothing"/>
      <w:lvlText w:val="%9）"/>
      <w:lvlJc w:val="left"/>
      <w:pPr>
        <w:tabs>
          <w:tab w:val="left" w:pos="0"/>
        </w:tabs>
        <w:ind w:left="0" w:firstLine="0"/>
      </w:pPr>
      <w:rPr>
        <w:rFonts w:hint="eastAsia" w:ascii="微软雅黑" w:hAnsi="微软雅黑" w:eastAsia="微软雅黑" w:cs="Times New Roman"/>
      </w:rPr>
    </w:lvl>
  </w:abstractNum>
  <w:abstractNum w:abstractNumId="1">
    <w:nsid w:val="DC78CE72"/>
    <w:multiLevelType w:val="singleLevel"/>
    <w:tmpl w:val="DC78CE72"/>
    <w:lvl w:ilvl="0" w:tentative="0">
      <w:start w:val="1"/>
      <w:numFmt w:val="decimal"/>
      <w:pStyle w:val="152"/>
      <w:lvlText w:val="[%1]"/>
      <w:lvlJc w:val="left"/>
      <w:pPr>
        <w:tabs>
          <w:tab w:val="left" w:pos="420"/>
        </w:tabs>
        <w:ind w:left="425" w:leftChars="0" w:hanging="425" w:firstLineChars="0"/>
      </w:pPr>
      <w:rPr>
        <w:rFonts w:hint="default"/>
      </w:rPr>
    </w:lvl>
  </w:abstractNum>
  <w:abstractNum w:abstractNumId="2">
    <w:nsid w:val="EF81268F"/>
    <w:multiLevelType w:val="singleLevel"/>
    <w:tmpl w:val="EF81268F"/>
    <w:lvl w:ilvl="0" w:tentative="0">
      <w:start w:val="1"/>
      <w:numFmt w:val="decimal"/>
      <w:pStyle w:val="158"/>
      <w:suff w:val="space"/>
      <w:lvlText w:val="图%1"/>
      <w:lvlJc w:val="left"/>
      <w:pPr>
        <w:ind w:left="425" w:leftChars="0" w:hanging="425" w:firstLineChars="0"/>
      </w:pPr>
      <w:rPr>
        <w:rFonts w:hint="default"/>
      </w:rPr>
    </w:lvl>
  </w:abstractNum>
  <w:abstractNum w:abstractNumId="3">
    <w:nsid w:val="FFFFFF7C"/>
    <w:multiLevelType w:val="singleLevel"/>
    <w:tmpl w:val="FFFFFF7C"/>
    <w:lvl w:ilvl="0" w:tentative="0">
      <w:start w:val="1"/>
      <w:numFmt w:val="decimal"/>
      <w:pStyle w:val="66"/>
      <w:lvlText w:val="%1."/>
      <w:lvlJc w:val="left"/>
      <w:pPr>
        <w:tabs>
          <w:tab w:val="left" w:pos="2040"/>
        </w:tabs>
        <w:ind w:left="2040" w:leftChars="800" w:hanging="360" w:hangingChars="200"/>
      </w:pPr>
    </w:lvl>
  </w:abstractNum>
  <w:abstractNum w:abstractNumId="4">
    <w:nsid w:val="FFFFFF7D"/>
    <w:multiLevelType w:val="singleLevel"/>
    <w:tmpl w:val="FFFFFF7D"/>
    <w:lvl w:ilvl="0" w:tentative="0">
      <w:start w:val="1"/>
      <w:numFmt w:val="decimal"/>
      <w:pStyle w:val="48"/>
      <w:lvlText w:val="%1."/>
      <w:lvlJc w:val="left"/>
      <w:pPr>
        <w:tabs>
          <w:tab w:val="left" w:pos="1620"/>
        </w:tabs>
        <w:ind w:left="1620" w:leftChars="600" w:hanging="360" w:hangingChars="200"/>
      </w:pPr>
    </w:lvl>
  </w:abstractNum>
  <w:abstractNum w:abstractNumId="5">
    <w:nsid w:val="FFFFFF7E"/>
    <w:multiLevelType w:val="singleLevel"/>
    <w:tmpl w:val="FFFFFF7E"/>
    <w:lvl w:ilvl="0" w:tentative="0">
      <w:start w:val="1"/>
      <w:numFmt w:val="decimal"/>
      <w:pStyle w:val="37"/>
      <w:lvlText w:val="%1."/>
      <w:lvlJc w:val="left"/>
      <w:pPr>
        <w:tabs>
          <w:tab w:val="left" w:pos="1200"/>
        </w:tabs>
        <w:ind w:left="1200" w:leftChars="400" w:hanging="360" w:hangingChars="200"/>
      </w:pPr>
    </w:lvl>
  </w:abstractNum>
  <w:abstractNum w:abstractNumId="6">
    <w:nsid w:val="FFFFFF7F"/>
    <w:multiLevelType w:val="singleLevel"/>
    <w:tmpl w:val="FFFFFF7F"/>
    <w:lvl w:ilvl="0" w:tentative="0">
      <w:start w:val="1"/>
      <w:numFmt w:val="decimal"/>
      <w:pStyle w:val="15"/>
      <w:lvlText w:val="%1."/>
      <w:lvlJc w:val="left"/>
      <w:pPr>
        <w:tabs>
          <w:tab w:val="left" w:pos="780"/>
        </w:tabs>
        <w:ind w:left="780" w:leftChars="200" w:hanging="360" w:hangingChars="200"/>
      </w:pPr>
    </w:lvl>
  </w:abstractNum>
  <w:abstractNum w:abstractNumId="7">
    <w:nsid w:val="FFFFFF88"/>
    <w:multiLevelType w:val="singleLevel"/>
    <w:tmpl w:val="FFFFFF88"/>
    <w:lvl w:ilvl="0" w:tentative="0">
      <w:start w:val="1"/>
      <w:numFmt w:val="decimal"/>
      <w:pStyle w:val="23"/>
      <w:lvlText w:val="%1."/>
      <w:lvlJc w:val="left"/>
      <w:pPr>
        <w:tabs>
          <w:tab w:val="left" w:pos="360"/>
        </w:tabs>
        <w:ind w:left="360" w:hanging="360" w:hangingChars="200"/>
      </w:pPr>
    </w:lvl>
  </w:abstractNum>
  <w:abstractNum w:abstractNumId="8">
    <w:nsid w:val="FFFFFF89"/>
    <w:multiLevelType w:val="singleLevel"/>
    <w:tmpl w:val="FFFFFF89"/>
    <w:lvl w:ilvl="0" w:tentative="0">
      <w:start w:val="1"/>
      <w:numFmt w:val="bullet"/>
      <w:pStyle w:val="20"/>
      <w:lvlText w:val=""/>
      <w:lvlJc w:val="left"/>
      <w:pPr>
        <w:tabs>
          <w:tab w:val="left" w:pos="360"/>
        </w:tabs>
        <w:ind w:left="360" w:hanging="360" w:hangingChars="200"/>
      </w:pPr>
      <w:rPr>
        <w:rFonts w:hint="default" w:ascii="Wingdings" w:hAnsi="Wingdings"/>
      </w:rPr>
    </w:lvl>
  </w:abstractNum>
  <w:abstractNum w:abstractNumId="9">
    <w:nsid w:val="0382B6CA"/>
    <w:multiLevelType w:val="singleLevel"/>
    <w:tmpl w:val="0382B6CA"/>
    <w:lvl w:ilvl="0" w:tentative="0">
      <w:start w:val="1"/>
      <w:numFmt w:val="decimal"/>
      <w:pStyle w:val="157"/>
      <w:suff w:val="space"/>
      <w:lvlText w:val="表%1"/>
      <w:lvlJc w:val="left"/>
      <w:pPr>
        <w:ind w:left="425" w:leftChars="0" w:hanging="425" w:firstLineChars="0"/>
      </w:pPr>
      <w:rPr>
        <w:rFonts w:hint="default"/>
      </w:rPr>
    </w:lvl>
  </w:abstractNum>
  <w:num w:numId="1">
    <w:abstractNumId w:val="0"/>
  </w:num>
  <w:num w:numId="2">
    <w:abstractNumId w:val="6"/>
  </w:num>
  <w:num w:numId="3">
    <w:abstractNumId w:val="8"/>
  </w:num>
  <w:num w:numId="4">
    <w:abstractNumId w:val="7"/>
  </w:num>
  <w:num w:numId="5">
    <w:abstractNumId w:val="5"/>
  </w:num>
  <w:num w:numId="6">
    <w:abstractNumId w:val="4"/>
  </w:num>
  <w:num w:numId="7">
    <w:abstractNumId w:val="3"/>
  </w:num>
  <w:num w:numId="8">
    <w:abstractNumId w:val="1"/>
  </w:num>
  <w:num w:numId="9">
    <w:abstractNumId w:val="9"/>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5"/>
  <w:embedSystemFonts/>
  <w:bordersDoNotSurroundHeader w:val="1"/>
  <w:bordersDoNotSurroundFooter w:val="1"/>
  <w:documentProtection w:enforcement="0"/>
  <w:defaultTabStop w:val="420"/>
  <w:drawingGridVerticalSpacing w:val="16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1E9268C"/>
    <w:rsid w:val="07171503"/>
    <w:rsid w:val="07377694"/>
    <w:rsid w:val="51E9268C"/>
    <w:rsid w:val="692F13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0" w:semiHidden="0" w:name="heading 6"/>
    <w:lsdException w:qFormat="1" w:uiPriority="0" w:semiHidden="0" w:name="heading 7"/>
    <w:lsdException w:qFormat="1" w:uiPriority="0" w:semiHidden="0" w:name="heading 8"/>
    <w:lsdException w:qFormat="1" w:uiPriority="0"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iPriority="0" w:semiHidden="0" w:name="caption"/>
    <w:lsdException w:qFormat="1" w:unhideWhenUsed="0" w:uiPriority="0" w:semiHidden="0" w:name="table of figures"/>
    <w:lsdException w:qFormat="1" w:unhideWhenUsed="0" w:uiPriority="0" w:semiHidden="0" w:name="envelope address"/>
    <w:lsdException w:qFormat="1"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qFormat="1" w:unhideWhenUsed="0" w:uiPriority="0" w:semiHidden="0" w:name="table of authorities"/>
    <w:lsdException w:qFormat="1" w:unhideWhenUsed="0" w:uiPriority="0" w:semiHidden="0" w:name="macro"/>
    <w:lsdException w:qFormat="1"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0" w:semiHidden="0" w:name="Title"/>
    <w:lsdException w:qFormat="1" w:unhideWhenUsed="0" w:uiPriority="0" w:semiHidden="0" w:name="Closing"/>
    <w:lsdException w:qFormat="1"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qFormat="1" w:unhideWhenUsed="0" w:uiPriority="0" w:semiHidden="0"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qFormat="1" w:unhideWhenUsed="0" w:uiPriority="0" w:semiHidden="0" w:name="E-mail Signature"/>
    <w:lsdException w:qFormat="1" w:unhideWhenUsed="0" w:uiPriority="0" w:semiHidden="0" w:name="Normal (Web)"/>
    <w:lsdException w:unhideWhenUsed="0" w:uiPriority="0" w:semiHidden="0" w:name="HTML Acronym"/>
    <w:lsdException w:qFormat="1"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qFormat="1" w:unhideWhenUsed="0" w:uiPriority="99" w:semiHidden="0" w:name="Quote"/>
    <w:lsdException w:qFormat="1" w:unhideWhenUsed="0" w:uiPriority="99"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snapToGrid w:val="0"/>
      <w:spacing w:after="50" w:afterLines="50" w:line="240" w:lineRule="auto"/>
      <w:ind w:firstLine="440" w:firstLineChars="200"/>
      <w:jc w:val="both"/>
    </w:pPr>
    <w:rPr>
      <w:rFonts w:ascii="微软雅黑" w:hAnsi="微软雅黑" w:eastAsia="微软雅黑" w:cs="Times New Roman"/>
      <w:kern w:val="2"/>
      <w:sz w:val="24"/>
      <w:szCs w:val="24"/>
      <w:lang w:val="en-US" w:eastAsia="zh-CN" w:bidi="ar-SA"/>
    </w:rPr>
  </w:style>
  <w:style w:type="paragraph" w:styleId="4">
    <w:name w:val="heading 1"/>
    <w:next w:val="1"/>
    <w:qFormat/>
    <w:uiPriority w:val="9"/>
    <w:pPr>
      <w:keepNext/>
      <w:keepLines/>
      <w:numPr>
        <w:ilvl w:val="0"/>
        <w:numId w:val="1"/>
      </w:numPr>
      <w:tabs>
        <w:tab w:val="left" w:pos="-420"/>
      </w:tabs>
      <w:adjustRightInd w:val="0"/>
      <w:snapToGrid w:val="0"/>
      <w:spacing w:before="50" w:beforeLines="50"/>
      <w:outlineLvl w:val="0"/>
    </w:pPr>
    <w:rPr>
      <w:rFonts w:ascii="微软雅黑" w:hAnsi="微软雅黑" w:eastAsia="微软雅黑" w:cs="Times New Roman"/>
      <w:b/>
      <w:bCs/>
      <w:color w:val="auto"/>
      <w:kern w:val="44"/>
      <w:sz w:val="32"/>
      <w:szCs w:val="32"/>
      <w:lang w:val="en-US" w:eastAsia="zh-CN" w:bidi="ar-SA"/>
    </w:rPr>
  </w:style>
  <w:style w:type="paragraph" w:styleId="5">
    <w:name w:val="heading 2"/>
    <w:next w:val="1"/>
    <w:link w:val="128"/>
    <w:unhideWhenUsed/>
    <w:qFormat/>
    <w:uiPriority w:val="9"/>
    <w:pPr>
      <w:numPr>
        <w:ilvl w:val="1"/>
        <w:numId w:val="1"/>
      </w:numPr>
      <w:adjustRightInd w:val="0"/>
      <w:snapToGrid w:val="0"/>
      <w:spacing w:before="50" w:beforeLines="50"/>
      <w:outlineLvl w:val="1"/>
    </w:pPr>
    <w:rPr>
      <w:rFonts w:ascii="微软雅黑" w:hAnsi="微软雅黑" w:eastAsia="微软雅黑" w:cs="Times New Roman"/>
      <w:b/>
      <w:bCs/>
      <w:color w:val="auto"/>
      <w:kern w:val="2"/>
      <w:sz w:val="30"/>
      <w:szCs w:val="30"/>
      <w:lang w:val="en-US" w:eastAsia="zh-CN" w:bidi="ar-SA"/>
    </w:rPr>
  </w:style>
  <w:style w:type="paragraph" w:styleId="6">
    <w:name w:val="heading 3"/>
    <w:next w:val="1"/>
    <w:unhideWhenUsed/>
    <w:qFormat/>
    <w:uiPriority w:val="9"/>
    <w:pPr>
      <w:numPr>
        <w:ilvl w:val="2"/>
        <w:numId w:val="1"/>
      </w:numPr>
      <w:tabs>
        <w:tab w:val="left" w:pos="312"/>
      </w:tabs>
      <w:adjustRightInd w:val="0"/>
      <w:snapToGrid w:val="0"/>
      <w:spacing w:before="50" w:beforeLines="50"/>
      <w:outlineLvl w:val="2"/>
    </w:pPr>
    <w:rPr>
      <w:rFonts w:ascii="微软雅黑" w:hAnsi="微软雅黑" w:eastAsia="微软雅黑" w:cs="Times New Roman"/>
      <w:b/>
      <w:bCs/>
      <w:color w:val="auto"/>
      <w:kern w:val="2"/>
      <w:sz w:val="28"/>
      <w:szCs w:val="28"/>
      <w:lang w:val="en-US" w:eastAsia="zh-CN" w:bidi="ar-SA"/>
    </w:rPr>
  </w:style>
  <w:style w:type="paragraph" w:styleId="7">
    <w:name w:val="heading 4"/>
    <w:next w:val="1"/>
    <w:unhideWhenUsed/>
    <w:qFormat/>
    <w:uiPriority w:val="9"/>
    <w:pPr>
      <w:numPr>
        <w:ilvl w:val="3"/>
        <w:numId w:val="1"/>
      </w:numPr>
      <w:adjustRightInd w:val="0"/>
      <w:snapToGrid w:val="0"/>
      <w:spacing w:before="50" w:beforeLines="50"/>
      <w:outlineLvl w:val="3"/>
    </w:pPr>
    <w:rPr>
      <w:rFonts w:ascii="微软雅黑" w:hAnsi="微软雅黑" w:eastAsia="微软雅黑" w:cs="Times New Roman"/>
      <w:b/>
      <w:bCs/>
      <w:color w:val="auto"/>
      <w:sz w:val="28"/>
      <w:szCs w:val="28"/>
      <w:lang w:val="en-US" w:eastAsia="zh-CN" w:bidi="ar-SA"/>
    </w:rPr>
  </w:style>
  <w:style w:type="paragraph" w:styleId="8">
    <w:name w:val="heading 5"/>
    <w:next w:val="1"/>
    <w:unhideWhenUsed/>
    <w:qFormat/>
    <w:uiPriority w:val="9"/>
    <w:pPr>
      <w:numPr>
        <w:ilvl w:val="4"/>
        <w:numId w:val="1"/>
      </w:numPr>
      <w:adjustRightInd w:val="0"/>
      <w:snapToGrid w:val="0"/>
      <w:spacing w:before="50" w:beforeLines="50"/>
      <w:outlineLvl w:val="4"/>
    </w:pPr>
    <w:rPr>
      <w:rFonts w:ascii="微软雅黑" w:hAnsi="微软雅黑" w:eastAsia="微软雅黑" w:cs="Times New Roman"/>
      <w:b/>
      <w:bCs/>
      <w:color w:val="auto"/>
      <w:sz w:val="24"/>
      <w:szCs w:val="24"/>
      <w:lang w:val="en-US" w:eastAsia="zh-CN" w:bidi="ar-SA"/>
    </w:rPr>
  </w:style>
  <w:style w:type="paragraph" w:styleId="9">
    <w:name w:val="heading 6"/>
    <w:next w:val="1"/>
    <w:unhideWhenUsed/>
    <w:qFormat/>
    <w:uiPriority w:val="0"/>
    <w:pPr>
      <w:numPr>
        <w:ilvl w:val="5"/>
        <w:numId w:val="1"/>
      </w:numPr>
      <w:adjustRightInd w:val="0"/>
      <w:snapToGrid w:val="0"/>
      <w:spacing w:before="50" w:beforeLines="50"/>
      <w:outlineLvl w:val="5"/>
    </w:pPr>
    <w:rPr>
      <w:rFonts w:ascii="微软雅黑" w:hAnsi="微软雅黑" w:eastAsia="微软雅黑" w:cs="Times New Roman"/>
      <w:b/>
      <w:bCs/>
      <w:color w:val="auto"/>
      <w:sz w:val="24"/>
      <w:szCs w:val="24"/>
      <w:lang w:val="en-US" w:eastAsia="zh-CN" w:bidi="ar-SA"/>
    </w:rPr>
  </w:style>
  <w:style w:type="paragraph" w:styleId="10">
    <w:name w:val="heading 7"/>
    <w:next w:val="1"/>
    <w:unhideWhenUsed/>
    <w:qFormat/>
    <w:uiPriority w:val="0"/>
    <w:pPr>
      <w:numPr>
        <w:ilvl w:val="6"/>
        <w:numId w:val="1"/>
      </w:numPr>
      <w:tabs>
        <w:tab w:val="left" w:pos="4800"/>
      </w:tabs>
      <w:adjustRightInd w:val="0"/>
      <w:snapToGrid w:val="0"/>
      <w:spacing w:before="50" w:beforeLines="50"/>
      <w:outlineLvl w:val="6"/>
    </w:pPr>
    <w:rPr>
      <w:rFonts w:ascii="微软雅黑" w:hAnsi="微软雅黑" w:eastAsia="微软雅黑" w:cs="Times New Roman"/>
      <w:b/>
      <w:bCs/>
      <w:color w:val="auto"/>
      <w:sz w:val="24"/>
      <w:szCs w:val="24"/>
      <w:lang w:val="en-US" w:eastAsia="zh-CN" w:bidi="ar-SA"/>
    </w:rPr>
  </w:style>
  <w:style w:type="paragraph" w:styleId="11">
    <w:name w:val="heading 8"/>
    <w:next w:val="1"/>
    <w:unhideWhenUsed/>
    <w:qFormat/>
    <w:uiPriority w:val="0"/>
    <w:pPr>
      <w:numPr>
        <w:ilvl w:val="7"/>
        <w:numId w:val="1"/>
      </w:numPr>
      <w:adjustRightInd w:val="0"/>
      <w:snapToGrid w:val="0"/>
      <w:spacing w:before="50" w:beforeLines="50"/>
      <w:outlineLvl w:val="7"/>
    </w:pPr>
    <w:rPr>
      <w:rFonts w:ascii="微软雅黑" w:hAnsi="微软雅黑" w:eastAsia="微软雅黑" w:cs="Times New Roman"/>
      <w:b/>
      <w:bCs/>
      <w:color w:val="auto"/>
      <w:sz w:val="24"/>
      <w:szCs w:val="24"/>
      <w:lang w:val="en-US" w:eastAsia="zh-CN" w:bidi="ar-SA"/>
    </w:rPr>
  </w:style>
  <w:style w:type="paragraph" w:styleId="12">
    <w:name w:val="heading 9"/>
    <w:next w:val="1"/>
    <w:unhideWhenUsed/>
    <w:qFormat/>
    <w:uiPriority w:val="0"/>
    <w:pPr>
      <w:numPr>
        <w:ilvl w:val="8"/>
        <w:numId w:val="1"/>
      </w:numPr>
      <w:adjustRightInd w:val="0"/>
      <w:snapToGrid w:val="0"/>
      <w:spacing w:before="50" w:beforeLines="50"/>
      <w:outlineLvl w:val="8"/>
    </w:pPr>
    <w:rPr>
      <w:rFonts w:ascii="微软雅黑" w:hAnsi="微软雅黑" w:eastAsia="微软雅黑" w:cs="Times New Roman"/>
      <w:b/>
      <w:bCs/>
      <w:color w:val="auto"/>
      <w:sz w:val="24"/>
      <w:szCs w:val="24"/>
      <w:lang w:val="en-US" w:eastAsia="zh-CN" w:bidi="ar-SA"/>
    </w:rPr>
  </w:style>
  <w:style w:type="character" w:default="1" w:styleId="89">
    <w:name w:val="Default Paragraph Font"/>
    <w:semiHidden/>
    <w:unhideWhenUsed/>
    <w:qFormat/>
    <w:uiPriority w:val="1"/>
  </w:style>
  <w:style w:type="table" w:default="1" w:styleId="88">
    <w:name w:val="Normal Table"/>
    <w:semiHidden/>
    <w:qFormat/>
    <w:uiPriority w:val="0"/>
    <w:tblPr>
      <w:tblCellMar>
        <w:top w:w="0" w:type="dxa"/>
        <w:left w:w="108" w:type="dxa"/>
        <w:bottom w:w="0" w:type="dxa"/>
        <w:right w:w="108" w:type="dxa"/>
      </w:tblCellMar>
    </w:tblPr>
  </w:style>
  <w:style w:type="paragraph" w:styleId="2">
    <w:name w:val="Title"/>
    <w:basedOn w:val="1"/>
    <w:next w:val="1"/>
    <w:qFormat/>
    <w:uiPriority w:val="0"/>
    <w:pPr>
      <w:adjustRightInd w:val="0"/>
      <w:snapToGrid w:val="0"/>
      <w:spacing w:after="50" w:afterLines="50"/>
      <w:jc w:val="center"/>
      <w:outlineLvl w:val="0"/>
    </w:pPr>
    <w:rPr>
      <w:rFonts w:ascii="微软雅黑" w:hAnsi="微软雅黑" w:eastAsia="微软雅黑" w:cs="Times New Roman"/>
      <w:b/>
      <w:bCs/>
      <w:color w:val="1BC1C2" w:themeColor="accent1"/>
      <w:sz w:val="72"/>
      <w:szCs w:val="72"/>
      <w:lang w:val="en-US" w:eastAsia="zh-CN" w:bidi="ar-SA"/>
      <w14:textFill>
        <w14:solidFill>
          <w14:schemeClr w14:val="accent1"/>
        </w14:solidFill>
      </w14:textFill>
    </w:rPr>
  </w:style>
  <w:style w:type="paragraph" w:styleId="3">
    <w:name w:val="macro"/>
    <w:link w:val="106"/>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adjustRightInd w:val="0"/>
      <w:snapToGrid w:val="0"/>
      <w:ind w:firstLine="440" w:firstLineChars="200"/>
    </w:pPr>
    <w:rPr>
      <w:rFonts w:ascii="Courier New" w:hAnsi="Courier New" w:eastAsia="宋体" w:cs="Courier New"/>
      <w:kern w:val="2"/>
      <w:sz w:val="24"/>
      <w:szCs w:val="24"/>
      <w:lang w:val="en-US" w:eastAsia="zh-CN" w:bidi="ar-SA"/>
    </w:rPr>
  </w:style>
  <w:style w:type="paragraph" w:styleId="13">
    <w:name w:val="List 3"/>
    <w:basedOn w:val="1"/>
    <w:qFormat/>
    <w:uiPriority w:val="0"/>
    <w:pPr>
      <w:ind w:left="100" w:leftChars="400" w:hanging="200" w:hangingChars="200"/>
      <w:contextualSpacing/>
    </w:pPr>
  </w:style>
  <w:style w:type="paragraph" w:styleId="14">
    <w:name w:val="toc 7"/>
    <w:basedOn w:val="1"/>
    <w:next w:val="1"/>
    <w:qFormat/>
    <w:uiPriority w:val="0"/>
    <w:pPr>
      <w:ind w:left="2520" w:leftChars="1200"/>
    </w:pPr>
  </w:style>
  <w:style w:type="paragraph" w:styleId="15">
    <w:name w:val="List Number 2"/>
    <w:basedOn w:val="1"/>
    <w:qFormat/>
    <w:uiPriority w:val="0"/>
    <w:pPr>
      <w:numPr>
        <w:ilvl w:val="0"/>
        <w:numId w:val="2"/>
      </w:numPr>
      <w:contextualSpacing/>
    </w:pPr>
  </w:style>
  <w:style w:type="paragraph" w:styleId="16">
    <w:name w:val="table of authorities"/>
    <w:basedOn w:val="1"/>
    <w:next w:val="1"/>
    <w:qFormat/>
    <w:uiPriority w:val="0"/>
    <w:pPr>
      <w:ind w:left="420" w:leftChars="200" w:firstLine="0"/>
    </w:pPr>
  </w:style>
  <w:style w:type="paragraph" w:styleId="17">
    <w:name w:val="Note Heading"/>
    <w:basedOn w:val="1"/>
    <w:next w:val="1"/>
    <w:link w:val="127"/>
    <w:qFormat/>
    <w:uiPriority w:val="0"/>
    <w:pPr>
      <w:jc w:val="center"/>
    </w:pPr>
  </w:style>
  <w:style w:type="paragraph" w:styleId="18">
    <w:name w:val="List Bullet 4"/>
    <w:basedOn w:val="19"/>
    <w:qFormat/>
    <w:uiPriority w:val="0"/>
    <w:pPr>
      <w:ind w:left="1916" w:leftChars="672"/>
    </w:pPr>
  </w:style>
  <w:style w:type="paragraph" w:styleId="19">
    <w:name w:val="List Bullet 3"/>
    <w:basedOn w:val="20"/>
    <w:qFormat/>
    <w:uiPriority w:val="0"/>
    <w:pPr>
      <w:ind w:left="1417" w:leftChars="445"/>
    </w:pPr>
  </w:style>
  <w:style w:type="paragraph" w:styleId="20">
    <w:name w:val="List Bullet"/>
    <w:basedOn w:val="1"/>
    <w:qFormat/>
    <w:uiPriority w:val="0"/>
    <w:pPr>
      <w:numPr>
        <w:ilvl w:val="0"/>
        <w:numId w:val="3"/>
      </w:numPr>
      <w:tabs>
        <w:tab w:val="clear" w:pos="360"/>
      </w:tabs>
      <w:ind w:left="460" w:leftChars="9" w:hanging="440" w:hangingChars="200"/>
      <w:contextualSpacing/>
    </w:pPr>
  </w:style>
  <w:style w:type="paragraph" w:styleId="21">
    <w:name w:val="index 8"/>
    <w:basedOn w:val="1"/>
    <w:next w:val="1"/>
    <w:qFormat/>
    <w:uiPriority w:val="0"/>
    <w:pPr>
      <w:ind w:left="1400" w:leftChars="1400" w:firstLine="0"/>
    </w:pPr>
  </w:style>
  <w:style w:type="paragraph" w:styleId="22">
    <w:name w:val="E-mail Signature"/>
    <w:basedOn w:val="1"/>
    <w:link w:val="105"/>
    <w:qFormat/>
    <w:uiPriority w:val="0"/>
  </w:style>
  <w:style w:type="paragraph" w:styleId="23">
    <w:name w:val="List Number"/>
    <w:basedOn w:val="1"/>
    <w:qFormat/>
    <w:uiPriority w:val="0"/>
    <w:pPr>
      <w:numPr>
        <w:ilvl w:val="0"/>
        <w:numId w:val="4"/>
      </w:numPr>
      <w:contextualSpacing/>
    </w:pPr>
  </w:style>
  <w:style w:type="paragraph" w:styleId="24">
    <w:name w:val="Normal Indent"/>
    <w:basedOn w:val="1"/>
    <w:qFormat/>
    <w:uiPriority w:val="0"/>
    <w:pPr>
      <w:ind w:firstLine="420"/>
    </w:pPr>
  </w:style>
  <w:style w:type="paragraph" w:styleId="25">
    <w:name w:val="caption"/>
    <w:basedOn w:val="1"/>
    <w:next w:val="1"/>
    <w:unhideWhenUsed/>
    <w:qFormat/>
    <w:uiPriority w:val="0"/>
    <w:pPr>
      <w:ind w:firstLine="0" w:firstLineChars="0"/>
    </w:pPr>
    <w:rPr>
      <w:sz w:val="20"/>
      <w:szCs w:val="20"/>
    </w:rPr>
  </w:style>
  <w:style w:type="paragraph" w:styleId="26">
    <w:name w:val="index 5"/>
    <w:basedOn w:val="1"/>
    <w:next w:val="1"/>
    <w:qFormat/>
    <w:uiPriority w:val="0"/>
    <w:pPr>
      <w:ind w:left="800" w:leftChars="800" w:firstLine="0"/>
    </w:pPr>
  </w:style>
  <w:style w:type="paragraph" w:styleId="27">
    <w:name w:val="envelope address"/>
    <w:basedOn w:val="1"/>
    <w:qFormat/>
    <w:uiPriority w:val="0"/>
    <w:pPr>
      <w:framePr w:w="7920" w:h="1980" w:hRule="exact" w:hSpace="180" w:wrap="auto" w:vAnchor="margin" w:hAnchor="page" w:xAlign="center" w:yAlign="bottom"/>
      <w:ind w:left="100" w:leftChars="1400"/>
    </w:pPr>
    <w:rPr>
      <w:rFonts w:asciiTheme="majorHAnsi" w:hAnsiTheme="majorHAnsi" w:eastAsiaTheme="majorEastAsia" w:cstheme="majorBidi"/>
      <w:sz w:val="24"/>
      <w:szCs w:val="24"/>
    </w:rPr>
  </w:style>
  <w:style w:type="paragraph" w:styleId="28">
    <w:name w:val="Document Map"/>
    <w:basedOn w:val="1"/>
    <w:link w:val="114"/>
    <w:qFormat/>
    <w:uiPriority w:val="0"/>
    <w:rPr>
      <w:rFonts w:ascii="Microsoft YaHei UI" w:eastAsia="Microsoft YaHei UI"/>
      <w:sz w:val="18"/>
      <w:szCs w:val="18"/>
    </w:rPr>
  </w:style>
  <w:style w:type="paragraph" w:styleId="29">
    <w:name w:val="toa heading"/>
    <w:basedOn w:val="1"/>
    <w:next w:val="1"/>
    <w:qFormat/>
    <w:uiPriority w:val="0"/>
    <w:pPr>
      <w:spacing w:before="120"/>
    </w:pPr>
    <w:rPr>
      <w:rFonts w:asciiTheme="majorHAnsi" w:hAnsiTheme="majorHAnsi" w:eastAsiaTheme="majorEastAsia" w:cstheme="majorBidi"/>
      <w:sz w:val="24"/>
      <w:szCs w:val="24"/>
    </w:rPr>
  </w:style>
  <w:style w:type="paragraph" w:styleId="30">
    <w:name w:val="annotation text"/>
    <w:basedOn w:val="1"/>
    <w:qFormat/>
    <w:uiPriority w:val="0"/>
    <w:pPr>
      <w:ind w:firstLine="0" w:firstLineChars="0"/>
      <w:jc w:val="left"/>
    </w:pPr>
  </w:style>
  <w:style w:type="paragraph" w:styleId="31">
    <w:name w:val="index 6"/>
    <w:basedOn w:val="1"/>
    <w:next w:val="1"/>
    <w:qFormat/>
    <w:uiPriority w:val="0"/>
    <w:pPr>
      <w:ind w:left="1000" w:leftChars="1000" w:firstLine="0"/>
    </w:pPr>
  </w:style>
  <w:style w:type="paragraph" w:styleId="32">
    <w:name w:val="Salutation"/>
    <w:basedOn w:val="1"/>
    <w:next w:val="1"/>
    <w:link w:val="103"/>
    <w:qFormat/>
    <w:uiPriority w:val="0"/>
    <w:pPr>
      <w:ind w:firstLine="0" w:firstLineChars="0"/>
    </w:pPr>
  </w:style>
  <w:style w:type="paragraph" w:styleId="33">
    <w:name w:val="Body Text 3"/>
    <w:basedOn w:val="1"/>
    <w:link w:val="120"/>
    <w:qFormat/>
    <w:uiPriority w:val="0"/>
    <w:pPr>
      <w:spacing w:after="120"/>
    </w:pPr>
    <w:rPr>
      <w:sz w:val="16"/>
      <w:szCs w:val="16"/>
    </w:rPr>
  </w:style>
  <w:style w:type="paragraph" w:styleId="34">
    <w:name w:val="Closing"/>
    <w:basedOn w:val="1"/>
    <w:link w:val="107"/>
    <w:qFormat/>
    <w:uiPriority w:val="0"/>
    <w:pPr>
      <w:ind w:left="100" w:leftChars="2100"/>
    </w:pPr>
  </w:style>
  <w:style w:type="paragraph" w:styleId="35">
    <w:name w:val="Body Text"/>
    <w:basedOn w:val="1"/>
    <w:link w:val="121"/>
    <w:qFormat/>
    <w:uiPriority w:val="0"/>
  </w:style>
  <w:style w:type="paragraph" w:styleId="36">
    <w:name w:val="Body Text Indent"/>
    <w:basedOn w:val="1"/>
    <w:link w:val="123"/>
    <w:qFormat/>
    <w:uiPriority w:val="0"/>
    <w:pPr>
      <w:spacing w:after="120"/>
      <w:ind w:left="420" w:leftChars="200"/>
    </w:pPr>
  </w:style>
  <w:style w:type="paragraph" w:styleId="37">
    <w:name w:val="List Number 3"/>
    <w:basedOn w:val="1"/>
    <w:qFormat/>
    <w:uiPriority w:val="0"/>
    <w:pPr>
      <w:numPr>
        <w:ilvl w:val="0"/>
        <w:numId w:val="5"/>
      </w:numPr>
      <w:contextualSpacing/>
    </w:pPr>
  </w:style>
  <w:style w:type="paragraph" w:styleId="38">
    <w:name w:val="List 2"/>
    <w:basedOn w:val="1"/>
    <w:qFormat/>
    <w:uiPriority w:val="0"/>
    <w:pPr>
      <w:ind w:left="100" w:leftChars="200" w:hanging="200" w:hangingChars="200"/>
      <w:contextualSpacing/>
    </w:pPr>
  </w:style>
  <w:style w:type="paragraph" w:styleId="39">
    <w:name w:val="List Continue"/>
    <w:basedOn w:val="1"/>
    <w:qFormat/>
    <w:uiPriority w:val="0"/>
    <w:pPr>
      <w:spacing w:after="120"/>
      <w:ind w:left="420" w:leftChars="200"/>
      <w:contextualSpacing/>
    </w:pPr>
  </w:style>
  <w:style w:type="paragraph" w:styleId="40">
    <w:name w:val="Block Text"/>
    <w:basedOn w:val="1"/>
    <w:qFormat/>
    <w:uiPriority w:val="0"/>
    <w:pPr>
      <w:spacing w:after="120"/>
      <w:ind w:left="1440" w:leftChars="700" w:right="1440" w:rightChars="700"/>
    </w:pPr>
  </w:style>
  <w:style w:type="paragraph" w:styleId="41">
    <w:name w:val="List Bullet 2"/>
    <w:basedOn w:val="20"/>
    <w:qFormat/>
    <w:uiPriority w:val="0"/>
    <w:pPr>
      <w:ind w:left="920" w:leftChars="218"/>
    </w:pPr>
  </w:style>
  <w:style w:type="paragraph" w:styleId="42">
    <w:name w:val="HTML Address"/>
    <w:basedOn w:val="1"/>
    <w:link w:val="100"/>
    <w:qFormat/>
    <w:uiPriority w:val="0"/>
    <w:rPr>
      <w:i/>
      <w:iCs/>
    </w:rPr>
  </w:style>
  <w:style w:type="paragraph" w:styleId="43">
    <w:name w:val="index 4"/>
    <w:basedOn w:val="1"/>
    <w:next w:val="1"/>
    <w:qFormat/>
    <w:uiPriority w:val="0"/>
    <w:pPr>
      <w:ind w:left="600" w:leftChars="600" w:firstLine="0"/>
    </w:pPr>
  </w:style>
  <w:style w:type="paragraph" w:styleId="44">
    <w:name w:val="toc 5"/>
    <w:basedOn w:val="1"/>
    <w:next w:val="1"/>
    <w:qFormat/>
    <w:uiPriority w:val="0"/>
    <w:pPr>
      <w:ind w:left="1680" w:leftChars="800"/>
    </w:pPr>
  </w:style>
  <w:style w:type="paragraph" w:styleId="45">
    <w:name w:val="toc 3"/>
    <w:basedOn w:val="1"/>
    <w:next w:val="1"/>
    <w:qFormat/>
    <w:uiPriority w:val="0"/>
    <w:pPr>
      <w:ind w:left="840" w:leftChars="400"/>
    </w:pPr>
  </w:style>
  <w:style w:type="paragraph" w:styleId="46">
    <w:name w:val="Plain Text"/>
    <w:basedOn w:val="1"/>
    <w:link w:val="104"/>
    <w:qFormat/>
    <w:uiPriority w:val="0"/>
    <w:rPr>
      <w:rFonts w:hAnsi="Courier New" w:cs="Courier New" w:asciiTheme="minorEastAsia" w:eastAsiaTheme="minorEastAsia"/>
    </w:rPr>
  </w:style>
  <w:style w:type="paragraph" w:styleId="47">
    <w:name w:val="List Bullet 5"/>
    <w:basedOn w:val="19"/>
    <w:qFormat/>
    <w:uiPriority w:val="0"/>
    <w:pPr>
      <w:ind w:left="2396" w:leftChars="890"/>
    </w:pPr>
  </w:style>
  <w:style w:type="paragraph" w:styleId="48">
    <w:name w:val="List Number 4"/>
    <w:basedOn w:val="1"/>
    <w:qFormat/>
    <w:uiPriority w:val="0"/>
    <w:pPr>
      <w:numPr>
        <w:ilvl w:val="0"/>
        <w:numId w:val="6"/>
      </w:numPr>
      <w:contextualSpacing/>
    </w:pPr>
  </w:style>
  <w:style w:type="paragraph" w:styleId="49">
    <w:name w:val="toc 8"/>
    <w:basedOn w:val="1"/>
    <w:next w:val="1"/>
    <w:qFormat/>
    <w:uiPriority w:val="0"/>
    <w:pPr>
      <w:ind w:left="2940" w:leftChars="1400"/>
    </w:pPr>
  </w:style>
  <w:style w:type="paragraph" w:styleId="50">
    <w:name w:val="index 3"/>
    <w:basedOn w:val="1"/>
    <w:next w:val="1"/>
    <w:qFormat/>
    <w:uiPriority w:val="0"/>
    <w:pPr>
      <w:ind w:left="400" w:leftChars="400" w:firstLine="0"/>
    </w:pPr>
  </w:style>
  <w:style w:type="paragraph" w:styleId="51">
    <w:name w:val="Date"/>
    <w:basedOn w:val="1"/>
    <w:next w:val="1"/>
    <w:link w:val="112"/>
    <w:qFormat/>
    <w:uiPriority w:val="0"/>
    <w:pPr>
      <w:ind w:left="0" w:leftChars="0" w:firstLine="0" w:firstLineChars="0"/>
      <w:jc w:val="right"/>
    </w:pPr>
  </w:style>
  <w:style w:type="paragraph" w:styleId="52">
    <w:name w:val="Body Text Indent 2"/>
    <w:basedOn w:val="1"/>
    <w:link w:val="125"/>
    <w:qFormat/>
    <w:uiPriority w:val="0"/>
    <w:pPr>
      <w:spacing w:after="120" w:line="480" w:lineRule="auto"/>
      <w:ind w:left="420" w:leftChars="200"/>
    </w:pPr>
  </w:style>
  <w:style w:type="paragraph" w:styleId="53">
    <w:name w:val="endnote text"/>
    <w:basedOn w:val="1"/>
    <w:qFormat/>
    <w:uiPriority w:val="0"/>
    <w:pPr>
      <w:ind w:firstLine="0" w:firstLineChars="0"/>
      <w:jc w:val="left"/>
    </w:pPr>
  </w:style>
  <w:style w:type="paragraph" w:styleId="54">
    <w:name w:val="List Continue 5"/>
    <w:basedOn w:val="1"/>
    <w:qFormat/>
    <w:uiPriority w:val="0"/>
    <w:pPr>
      <w:spacing w:after="120"/>
      <w:ind w:left="2100" w:leftChars="1000"/>
      <w:contextualSpacing/>
    </w:pPr>
  </w:style>
  <w:style w:type="paragraph" w:styleId="55">
    <w:name w:val="Balloon Text"/>
    <w:basedOn w:val="1"/>
    <w:qFormat/>
    <w:uiPriority w:val="0"/>
    <w:pPr>
      <w:ind w:firstLine="0" w:firstLineChars="0"/>
    </w:pPr>
    <w:rPr>
      <w:sz w:val="18"/>
      <w:szCs w:val="18"/>
    </w:rPr>
  </w:style>
  <w:style w:type="paragraph" w:styleId="56">
    <w:name w:val="footer"/>
    <w:basedOn w:val="1"/>
    <w:qFormat/>
    <w:uiPriority w:val="0"/>
    <w:pPr>
      <w:tabs>
        <w:tab w:val="center" w:pos="4153"/>
        <w:tab w:val="right" w:pos="8306"/>
      </w:tabs>
      <w:ind w:firstLine="0" w:firstLineChars="0"/>
      <w:jc w:val="left"/>
    </w:pPr>
    <w:rPr>
      <w:sz w:val="18"/>
      <w:szCs w:val="18"/>
    </w:rPr>
  </w:style>
  <w:style w:type="paragraph" w:styleId="57">
    <w:name w:val="envelope return"/>
    <w:basedOn w:val="1"/>
    <w:qFormat/>
    <w:uiPriority w:val="0"/>
    <w:rPr>
      <w:rFonts w:asciiTheme="majorHAnsi" w:hAnsiTheme="majorHAnsi" w:eastAsiaTheme="majorEastAsia" w:cstheme="majorBidi"/>
    </w:rPr>
  </w:style>
  <w:style w:type="paragraph" w:styleId="5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pacing w:line="240" w:lineRule="auto"/>
      <w:ind w:firstLine="0" w:firstLineChars="0"/>
    </w:pPr>
    <w:rPr>
      <w:sz w:val="18"/>
      <w:szCs w:val="18"/>
    </w:rPr>
  </w:style>
  <w:style w:type="paragraph" w:styleId="59">
    <w:name w:val="Signature"/>
    <w:basedOn w:val="1"/>
    <w:link w:val="111"/>
    <w:qFormat/>
    <w:uiPriority w:val="0"/>
    <w:pPr>
      <w:ind w:left="0" w:leftChars="0" w:firstLine="0" w:firstLineChars="0"/>
      <w:jc w:val="right"/>
    </w:pPr>
  </w:style>
  <w:style w:type="paragraph" w:styleId="60">
    <w:name w:val="toc 1"/>
    <w:basedOn w:val="1"/>
    <w:next w:val="1"/>
    <w:qFormat/>
    <w:uiPriority w:val="0"/>
  </w:style>
  <w:style w:type="paragraph" w:styleId="61">
    <w:name w:val="List Continue 4"/>
    <w:basedOn w:val="1"/>
    <w:qFormat/>
    <w:uiPriority w:val="0"/>
    <w:pPr>
      <w:spacing w:after="120"/>
      <w:ind w:left="1680" w:leftChars="800"/>
      <w:contextualSpacing/>
    </w:pPr>
  </w:style>
  <w:style w:type="paragraph" w:styleId="62">
    <w:name w:val="toc 4"/>
    <w:basedOn w:val="1"/>
    <w:next w:val="1"/>
    <w:qFormat/>
    <w:uiPriority w:val="0"/>
    <w:pPr>
      <w:ind w:left="1260" w:leftChars="600"/>
    </w:pPr>
  </w:style>
  <w:style w:type="paragraph" w:styleId="63">
    <w:name w:val="index heading"/>
    <w:basedOn w:val="1"/>
    <w:next w:val="64"/>
    <w:qFormat/>
    <w:uiPriority w:val="0"/>
    <w:rPr>
      <w:rFonts w:asciiTheme="majorHAnsi" w:hAnsiTheme="majorHAnsi" w:eastAsiaTheme="majorEastAsia" w:cstheme="majorBidi"/>
      <w:b/>
      <w:bCs/>
    </w:rPr>
  </w:style>
  <w:style w:type="paragraph" w:styleId="64">
    <w:name w:val="index 1"/>
    <w:basedOn w:val="1"/>
    <w:next w:val="1"/>
    <w:qFormat/>
    <w:uiPriority w:val="0"/>
    <w:pPr>
      <w:ind w:firstLine="0"/>
    </w:pPr>
  </w:style>
  <w:style w:type="paragraph" w:styleId="65">
    <w:name w:val="Subtitle"/>
    <w:next w:val="1"/>
    <w:qFormat/>
    <w:uiPriority w:val="0"/>
    <w:pPr>
      <w:spacing w:after="50" w:afterLines="50" w:line="264" w:lineRule="auto"/>
      <w:jc w:val="center"/>
      <w:outlineLvl w:val="1"/>
    </w:pPr>
    <w:rPr>
      <w:rFonts w:ascii="微软雅黑" w:hAnsi="微软雅黑" w:eastAsia="微软雅黑" w:cs="Times New Roman"/>
      <w:b/>
      <w:bCs/>
      <w:kern w:val="28"/>
      <w:sz w:val="44"/>
      <w:szCs w:val="44"/>
      <w:lang w:val="en-US" w:eastAsia="zh-CN" w:bidi="ar-SA"/>
    </w:rPr>
  </w:style>
  <w:style w:type="paragraph" w:styleId="66">
    <w:name w:val="List Number 5"/>
    <w:basedOn w:val="1"/>
    <w:qFormat/>
    <w:uiPriority w:val="0"/>
    <w:pPr>
      <w:numPr>
        <w:ilvl w:val="0"/>
        <w:numId w:val="7"/>
      </w:numPr>
      <w:contextualSpacing/>
    </w:pPr>
  </w:style>
  <w:style w:type="paragraph" w:styleId="67">
    <w:name w:val="List"/>
    <w:basedOn w:val="1"/>
    <w:qFormat/>
    <w:uiPriority w:val="0"/>
    <w:pPr>
      <w:ind w:left="200" w:hanging="200" w:hangingChars="200"/>
      <w:contextualSpacing/>
    </w:pPr>
  </w:style>
  <w:style w:type="paragraph" w:styleId="68">
    <w:name w:val="footnote text"/>
    <w:basedOn w:val="1"/>
    <w:qFormat/>
    <w:uiPriority w:val="0"/>
    <w:pPr>
      <w:ind w:firstLine="0" w:firstLineChars="0"/>
      <w:jc w:val="left"/>
    </w:pPr>
    <w:rPr>
      <w:sz w:val="18"/>
      <w:szCs w:val="18"/>
    </w:rPr>
  </w:style>
  <w:style w:type="paragraph" w:styleId="69">
    <w:name w:val="toc 6"/>
    <w:basedOn w:val="1"/>
    <w:next w:val="1"/>
    <w:qFormat/>
    <w:uiPriority w:val="0"/>
    <w:pPr>
      <w:ind w:left="2100" w:leftChars="1000"/>
    </w:pPr>
  </w:style>
  <w:style w:type="paragraph" w:styleId="70">
    <w:name w:val="List 5"/>
    <w:basedOn w:val="1"/>
    <w:qFormat/>
    <w:uiPriority w:val="0"/>
    <w:pPr>
      <w:ind w:left="100" w:leftChars="800" w:hanging="200" w:hangingChars="200"/>
      <w:contextualSpacing/>
    </w:pPr>
  </w:style>
  <w:style w:type="paragraph" w:styleId="71">
    <w:name w:val="Body Text Indent 3"/>
    <w:basedOn w:val="1"/>
    <w:link w:val="126"/>
    <w:qFormat/>
    <w:uiPriority w:val="0"/>
    <w:pPr>
      <w:spacing w:after="120"/>
      <w:ind w:left="420" w:leftChars="200"/>
    </w:pPr>
    <w:rPr>
      <w:sz w:val="16"/>
      <w:szCs w:val="16"/>
    </w:rPr>
  </w:style>
  <w:style w:type="paragraph" w:styleId="72">
    <w:name w:val="index 7"/>
    <w:basedOn w:val="1"/>
    <w:next w:val="1"/>
    <w:qFormat/>
    <w:uiPriority w:val="0"/>
    <w:pPr>
      <w:ind w:left="1200" w:leftChars="1200" w:firstLine="0"/>
    </w:pPr>
  </w:style>
  <w:style w:type="paragraph" w:styleId="73">
    <w:name w:val="index 9"/>
    <w:basedOn w:val="1"/>
    <w:next w:val="1"/>
    <w:qFormat/>
    <w:uiPriority w:val="0"/>
    <w:pPr>
      <w:ind w:left="1600" w:leftChars="1600" w:firstLine="0"/>
    </w:pPr>
  </w:style>
  <w:style w:type="paragraph" w:styleId="74">
    <w:name w:val="table of figures"/>
    <w:basedOn w:val="1"/>
    <w:next w:val="1"/>
    <w:qFormat/>
    <w:uiPriority w:val="0"/>
    <w:pPr>
      <w:ind w:left="200" w:leftChars="200" w:hanging="200" w:hangingChars="200"/>
    </w:pPr>
  </w:style>
  <w:style w:type="paragraph" w:styleId="75">
    <w:name w:val="toc 2"/>
    <w:basedOn w:val="1"/>
    <w:next w:val="1"/>
    <w:qFormat/>
    <w:uiPriority w:val="0"/>
    <w:pPr>
      <w:ind w:left="420" w:leftChars="200"/>
    </w:pPr>
  </w:style>
  <w:style w:type="paragraph" w:styleId="76">
    <w:name w:val="toc 9"/>
    <w:basedOn w:val="1"/>
    <w:next w:val="1"/>
    <w:qFormat/>
    <w:uiPriority w:val="0"/>
    <w:pPr>
      <w:ind w:left="3360" w:leftChars="1600"/>
    </w:pPr>
  </w:style>
  <w:style w:type="paragraph" w:styleId="77">
    <w:name w:val="Body Text 2"/>
    <w:basedOn w:val="1"/>
    <w:link w:val="119"/>
    <w:qFormat/>
    <w:uiPriority w:val="0"/>
    <w:pPr>
      <w:spacing w:after="120" w:line="480" w:lineRule="auto"/>
    </w:pPr>
  </w:style>
  <w:style w:type="paragraph" w:styleId="78">
    <w:name w:val="List 4"/>
    <w:basedOn w:val="1"/>
    <w:qFormat/>
    <w:uiPriority w:val="0"/>
    <w:pPr>
      <w:ind w:left="100" w:leftChars="600" w:hanging="200" w:hangingChars="200"/>
      <w:contextualSpacing/>
    </w:pPr>
  </w:style>
  <w:style w:type="paragraph" w:styleId="79">
    <w:name w:val="List Continue 2"/>
    <w:basedOn w:val="1"/>
    <w:qFormat/>
    <w:uiPriority w:val="0"/>
    <w:pPr>
      <w:spacing w:after="120"/>
      <w:ind w:left="840" w:leftChars="400"/>
      <w:contextualSpacing/>
    </w:pPr>
  </w:style>
  <w:style w:type="paragraph" w:styleId="80">
    <w:name w:val="Message Header"/>
    <w:basedOn w:val="1"/>
    <w:link w:val="116"/>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Theme="majorHAnsi" w:hAnsiTheme="majorHAnsi" w:eastAsiaTheme="majorEastAsia" w:cstheme="majorBidi"/>
      <w:sz w:val="24"/>
      <w:szCs w:val="24"/>
    </w:rPr>
  </w:style>
  <w:style w:type="paragraph" w:styleId="81">
    <w:name w:val="HTML Preformatted"/>
    <w:basedOn w:val="1"/>
    <w:link w:val="101"/>
    <w:qFormat/>
    <w:uiPriority w:val="0"/>
    <w:rPr>
      <w:rFonts w:ascii="Courier New" w:hAnsi="Courier New" w:cs="Courier New"/>
      <w:sz w:val="20"/>
      <w:szCs w:val="20"/>
    </w:rPr>
  </w:style>
  <w:style w:type="paragraph" w:styleId="82">
    <w:name w:val="Normal (Web)"/>
    <w:basedOn w:val="1"/>
    <w:qFormat/>
    <w:uiPriority w:val="0"/>
  </w:style>
  <w:style w:type="paragraph" w:styleId="83">
    <w:name w:val="List Continue 3"/>
    <w:basedOn w:val="1"/>
    <w:qFormat/>
    <w:uiPriority w:val="0"/>
    <w:pPr>
      <w:spacing w:after="120"/>
      <w:ind w:left="1260" w:leftChars="600"/>
      <w:contextualSpacing/>
    </w:pPr>
  </w:style>
  <w:style w:type="paragraph" w:styleId="84">
    <w:name w:val="index 2"/>
    <w:basedOn w:val="1"/>
    <w:next w:val="1"/>
    <w:qFormat/>
    <w:uiPriority w:val="0"/>
    <w:pPr>
      <w:ind w:left="200" w:leftChars="200" w:firstLine="0"/>
    </w:pPr>
  </w:style>
  <w:style w:type="paragraph" w:styleId="85">
    <w:name w:val="annotation subject"/>
    <w:basedOn w:val="30"/>
    <w:next w:val="30"/>
    <w:qFormat/>
    <w:uiPriority w:val="0"/>
    <w:rPr>
      <w:b/>
      <w:bCs/>
    </w:rPr>
  </w:style>
  <w:style w:type="paragraph" w:styleId="86">
    <w:name w:val="Body Text First Indent"/>
    <w:basedOn w:val="35"/>
    <w:link w:val="122"/>
    <w:qFormat/>
    <w:uiPriority w:val="0"/>
    <w:pPr>
      <w:spacing w:after="120"/>
      <w:ind w:firstLine="420" w:firstLineChars="100"/>
    </w:pPr>
  </w:style>
  <w:style w:type="paragraph" w:styleId="87">
    <w:name w:val="Body Text First Indent 2"/>
    <w:basedOn w:val="36"/>
    <w:link w:val="124"/>
    <w:qFormat/>
    <w:uiPriority w:val="0"/>
    <w:pPr>
      <w:ind w:firstLine="420"/>
    </w:pPr>
  </w:style>
  <w:style w:type="character" w:styleId="90">
    <w:name w:val="Strong"/>
    <w:basedOn w:val="89"/>
    <w:autoRedefine/>
    <w:qFormat/>
    <w:uiPriority w:val="22"/>
    <w:rPr>
      <w:rFonts w:ascii="微软雅黑" w:hAnsi="微软雅黑" w:eastAsia="微软雅黑" w:cs="Times New Roman"/>
      <w:b/>
      <w:bCs/>
      <w:color w:val="auto"/>
      <w:u w:val="none"/>
    </w:rPr>
  </w:style>
  <w:style w:type="character" w:styleId="91">
    <w:name w:val="endnote reference"/>
    <w:basedOn w:val="89"/>
    <w:autoRedefine/>
    <w:qFormat/>
    <w:uiPriority w:val="0"/>
    <w:rPr>
      <w:rFonts w:ascii="微软雅黑" w:hAnsi="微软雅黑" w:eastAsia="微软雅黑" w:cs="Times New Roman"/>
      <w:vertAlign w:val="superscript"/>
    </w:rPr>
  </w:style>
  <w:style w:type="character" w:styleId="92">
    <w:name w:val="page number"/>
    <w:basedOn w:val="89"/>
    <w:autoRedefine/>
    <w:qFormat/>
    <w:uiPriority w:val="0"/>
    <w:rPr>
      <w:rFonts w:ascii="微软雅黑" w:hAnsi="微软雅黑" w:eastAsia="微软雅黑" w:cs="Times New Roman"/>
      <w:color w:val="auto"/>
      <w:sz w:val="21"/>
      <w:szCs w:val="21"/>
    </w:rPr>
  </w:style>
  <w:style w:type="character" w:styleId="93">
    <w:name w:val="FollowedHyperlink"/>
    <w:basedOn w:val="89"/>
    <w:autoRedefine/>
    <w:qFormat/>
    <w:uiPriority w:val="0"/>
    <w:rPr>
      <w:rFonts w:ascii="微软雅黑" w:hAnsi="微软雅黑" w:eastAsia="微软雅黑" w:cs="Times New Roman"/>
      <w:color w:val="800080"/>
      <w:u w:val="single"/>
    </w:rPr>
  </w:style>
  <w:style w:type="character" w:styleId="94">
    <w:name w:val="Emphasis"/>
    <w:basedOn w:val="89"/>
    <w:qFormat/>
    <w:uiPriority w:val="0"/>
    <w:rPr>
      <w:i/>
    </w:rPr>
  </w:style>
  <w:style w:type="character" w:styleId="95">
    <w:name w:val="Hyperlink"/>
    <w:basedOn w:val="89"/>
    <w:autoRedefine/>
    <w:qFormat/>
    <w:uiPriority w:val="0"/>
    <w:rPr>
      <w:rFonts w:ascii="微软雅黑" w:hAnsi="微软雅黑" w:eastAsia="微软雅黑" w:cs="Times New Roman"/>
      <w:color w:val="0000FF"/>
      <w:u w:val="single"/>
    </w:rPr>
  </w:style>
  <w:style w:type="character" w:styleId="96">
    <w:name w:val="annotation reference"/>
    <w:basedOn w:val="89"/>
    <w:autoRedefine/>
    <w:qFormat/>
    <w:uiPriority w:val="0"/>
    <w:rPr>
      <w:rFonts w:ascii="微软雅黑" w:hAnsi="微软雅黑" w:eastAsia="微软雅黑" w:cs="Times New Roman"/>
      <w:sz w:val="21"/>
    </w:rPr>
  </w:style>
  <w:style w:type="character" w:styleId="97">
    <w:name w:val="footnote reference"/>
    <w:basedOn w:val="89"/>
    <w:autoRedefine/>
    <w:qFormat/>
    <w:uiPriority w:val="0"/>
    <w:rPr>
      <w:rFonts w:ascii="微软雅黑" w:hAnsi="微软雅黑" w:eastAsia="微软雅黑" w:cs="Times New Roman"/>
      <w:vertAlign w:val="superscript"/>
    </w:rPr>
  </w:style>
  <w:style w:type="table" w:customStyle="1" w:styleId="98">
    <w:name w:val="Table Normal"/>
    <w:semiHidden/>
    <w:unhideWhenUsed/>
    <w:qFormat/>
    <w:uiPriority w:val="0"/>
    <w:tblPr>
      <w:tblCellMar>
        <w:top w:w="0" w:type="dxa"/>
        <w:left w:w="0" w:type="dxa"/>
        <w:bottom w:w="0" w:type="dxa"/>
        <w:right w:w="0" w:type="dxa"/>
      </w:tblCellMar>
    </w:tblPr>
  </w:style>
  <w:style w:type="paragraph" w:customStyle="1" w:styleId="99">
    <w:name w:val="题注1"/>
    <w:basedOn w:val="1"/>
    <w:qFormat/>
    <w:uiPriority w:val="0"/>
    <w:rPr>
      <w:sz w:val="20"/>
      <w:szCs w:val="20"/>
    </w:rPr>
  </w:style>
  <w:style w:type="character" w:customStyle="1" w:styleId="100">
    <w:name w:val="HTML 地址 字符"/>
    <w:basedOn w:val="89"/>
    <w:link w:val="42"/>
    <w:qFormat/>
    <w:uiPriority w:val="0"/>
    <w:rPr>
      <w:i/>
      <w:iCs/>
    </w:rPr>
  </w:style>
  <w:style w:type="character" w:customStyle="1" w:styleId="101">
    <w:name w:val="HTML 预设格式 字符"/>
    <w:basedOn w:val="89"/>
    <w:link w:val="81"/>
    <w:qFormat/>
    <w:uiPriority w:val="0"/>
    <w:rPr>
      <w:rFonts w:ascii="Courier New" w:hAnsi="Courier New" w:cs="Courier New"/>
      <w:sz w:val="20"/>
      <w:szCs w:val="20"/>
    </w:rPr>
  </w:style>
  <w:style w:type="paragraph" w:customStyle="1" w:styleId="102">
    <w:name w:val="TOC 标题1"/>
    <w:basedOn w:val="4"/>
    <w:next w:val="1"/>
    <w:semiHidden/>
    <w:unhideWhenUsed/>
    <w:qFormat/>
    <w:uiPriority w:val="39"/>
    <w:pPr>
      <w:widowControl w:val="0"/>
      <w:numPr>
        <w:numId w:val="0"/>
      </w:numPr>
      <w:tabs>
        <w:tab w:val="clear" w:pos="-420"/>
        <w:tab w:val="clear" w:pos="0"/>
      </w:tabs>
      <w:spacing w:before="340" w:beforeLines="0" w:after="330" w:afterLines="0" w:line="578" w:lineRule="auto"/>
      <w:ind w:firstLine="440" w:firstLineChars="200"/>
      <w:jc w:val="both"/>
      <w:outlineLvl w:val="9"/>
    </w:pPr>
    <w:rPr>
      <w:color w:val="auto"/>
      <w:sz w:val="44"/>
      <w:szCs w:val="44"/>
    </w:rPr>
  </w:style>
  <w:style w:type="character" w:customStyle="1" w:styleId="103">
    <w:name w:val="称呼 字符"/>
    <w:link w:val="32"/>
    <w:qFormat/>
    <w:uiPriority w:val="0"/>
  </w:style>
  <w:style w:type="character" w:customStyle="1" w:styleId="104">
    <w:name w:val="纯文本 字符"/>
    <w:basedOn w:val="89"/>
    <w:link w:val="46"/>
    <w:qFormat/>
    <w:uiPriority w:val="0"/>
    <w:rPr>
      <w:rFonts w:hAnsi="Courier New" w:cs="Courier New" w:asciiTheme="minorEastAsia" w:eastAsiaTheme="minorEastAsia"/>
    </w:rPr>
  </w:style>
  <w:style w:type="character" w:customStyle="1" w:styleId="105">
    <w:name w:val="电子邮件签名 字符"/>
    <w:basedOn w:val="89"/>
    <w:link w:val="22"/>
    <w:qFormat/>
    <w:uiPriority w:val="0"/>
  </w:style>
  <w:style w:type="character" w:customStyle="1" w:styleId="106">
    <w:name w:val="宏文本 字符"/>
    <w:basedOn w:val="89"/>
    <w:link w:val="3"/>
    <w:qFormat/>
    <w:uiPriority w:val="0"/>
    <w:rPr>
      <w:rFonts w:ascii="Courier New" w:hAnsi="Courier New" w:eastAsia="宋体" w:cs="Courier New"/>
      <w:kern w:val="2"/>
      <w:sz w:val="24"/>
      <w:szCs w:val="24"/>
      <w:lang w:val="en-US" w:eastAsia="zh-CN" w:bidi="ar-SA"/>
    </w:rPr>
  </w:style>
  <w:style w:type="character" w:customStyle="1" w:styleId="107">
    <w:name w:val="结束语 字符"/>
    <w:basedOn w:val="89"/>
    <w:link w:val="34"/>
    <w:qFormat/>
    <w:uiPriority w:val="0"/>
  </w:style>
  <w:style w:type="paragraph" w:styleId="108">
    <w:name w:val="List Paragraph"/>
    <w:basedOn w:val="1"/>
    <w:qFormat/>
    <w:uiPriority w:val="99"/>
    <w:pPr>
      <w:ind w:firstLine="420"/>
    </w:pPr>
  </w:style>
  <w:style w:type="paragraph" w:styleId="109">
    <w:name w:val="Intense Quote"/>
    <w:basedOn w:val="1"/>
    <w:next w:val="1"/>
    <w:link w:val="110"/>
    <w:qFormat/>
    <w:uiPriority w:val="99"/>
    <w:pPr>
      <w:pBdr>
        <w:top w:val="single" w:color="1BC1C2" w:themeColor="accent1" w:sz="4" w:space="10"/>
        <w:bottom w:val="single" w:color="1BC1C2" w:themeColor="accent1" w:sz="4" w:space="10"/>
      </w:pBdr>
      <w:spacing w:before="360" w:after="360"/>
      <w:ind w:left="864" w:right="864"/>
      <w:jc w:val="center"/>
    </w:pPr>
    <w:rPr>
      <w:i/>
      <w:iCs/>
      <w:color w:val="1BC1C2" w:themeColor="accent1"/>
      <w14:textFill>
        <w14:solidFill>
          <w14:schemeClr w14:val="accent1"/>
        </w14:solidFill>
      </w14:textFill>
    </w:rPr>
  </w:style>
  <w:style w:type="character" w:customStyle="1" w:styleId="110">
    <w:name w:val="明显引用 字符"/>
    <w:basedOn w:val="89"/>
    <w:link w:val="109"/>
    <w:qFormat/>
    <w:uiPriority w:val="99"/>
    <w:rPr>
      <w:i/>
      <w:iCs/>
      <w:color w:val="1BC1C2" w:themeColor="accent1"/>
      <w14:textFill>
        <w14:solidFill>
          <w14:schemeClr w14:val="accent1"/>
        </w14:solidFill>
      </w14:textFill>
    </w:rPr>
  </w:style>
  <w:style w:type="character" w:customStyle="1" w:styleId="111">
    <w:name w:val="签名 字符"/>
    <w:basedOn w:val="89"/>
    <w:link w:val="59"/>
    <w:qFormat/>
    <w:uiPriority w:val="0"/>
  </w:style>
  <w:style w:type="character" w:customStyle="1" w:styleId="112">
    <w:name w:val="日期 字符"/>
    <w:basedOn w:val="89"/>
    <w:link w:val="51"/>
    <w:qFormat/>
    <w:uiPriority w:val="0"/>
  </w:style>
  <w:style w:type="paragraph" w:customStyle="1" w:styleId="113">
    <w:name w:val="书目1"/>
    <w:basedOn w:val="1"/>
    <w:next w:val="1"/>
    <w:semiHidden/>
    <w:unhideWhenUsed/>
    <w:qFormat/>
    <w:uiPriority w:val="37"/>
  </w:style>
  <w:style w:type="character" w:customStyle="1" w:styleId="114">
    <w:name w:val="文档结构图 字符"/>
    <w:basedOn w:val="89"/>
    <w:link w:val="28"/>
    <w:qFormat/>
    <w:uiPriority w:val="0"/>
    <w:rPr>
      <w:rFonts w:ascii="Microsoft YaHei UI" w:eastAsia="Microsoft YaHei UI"/>
      <w:sz w:val="18"/>
      <w:szCs w:val="18"/>
    </w:rPr>
  </w:style>
  <w:style w:type="paragraph" w:styleId="115">
    <w:name w:val="No Spacing"/>
    <w:qFormat/>
    <w:uiPriority w:val="99"/>
    <w:pPr>
      <w:widowControl w:val="0"/>
      <w:adjustRightInd w:val="0"/>
      <w:snapToGrid w:val="0"/>
      <w:ind w:firstLine="440" w:firstLineChars="200"/>
      <w:jc w:val="both"/>
    </w:pPr>
    <w:rPr>
      <w:rFonts w:ascii="微软雅黑" w:hAnsi="微软雅黑" w:eastAsia="微软雅黑" w:cs="Times New Roman"/>
      <w:kern w:val="2"/>
      <w:sz w:val="22"/>
      <w:szCs w:val="22"/>
      <w:lang w:val="en-US" w:eastAsia="zh-CN" w:bidi="ar-SA"/>
    </w:rPr>
  </w:style>
  <w:style w:type="character" w:customStyle="1" w:styleId="116">
    <w:name w:val="信息标题 字符"/>
    <w:basedOn w:val="89"/>
    <w:link w:val="80"/>
    <w:qFormat/>
    <w:uiPriority w:val="0"/>
    <w:rPr>
      <w:rFonts w:asciiTheme="majorHAnsi" w:hAnsiTheme="majorHAnsi" w:eastAsiaTheme="majorEastAsia" w:cstheme="majorBidi"/>
      <w:sz w:val="24"/>
      <w:szCs w:val="24"/>
    </w:rPr>
  </w:style>
  <w:style w:type="paragraph" w:styleId="117">
    <w:name w:val="Quote"/>
    <w:basedOn w:val="1"/>
    <w:next w:val="1"/>
    <w:link w:val="118"/>
    <w:qFormat/>
    <w:uiPriority w:val="99"/>
    <w:pPr>
      <w:spacing w:before="200" w:after="160"/>
      <w:ind w:left="864" w:right="864"/>
      <w:jc w:val="center"/>
    </w:pPr>
    <w:rPr>
      <w:i/>
      <w:iCs/>
      <w:color w:val="000000" w:themeColor="text1"/>
      <w14:textFill>
        <w14:solidFill>
          <w14:schemeClr w14:val="tx1"/>
        </w14:solidFill>
      </w14:textFill>
    </w:rPr>
  </w:style>
  <w:style w:type="character" w:customStyle="1" w:styleId="118">
    <w:name w:val="引用 字符"/>
    <w:basedOn w:val="89"/>
    <w:link w:val="117"/>
    <w:qFormat/>
    <w:uiPriority w:val="99"/>
    <w:rPr>
      <w:i/>
      <w:iCs/>
      <w:color w:val="000000" w:themeColor="text1"/>
      <w14:textFill>
        <w14:solidFill>
          <w14:schemeClr w14:val="tx1"/>
        </w14:solidFill>
      </w14:textFill>
    </w:rPr>
  </w:style>
  <w:style w:type="character" w:customStyle="1" w:styleId="119">
    <w:name w:val="正文文本 2 字符"/>
    <w:basedOn w:val="89"/>
    <w:link w:val="77"/>
    <w:qFormat/>
    <w:uiPriority w:val="0"/>
  </w:style>
  <w:style w:type="character" w:customStyle="1" w:styleId="120">
    <w:name w:val="正文文本 3 字符"/>
    <w:basedOn w:val="89"/>
    <w:link w:val="33"/>
    <w:qFormat/>
    <w:uiPriority w:val="0"/>
    <w:rPr>
      <w:sz w:val="16"/>
      <w:szCs w:val="16"/>
    </w:rPr>
  </w:style>
  <w:style w:type="character" w:customStyle="1" w:styleId="121">
    <w:name w:val="正文文本 字符"/>
    <w:basedOn w:val="89"/>
    <w:link w:val="35"/>
    <w:qFormat/>
    <w:uiPriority w:val="0"/>
  </w:style>
  <w:style w:type="character" w:customStyle="1" w:styleId="122">
    <w:name w:val="正文文本首行缩进 字符"/>
    <w:basedOn w:val="121"/>
    <w:link w:val="86"/>
    <w:qFormat/>
    <w:uiPriority w:val="0"/>
  </w:style>
  <w:style w:type="character" w:customStyle="1" w:styleId="123">
    <w:name w:val="正文文本缩进 字符"/>
    <w:basedOn w:val="89"/>
    <w:link w:val="36"/>
    <w:qFormat/>
    <w:uiPriority w:val="0"/>
  </w:style>
  <w:style w:type="character" w:customStyle="1" w:styleId="124">
    <w:name w:val="正文文本首行缩进 2 字符"/>
    <w:basedOn w:val="123"/>
    <w:link w:val="87"/>
    <w:qFormat/>
    <w:uiPriority w:val="0"/>
  </w:style>
  <w:style w:type="character" w:customStyle="1" w:styleId="125">
    <w:name w:val="正文文本缩进 2 字符"/>
    <w:basedOn w:val="89"/>
    <w:link w:val="52"/>
    <w:qFormat/>
    <w:uiPriority w:val="0"/>
  </w:style>
  <w:style w:type="character" w:customStyle="1" w:styleId="126">
    <w:name w:val="正文文本缩进 3 字符"/>
    <w:basedOn w:val="89"/>
    <w:link w:val="71"/>
    <w:qFormat/>
    <w:uiPriority w:val="0"/>
    <w:rPr>
      <w:sz w:val="16"/>
      <w:szCs w:val="16"/>
    </w:rPr>
  </w:style>
  <w:style w:type="character" w:customStyle="1" w:styleId="127">
    <w:name w:val="注释标题 字符"/>
    <w:basedOn w:val="89"/>
    <w:link w:val="17"/>
    <w:qFormat/>
    <w:uiPriority w:val="0"/>
  </w:style>
  <w:style w:type="character" w:customStyle="1" w:styleId="128">
    <w:name w:val="标题 2 字符"/>
    <w:link w:val="5"/>
    <w:autoRedefine/>
    <w:qFormat/>
    <w:uiPriority w:val="0"/>
    <w:rPr>
      <w:rFonts w:ascii="微软雅黑" w:hAnsi="微软雅黑" w:eastAsia="微软雅黑" w:cs="Times New Roman"/>
      <w:b/>
      <w:bCs/>
      <w:color w:val="auto"/>
      <w:kern w:val="2"/>
      <w:sz w:val="30"/>
      <w:szCs w:val="30"/>
      <w:lang w:val="en-US" w:eastAsia="zh-CN" w:bidi="ar-SA"/>
    </w:rPr>
  </w:style>
  <w:style w:type="paragraph" w:customStyle="1" w:styleId="129">
    <w:name w:val="主送对象"/>
    <w:qFormat/>
    <w:uiPriority w:val="0"/>
    <w:pPr>
      <w:ind w:firstLine="0" w:firstLineChars="0"/>
      <w:jc w:val="left"/>
    </w:pPr>
    <w:rPr>
      <w:rFonts w:hint="eastAsia" w:ascii="微软雅黑" w:hAnsi="微软雅黑" w:eastAsiaTheme="minorEastAsia" w:cstheme="minorBidi"/>
      <w:sz w:val="24"/>
      <w:szCs w:val="24"/>
    </w:rPr>
  </w:style>
  <w:style w:type="paragraph" w:customStyle="1" w:styleId="130">
    <w:name w:val="文档说明标题"/>
    <w:link w:val="131"/>
    <w:qFormat/>
    <w:uiPriority w:val="0"/>
    <w:pPr>
      <w:adjustRightInd w:val="0"/>
      <w:snapToGrid w:val="0"/>
      <w:spacing w:after="50" w:afterLines="50"/>
      <w:ind w:firstLine="0" w:firstLineChars="0"/>
      <w:jc w:val="center"/>
    </w:pPr>
    <w:rPr>
      <w:rFonts w:hint="eastAsia" w:ascii="微软雅黑" w:hAnsi="微软雅黑" w:eastAsia="微软雅黑" w:cstheme="minorBidi"/>
      <w:b/>
      <w:bCs/>
      <w:kern w:val="28"/>
      <w:sz w:val="44"/>
      <w:szCs w:val="44"/>
    </w:rPr>
  </w:style>
  <w:style w:type="character" w:customStyle="1" w:styleId="131">
    <w:name w:val="文档说明标题 Char"/>
    <w:link w:val="130"/>
    <w:qFormat/>
    <w:uiPriority w:val="0"/>
    <w:rPr>
      <w:rFonts w:hint="eastAsia" w:ascii="微软雅黑" w:hAnsi="微软雅黑" w:eastAsia="微软雅黑" w:cstheme="minorBidi"/>
      <w:b/>
      <w:bCs/>
      <w:kern w:val="28"/>
      <w:sz w:val="44"/>
      <w:szCs w:val="44"/>
    </w:rPr>
  </w:style>
  <w:style w:type="paragraph" w:customStyle="1" w:styleId="132">
    <w:name w:val="章前标题"/>
    <w:link w:val="133"/>
    <w:qFormat/>
    <w:uiPriority w:val="0"/>
    <w:pPr>
      <w:adjustRightInd w:val="0"/>
      <w:snapToGrid w:val="0"/>
      <w:spacing w:after="50" w:afterLines="50"/>
      <w:ind w:firstLine="0" w:firstLineChars="0"/>
      <w:jc w:val="center"/>
    </w:pPr>
    <w:rPr>
      <w:rFonts w:hint="eastAsia" w:ascii="微软雅黑" w:hAnsi="微软雅黑" w:eastAsia="微软雅黑" w:cstheme="minorBidi"/>
      <w:b/>
      <w:bCs/>
      <w:kern w:val="28"/>
      <w:sz w:val="44"/>
      <w:szCs w:val="44"/>
    </w:rPr>
  </w:style>
  <w:style w:type="character" w:customStyle="1" w:styleId="133">
    <w:name w:val="章前标题 Char"/>
    <w:link w:val="132"/>
    <w:qFormat/>
    <w:uiPriority w:val="0"/>
    <w:rPr>
      <w:rFonts w:hint="eastAsia" w:ascii="微软雅黑" w:hAnsi="微软雅黑" w:eastAsia="微软雅黑" w:cstheme="minorBidi"/>
      <w:b/>
      <w:bCs/>
      <w:kern w:val="28"/>
      <w:sz w:val="44"/>
      <w:szCs w:val="44"/>
    </w:rPr>
  </w:style>
  <w:style w:type="paragraph" w:customStyle="1" w:styleId="134">
    <w:name w:val="章标题"/>
    <w:qFormat/>
    <w:uiPriority w:val="0"/>
    <w:pPr>
      <w:adjustRightInd w:val="0"/>
      <w:snapToGrid w:val="0"/>
      <w:spacing w:after="50" w:afterLines="50"/>
      <w:ind w:firstLine="0" w:firstLineChars="0"/>
      <w:jc w:val="center"/>
    </w:pPr>
    <w:rPr>
      <w:rFonts w:hint="eastAsia" w:ascii="微软雅黑" w:hAnsi="微软雅黑" w:eastAsia="微软雅黑" w:cstheme="minorBidi"/>
      <w:b/>
      <w:bCs/>
      <w:kern w:val="28"/>
      <w:sz w:val="44"/>
      <w:szCs w:val="44"/>
    </w:rPr>
  </w:style>
  <w:style w:type="paragraph" w:customStyle="1" w:styleId="135">
    <w:name w:val="节标题"/>
    <w:qFormat/>
    <w:uiPriority w:val="0"/>
    <w:pPr>
      <w:adjustRightInd w:val="0"/>
      <w:snapToGrid w:val="0"/>
      <w:spacing w:after="50" w:afterLines="50"/>
      <w:ind w:firstLine="0" w:firstLineChars="0"/>
      <w:jc w:val="center"/>
    </w:pPr>
    <w:rPr>
      <w:rFonts w:hint="eastAsia" w:ascii="微软雅黑" w:hAnsi="微软雅黑" w:eastAsia="微软雅黑" w:cstheme="minorBidi"/>
      <w:b/>
      <w:bCs/>
      <w:kern w:val="28"/>
      <w:sz w:val="36"/>
      <w:szCs w:val="36"/>
    </w:rPr>
  </w:style>
  <w:style w:type="paragraph" w:customStyle="1" w:styleId="136">
    <w:name w:val="附录标题"/>
    <w:qFormat/>
    <w:uiPriority w:val="0"/>
    <w:pPr>
      <w:adjustRightInd w:val="0"/>
      <w:snapToGrid w:val="0"/>
      <w:spacing w:after="50" w:afterLines="50"/>
      <w:ind w:firstLine="0" w:firstLineChars="0"/>
      <w:jc w:val="center"/>
    </w:pPr>
    <w:rPr>
      <w:rFonts w:hint="eastAsia" w:ascii="微软雅黑" w:hAnsi="微软雅黑" w:eastAsia="微软雅黑" w:cstheme="minorBidi"/>
      <w:b/>
      <w:bCs/>
      <w:kern w:val="28"/>
      <w:sz w:val="44"/>
      <w:szCs w:val="44"/>
    </w:rPr>
  </w:style>
  <w:style w:type="paragraph" w:customStyle="1" w:styleId="137">
    <w:name w:val="声明标题"/>
    <w:qFormat/>
    <w:uiPriority w:val="0"/>
    <w:pPr>
      <w:snapToGrid w:val="0"/>
      <w:spacing w:after="50" w:afterLines="50"/>
      <w:ind w:firstLine="0" w:firstLineChars="0"/>
      <w:jc w:val="center"/>
    </w:pPr>
    <w:rPr>
      <w:rFonts w:hint="eastAsia" w:ascii="微软雅黑" w:hAnsi="微软雅黑" w:eastAsia="微软雅黑" w:cstheme="minorBidi"/>
      <w:b/>
      <w:bCs/>
      <w:kern w:val="28"/>
      <w:sz w:val="44"/>
      <w:szCs w:val="44"/>
    </w:rPr>
  </w:style>
  <w:style w:type="paragraph" w:customStyle="1" w:styleId="138">
    <w:name w:val="声明正文"/>
    <w:basedOn w:val="1"/>
    <w:qFormat/>
    <w:uiPriority w:val="0"/>
    <w:pPr>
      <w:ind w:firstLine="1041" w:firstLineChars="200"/>
    </w:pPr>
    <w:rPr>
      <w:rFonts w:hint="eastAsia"/>
    </w:rPr>
  </w:style>
  <w:style w:type="character" w:customStyle="1" w:styleId="139">
    <w:name w:val="摘要"/>
    <w:basedOn w:val="89"/>
    <w:qFormat/>
    <w:uiPriority w:val="0"/>
    <w:rPr>
      <w:rFonts w:hint="eastAsia" w:ascii="微软雅黑" w:hAnsi="微软雅黑"/>
      <w:b/>
      <w:bCs/>
      <w:sz w:val="24"/>
      <w:szCs w:val="24"/>
      <w:lang w:val="en-US" w:eastAsia="zh-CN"/>
    </w:rPr>
  </w:style>
  <w:style w:type="paragraph" w:customStyle="1" w:styleId="140">
    <w:name w:val="摘要标题"/>
    <w:basedOn w:val="59"/>
    <w:link w:val="141"/>
    <w:qFormat/>
    <w:uiPriority w:val="0"/>
    <w:pPr>
      <w:jc w:val="center"/>
    </w:pPr>
    <w:rPr>
      <w:b/>
      <w:bCs/>
      <w:kern w:val="28"/>
      <w:sz w:val="44"/>
      <w:szCs w:val="44"/>
    </w:rPr>
  </w:style>
  <w:style w:type="character" w:customStyle="1" w:styleId="141">
    <w:name w:val="摘要标题 Char"/>
    <w:link w:val="140"/>
    <w:qFormat/>
    <w:uiPriority w:val="0"/>
    <w:rPr>
      <w:b/>
      <w:bCs/>
      <w:kern w:val="28"/>
      <w:sz w:val="44"/>
      <w:szCs w:val="44"/>
    </w:rPr>
  </w:style>
  <w:style w:type="paragraph" w:customStyle="1" w:styleId="142">
    <w:name w:val="摘要正文"/>
    <w:basedOn w:val="1"/>
    <w:qFormat/>
    <w:uiPriority w:val="0"/>
    <w:pPr>
      <w:ind w:firstLine="1041"/>
    </w:pPr>
    <w:rPr>
      <w:rFonts w:hint="eastAsia"/>
    </w:rPr>
  </w:style>
  <w:style w:type="paragraph" w:customStyle="1" w:styleId="143">
    <w:name w:val="关键词正文"/>
    <w:link w:val="144"/>
    <w:qFormat/>
    <w:uiPriority w:val="0"/>
    <w:pPr>
      <w:jc w:val="left"/>
    </w:pPr>
    <w:rPr>
      <w:rFonts w:ascii="微软雅黑" w:hAnsi="微软雅黑" w:eastAsia="微软雅黑" w:cstheme="minorBidi"/>
      <w:sz w:val="24"/>
      <w:szCs w:val="24"/>
    </w:rPr>
  </w:style>
  <w:style w:type="character" w:customStyle="1" w:styleId="144">
    <w:name w:val="关键词正文 Char"/>
    <w:link w:val="143"/>
    <w:qFormat/>
    <w:uiPriority w:val="0"/>
    <w:rPr>
      <w:rFonts w:ascii="微软雅黑" w:hAnsi="微软雅黑" w:eastAsia="微软雅黑" w:cstheme="minorBidi"/>
      <w:sz w:val="24"/>
      <w:szCs w:val="24"/>
    </w:rPr>
  </w:style>
  <w:style w:type="character" w:customStyle="1" w:styleId="145">
    <w:name w:val="关键词"/>
    <w:basedOn w:val="89"/>
    <w:qFormat/>
    <w:uiPriority w:val="0"/>
    <w:rPr>
      <w:rFonts w:hint="eastAsia" w:ascii="微软雅黑" w:hAnsi="微软雅黑" w:eastAsia="微软雅黑"/>
      <w:b/>
      <w:bCs/>
      <w:sz w:val="24"/>
      <w:szCs w:val="24"/>
      <w:lang w:val="en-US" w:eastAsia="zh-CN"/>
    </w:rPr>
  </w:style>
  <w:style w:type="paragraph" w:customStyle="1" w:styleId="146">
    <w:name w:val="英文摘要标题"/>
    <w:qFormat/>
    <w:uiPriority w:val="0"/>
    <w:pPr>
      <w:adjustRightInd w:val="0"/>
      <w:snapToGrid w:val="0"/>
      <w:spacing w:after="50" w:afterLines="50"/>
      <w:ind w:firstLine="0" w:firstLineChars="0"/>
      <w:jc w:val="center"/>
    </w:pPr>
    <w:rPr>
      <w:rFonts w:hint="eastAsia" w:ascii="微软雅黑" w:hAnsi="微软雅黑" w:eastAsia="微软雅黑" w:cstheme="minorBidi"/>
      <w:b/>
      <w:bCs/>
      <w:kern w:val="28"/>
      <w:sz w:val="44"/>
      <w:szCs w:val="44"/>
    </w:rPr>
  </w:style>
  <w:style w:type="paragraph" w:customStyle="1" w:styleId="147">
    <w:name w:val="英文摘要正文"/>
    <w:basedOn w:val="1"/>
    <w:qFormat/>
    <w:uiPriority w:val="0"/>
    <w:pPr>
      <w:ind w:firstLine="1041"/>
    </w:pPr>
    <w:rPr>
      <w:rFonts w:hint="eastAsia"/>
    </w:rPr>
  </w:style>
  <w:style w:type="paragraph" w:customStyle="1" w:styleId="148">
    <w:name w:val="英文关键词正文"/>
    <w:qFormat/>
    <w:uiPriority w:val="0"/>
    <w:pPr>
      <w:adjustRightInd w:val="0"/>
      <w:snapToGrid w:val="0"/>
      <w:spacing w:after="50" w:afterLines="50"/>
      <w:ind w:firstLine="0" w:firstLineChars="0"/>
      <w:jc w:val="left"/>
    </w:pPr>
    <w:rPr>
      <w:rFonts w:hint="eastAsia" w:ascii="微软雅黑" w:hAnsi="微软雅黑" w:eastAsia="微软雅黑" w:cstheme="minorBidi"/>
      <w:sz w:val="24"/>
      <w:szCs w:val="24"/>
    </w:rPr>
  </w:style>
  <w:style w:type="paragraph" w:customStyle="1" w:styleId="149">
    <w:name w:val="目录标题"/>
    <w:basedOn w:val="1"/>
    <w:qFormat/>
    <w:uiPriority w:val="0"/>
    <w:pPr>
      <w:ind w:firstLine="0" w:firstLineChars="0"/>
      <w:jc w:val="center"/>
    </w:pPr>
    <w:rPr>
      <w:rFonts w:hint="eastAsia"/>
      <w:b/>
      <w:bCs/>
      <w:sz w:val="32"/>
      <w:szCs w:val="32"/>
    </w:rPr>
  </w:style>
  <w:style w:type="paragraph" w:customStyle="1" w:styleId="150">
    <w:name w:val="参考文献标题"/>
    <w:link w:val="151"/>
    <w:qFormat/>
    <w:uiPriority w:val="0"/>
    <w:pPr>
      <w:adjustRightInd w:val="0"/>
      <w:snapToGrid w:val="0"/>
      <w:spacing w:after="50" w:afterLines="50"/>
      <w:ind w:firstLine="0" w:firstLineChars="0"/>
      <w:jc w:val="center"/>
    </w:pPr>
    <w:rPr>
      <w:rFonts w:hint="eastAsia" w:ascii="微软雅黑" w:hAnsi="微软雅黑" w:eastAsia="微软雅黑" w:cstheme="minorBidi"/>
      <w:b/>
      <w:bCs/>
      <w:kern w:val="28"/>
      <w:sz w:val="44"/>
      <w:szCs w:val="44"/>
    </w:rPr>
  </w:style>
  <w:style w:type="character" w:customStyle="1" w:styleId="151">
    <w:name w:val="参考文献标题 Char"/>
    <w:link w:val="150"/>
    <w:qFormat/>
    <w:uiPriority w:val="0"/>
    <w:rPr>
      <w:rFonts w:hint="eastAsia" w:ascii="微软雅黑" w:hAnsi="微软雅黑" w:eastAsia="微软雅黑" w:cstheme="minorBidi"/>
      <w:b/>
      <w:bCs/>
      <w:kern w:val="28"/>
      <w:sz w:val="44"/>
      <w:szCs w:val="44"/>
    </w:rPr>
  </w:style>
  <w:style w:type="paragraph" w:customStyle="1" w:styleId="152">
    <w:name w:val="参考文献条目"/>
    <w:link w:val="153"/>
    <w:qFormat/>
    <w:uiPriority w:val="0"/>
    <w:pPr>
      <w:numPr>
        <w:ilvl w:val="0"/>
        <w:numId w:val="8"/>
      </w:numPr>
      <w:adjustRightInd w:val="0"/>
      <w:snapToGrid w:val="0"/>
      <w:ind w:left="0" w:firstLine="0" w:firstLineChars="0"/>
      <w:jc w:val="left"/>
    </w:pPr>
    <w:rPr>
      <w:rFonts w:hint="eastAsia" w:ascii="微软雅黑" w:hAnsi="微软雅黑" w:eastAsia="微软雅黑" w:cstheme="minorBidi"/>
      <w:sz w:val="21"/>
      <w:szCs w:val="21"/>
    </w:rPr>
  </w:style>
  <w:style w:type="character" w:customStyle="1" w:styleId="153">
    <w:name w:val="参考文献条目 Char"/>
    <w:link w:val="152"/>
    <w:qFormat/>
    <w:uiPriority w:val="0"/>
    <w:rPr>
      <w:rFonts w:hint="eastAsia" w:ascii="微软雅黑" w:hAnsi="微软雅黑" w:eastAsia="微软雅黑" w:cstheme="minorBidi"/>
      <w:sz w:val="21"/>
      <w:szCs w:val="21"/>
    </w:rPr>
  </w:style>
  <w:style w:type="paragraph" w:customStyle="1" w:styleId="154">
    <w:name w:val="致谢标题"/>
    <w:link w:val="155"/>
    <w:qFormat/>
    <w:uiPriority w:val="0"/>
    <w:pPr>
      <w:adjustRightInd w:val="0"/>
      <w:snapToGrid w:val="0"/>
      <w:spacing w:after="50" w:afterLines="50"/>
      <w:ind w:firstLine="0" w:firstLineChars="0"/>
      <w:jc w:val="center"/>
    </w:pPr>
    <w:rPr>
      <w:rFonts w:hint="eastAsia" w:ascii="微软雅黑" w:hAnsi="微软雅黑" w:eastAsia="微软雅黑" w:cstheme="minorBidi"/>
      <w:b/>
      <w:bCs/>
      <w:kern w:val="28"/>
      <w:sz w:val="44"/>
      <w:szCs w:val="44"/>
    </w:rPr>
  </w:style>
  <w:style w:type="character" w:customStyle="1" w:styleId="155">
    <w:name w:val="致谢标题 Char"/>
    <w:link w:val="154"/>
    <w:qFormat/>
    <w:uiPriority w:val="0"/>
    <w:rPr>
      <w:rFonts w:hint="eastAsia" w:ascii="微软雅黑" w:hAnsi="微软雅黑" w:eastAsia="微软雅黑" w:cstheme="minorBidi"/>
      <w:b/>
      <w:bCs/>
      <w:kern w:val="28"/>
      <w:sz w:val="44"/>
      <w:szCs w:val="44"/>
    </w:rPr>
  </w:style>
  <w:style w:type="paragraph" w:customStyle="1" w:styleId="156">
    <w:name w:val="致谢正文"/>
    <w:basedOn w:val="1"/>
    <w:qFormat/>
    <w:uiPriority w:val="0"/>
    <w:pPr>
      <w:ind w:firstLine="1041" w:firstLineChars="200"/>
      <w:jc w:val="left"/>
    </w:pPr>
    <w:rPr>
      <w:rFonts w:hint="eastAsia"/>
    </w:rPr>
  </w:style>
  <w:style w:type="paragraph" w:customStyle="1" w:styleId="157">
    <w:name w:val="表格标题"/>
    <w:qFormat/>
    <w:uiPriority w:val="0"/>
    <w:pPr>
      <w:numPr>
        <w:ilvl w:val="0"/>
        <w:numId w:val="9"/>
      </w:numPr>
      <w:adjustRightInd w:val="0"/>
      <w:snapToGrid w:val="0"/>
      <w:ind w:hanging="425" w:firstLineChars="0"/>
      <w:jc w:val="center"/>
    </w:pPr>
    <w:rPr>
      <w:rFonts w:hint="eastAsia" w:ascii="微软雅黑" w:hAnsi="微软雅黑" w:eastAsia="微软雅黑" w:cstheme="minorBidi"/>
      <w:sz w:val="21"/>
      <w:szCs w:val="21"/>
    </w:rPr>
  </w:style>
  <w:style w:type="paragraph" w:customStyle="1" w:styleId="158">
    <w:name w:val="图片标题"/>
    <w:qFormat/>
    <w:uiPriority w:val="0"/>
    <w:pPr>
      <w:numPr>
        <w:ilvl w:val="0"/>
        <w:numId w:val="10"/>
      </w:numPr>
      <w:adjustRightInd w:val="0"/>
      <w:snapToGrid w:val="0"/>
      <w:ind w:hanging="425" w:firstLineChars="0"/>
      <w:jc w:val="center"/>
    </w:pPr>
    <w:rPr>
      <w:rFonts w:hint="eastAsia" w:ascii="微软雅黑" w:hAnsi="微软雅黑" w:eastAsia="微软雅黑" w:cstheme="minorBidi"/>
      <w:sz w:val="21"/>
      <w:szCs w:val="21"/>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自定义 829">
      <a:dk1>
        <a:srgbClr val="000000"/>
      </a:dk1>
      <a:lt1>
        <a:srgbClr val="FFFFFF"/>
      </a:lt1>
      <a:dk2>
        <a:srgbClr val="44546A"/>
      </a:dk2>
      <a:lt2>
        <a:srgbClr val="E7E6E6"/>
      </a:lt2>
      <a:accent1>
        <a:srgbClr val="1BC1C2"/>
      </a:accent1>
      <a:accent2>
        <a:srgbClr val="2ED1B5"/>
      </a:accent2>
      <a:accent3>
        <a:srgbClr val="18A999"/>
      </a:accent3>
      <a:accent4>
        <a:srgbClr val="0091AD"/>
      </a:accent4>
      <a:accent5>
        <a:srgbClr val="39A0ED"/>
      </a:accent5>
      <a:accent6>
        <a:srgbClr val="59D2FE"/>
      </a:accent6>
      <a:hlink>
        <a:srgbClr val="0026E5"/>
      </a:hlink>
      <a:folHlink>
        <a:srgbClr val="7E1FAD"/>
      </a:folHlink>
    </a:clrScheme>
    <a:fontScheme name="自定义 6">
      <a:majorFont>
        <a:latin typeface="汉仪雅酷黑-95J"/>
        <a:ea typeface="汉仪雅酷黑-95J"/>
        <a:cs typeface=""/>
      </a:majorFont>
      <a:minorFont>
        <a:latin typeface="微软雅黑"/>
        <a:ea typeface="微软雅黑"/>
        <a:cs typeface=""/>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69</Pages>
  <Words>32749</Words>
  <Characters>33031</Characters>
  <Lines>0</Lines>
  <Paragraphs>0</Paragraphs>
  <TotalTime>13</TotalTime>
  <ScaleCrop>false</ScaleCrop>
  <LinksUpToDate>false</LinksUpToDate>
  <CharactersWithSpaces>33031</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2025-05-14T09:57:00Z</dcterms:created>
  <dc:creator>唐●●</dc:creator>
  <cp:lastModifiedBy>唐●●</cp:lastModifiedBy>
  <dcterms:modified xsi:type="dcterms:W3CDTF">2025-05-22T07:08:51Z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4EFFFB84C89346D9B5BBDD8EF5DBB7C1_11</vt:lpwstr>
  </property>
  <property fmtid="{D5CDD505-2E9C-101B-9397-08002B2CF9AE}" pid="4" name="KSOTemplateDocerSaveRecord">
    <vt:lpwstr>eyJoZGlkIjoiMzBkY2NlZTUyOGJkNmVmNTI5ZTVlZTUyYTk3MmNmMjMiLCJ1c2VySWQiOiI0MzQ0OTI0ODAifQ==</vt:lpwstr>
  </property>
</Properties>
</file>