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2873F0">
      <w:pPr>
        <w:adjustRightInd w:val="0"/>
        <w:snapToGrid w:val="0"/>
        <w:spacing w:line="500" w:lineRule="exact"/>
        <w:jc w:val="center"/>
        <w:textAlignment w:val="baseline"/>
        <w:rPr>
          <w:rFonts w:ascii="Times New Roman"/>
          <w:b/>
          <w:sz w:val="28"/>
          <w:szCs w:val="28"/>
        </w:rPr>
      </w:pPr>
      <w:r>
        <w:rPr>
          <w:rFonts w:hint="eastAsia" w:ascii="Times New Roman" w:hAnsi="Times New Roman" w:eastAsia="宋体" w:cs="Times New Roman"/>
          <w:b/>
          <w:sz w:val="28"/>
          <w:szCs w:val="28"/>
          <w:lang w:eastAsia="zh-CN"/>
        </w:rPr>
        <w:t>杨凌邰城汇光综合能源有限公司</w:t>
      </w:r>
      <w:r>
        <w:rPr>
          <w:rFonts w:hint="eastAsia" w:ascii="Times New Roman" w:eastAsia="宋体"/>
          <w:b/>
          <w:sz w:val="28"/>
          <w:szCs w:val="28"/>
          <w:lang w:eastAsia="zh-CN"/>
        </w:rPr>
        <w:t>邰城路汇光加油站项目</w:t>
      </w:r>
      <w:r>
        <w:rPr>
          <w:rFonts w:ascii="Times New Roman"/>
          <w:b/>
          <w:sz w:val="28"/>
          <w:szCs w:val="28"/>
        </w:rPr>
        <w:t>环境影响</w:t>
      </w:r>
    </w:p>
    <w:p w14:paraId="2A66207E">
      <w:pPr>
        <w:adjustRightInd w:val="0"/>
        <w:snapToGrid w:val="0"/>
        <w:spacing w:line="500" w:lineRule="exact"/>
        <w:jc w:val="center"/>
        <w:textAlignment w:val="baseline"/>
        <w:rPr>
          <w:rFonts w:ascii="Times New Roman"/>
          <w:b/>
          <w:bCs/>
          <w:color w:val="000000"/>
          <w:sz w:val="32"/>
        </w:rPr>
      </w:pPr>
      <w:r>
        <w:rPr>
          <w:rFonts w:ascii="Times New Roman"/>
          <w:b/>
          <w:sz w:val="28"/>
          <w:szCs w:val="28"/>
        </w:rPr>
        <w:t>报告表技术评审会专家组意见</w:t>
      </w:r>
    </w:p>
    <w:p w14:paraId="257259F2">
      <w:pPr>
        <w:spacing w:line="360" w:lineRule="auto"/>
        <w:rPr>
          <w:rFonts w:ascii="Times New Roman"/>
          <w:sz w:val="24"/>
          <w:szCs w:val="24"/>
        </w:rPr>
      </w:pPr>
    </w:p>
    <w:p w14:paraId="05DBA789">
      <w:pPr>
        <w:spacing w:line="360" w:lineRule="auto"/>
        <w:ind w:firstLine="480" w:firstLineChars="200"/>
        <w:rPr>
          <w:rFonts w:ascii="Times New Roman"/>
          <w:sz w:val="24"/>
        </w:rPr>
      </w:pPr>
      <w:r>
        <w:rPr>
          <w:rFonts w:ascii="Times New Roman"/>
          <w:sz w:val="24"/>
        </w:rPr>
        <w:t>2025年</w:t>
      </w:r>
      <w:r>
        <w:rPr>
          <w:rFonts w:hint="eastAsia" w:ascii="Times New Roman"/>
          <w:sz w:val="24"/>
          <w:lang w:val="en-US" w:eastAsia="zh-CN"/>
        </w:rPr>
        <w:t>8</w:t>
      </w:r>
      <w:r>
        <w:rPr>
          <w:rFonts w:ascii="Times New Roman"/>
          <w:sz w:val="24"/>
        </w:rPr>
        <w:t>月</w:t>
      </w:r>
      <w:r>
        <w:rPr>
          <w:rFonts w:hint="eastAsia" w:ascii="Times New Roman"/>
          <w:sz w:val="24"/>
          <w:lang w:val="en-US" w:eastAsia="zh-CN"/>
        </w:rPr>
        <w:t>21</w:t>
      </w:r>
      <w:r>
        <w:rPr>
          <w:rFonts w:ascii="Times New Roman"/>
          <w:sz w:val="24"/>
        </w:rPr>
        <w:t>日，</w:t>
      </w:r>
      <w:r>
        <w:rPr>
          <w:rFonts w:hint="eastAsia" w:ascii="Times New Roman"/>
          <w:sz w:val="24"/>
        </w:rPr>
        <w:t>杨陵区</w:t>
      </w:r>
      <w:r>
        <w:rPr>
          <w:rFonts w:ascii="Times New Roman"/>
          <w:sz w:val="24"/>
        </w:rPr>
        <w:t>行政审批服务局主持召开了《</w:t>
      </w:r>
      <w:r>
        <w:rPr>
          <w:rFonts w:hint="eastAsia" w:ascii="Times New Roman"/>
          <w:sz w:val="24"/>
          <w:szCs w:val="24"/>
          <w:lang w:eastAsia="zh-CN"/>
        </w:rPr>
        <w:t>邰城路汇光加油站项目</w:t>
      </w:r>
      <w:r>
        <w:rPr>
          <w:rFonts w:ascii="Times New Roman"/>
          <w:sz w:val="24"/>
        </w:rPr>
        <w:t>环境影响报告表》（以下简称“报告表”）技术评审会。项目建设单位（</w:t>
      </w:r>
      <w:r>
        <w:rPr>
          <w:rFonts w:hint="eastAsia" w:ascii="Times New Roman"/>
          <w:sz w:val="24"/>
          <w:lang w:eastAsia="zh-CN"/>
        </w:rPr>
        <w:t>杨凌邰城汇光综合能源有限公司</w:t>
      </w:r>
      <w:r>
        <w:rPr>
          <w:rFonts w:ascii="Times New Roman"/>
          <w:sz w:val="24"/>
        </w:rPr>
        <w:t>）、报告表编制单位（陕西庆鑫时代环保科技有限公司）的代表和有关专家共</w:t>
      </w:r>
      <w:r>
        <w:rPr>
          <w:rFonts w:hint="eastAsia" w:ascii="Times New Roman"/>
          <w:snapToGrid w:val="0"/>
          <w:sz w:val="24"/>
          <w:szCs w:val="24"/>
        </w:rPr>
        <w:t>11</w:t>
      </w:r>
      <w:r>
        <w:rPr>
          <w:rFonts w:ascii="Times New Roman"/>
          <w:snapToGrid w:val="0"/>
          <w:sz w:val="24"/>
          <w:szCs w:val="24"/>
        </w:rPr>
        <w:t>人</w:t>
      </w:r>
      <w:r>
        <w:rPr>
          <w:rFonts w:ascii="Times New Roman"/>
          <w:sz w:val="24"/>
        </w:rPr>
        <w:t>参加了会议，</w:t>
      </w:r>
      <w:r>
        <w:rPr>
          <w:rFonts w:ascii="Times New Roman"/>
          <w:snapToGrid w:val="0"/>
          <w:sz w:val="24"/>
          <w:szCs w:val="24"/>
        </w:rPr>
        <w:t>会议由3名专家组成专家组（名单附后）</w:t>
      </w:r>
      <w:r>
        <w:rPr>
          <w:rFonts w:ascii="Times New Roman"/>
          <w:sz w:val="24"/>
        </w:rPr>
        <w:t>。</w:t>
      </w:r>
    </w:p>
    <w:p w14:paraId="3671A8D2">
      <w:pPr>
        <w:spacing w:line="360" w:lineRule="auto"/>
        <w:ind w:firstLine="480" w:firstLineChars="200"/>
        <w:rPr>
          <w:rFonts w:ascii="Times New Roman"/>
        </w:rPr>
      </w:pPr>
      <w:r>
        <w:rPr>
          <w:rFonts w:ascii="Times New Roman"/>
          <w:sz w:val="24"/>
        </w:rPr>
        <w:t>会前，杨陵区行政审批服务局组织专家代表对项目地及其周边环境进行了现场踏勘。会议听取了建设单位对项目情况的介绍和报告编制单位对报告表主要内容的汇报，经认真讨论和评议，形成技术评审会专家组意见如下：</w:t>
      </w:r>
    </w:p>
    <w:p w14:paraId="120E33E5">
      <w:pPr>
        <w:spacing w:line="360" w:lineRule="auto"/>
        <w:ind w:firstLine="480" w:firstLineChars="200"/>
        <w:rPr>
          <w:rFonts w:ascii="Times New Roman"/>
          <w:sz w:val="24"/>
          <w:szCs w:val="24"/>
        </w:rPr>
      </w:pPr>
      <w:r>
        <w:rPr>
          <w:rFonts w:ascii="Times New Roman"/>
          <w:sz w:val="24"/>
          <w:szCs w:val="24"/>
        </w:rPr>
        <w:t>一、</w:t>
      </w:r>
      <w:r>
        <w:rPr>
          <w:rFonts w:ascii="Times New Roman"/>
          <w:b/>
          <w:sz w:val="24"/>
          <w:szCs w:val="24"/>
        </w:rPr>
        <w:t>项目概况</w:t>
      </w:r>
    </w:p>
    <w:p w14:paraId="3740D06A">
      <w:pPr>
        <w:spacing w:line="360" w:lineRule="auto"/>
        <w:ind w:firstLine="482" w:firstLineChars="200"/>
        <w:rPr>
          <w:rFonts w:ascii="Times New Roman"/>
          <w:b/>
          <w:bCs/>
          <w:sz w:val="24"/>
        </w:rPr>
      </w:pPr>
      <w:r>
        <w:rPr>
          <w:rFonts w:ascii="Times New Roman"/>
          <w:b/>
          <w:bCs/>
          <w:sz w:val="24"/>
        </w:rPr>
        <w:t>1、项目名称、地点、建设单位及性质</w:t>
      </w:r>
    </w:p>
    <w:p w14:paraId="32088F9E">
      <w:pPr>
        <w:tabs>
          <w:tab w:val="left" w:pos="3150"/>
          <w:tab w:val="left" w:pos="4305"/>
        </w:tabs>
        <w:adjustRightInd w:val="0"/>
        <w:snapToGrid w:val="0"/>
        <w:spacing w:line="360" w:lineRule="auto"/>
        <w:ind w:firstLine="480" w:firstLineChars="200"/>
        <w:rPr>
          <w:rFonts w:hint="eastAsia" w:ascii="Times New Roman" w:eastAsia="宋体"/>
          <w:sz w:val="24"/>
          <w:szCs w:val="24"/>
          <w:lang w:eastAsia="zh-CN"/>
        </w:rPr>
      </w:pPr>
      <w:r>
        <w:rPr>
          <w:rFonts w:ascii="Times New Roman"/>
          <w:bCs/>
          <w:iCs/>
          <w:sz w:val="24"/>
          <w:szCs w:val="24"/>
        </w:rPr>
        <w:t>项目名称：</w:t>
      </w:r>
      <w:r>
        <w:rPr>
          <w:rFonts w:hint="eastAsia" w:ascii="Times New Roman"/>
          <w:sz w:val="24"/>
          <w:szCs w:val="24"/>
          <w:lang w:eastAsia="zh-CN"/>
        </w:rPr>
        <w:t>邰城路汇光加油站项目</w:t>
      </w:r>
    </w:p>
    <w:p w14:paraId="3F76A796">
      <w:pPr>
        <w:tabs>
          <w:tab w:val="left" w:pos="3150"/>
          <w:tab w:val="left" w:pos="4305"/>
        </w:tabs>
        <w:adjustRightInd w:val="0"/>
        <w:snapToGrid w:val="0"/>
        <w:spacing w:line="360" w:lineRule="auto"/>
        <w:ind w:firstLine="480" w:firstLineChars="200"/>
        <w:rPr>
          <w:rFonts w:ascii="Times New Roman"/>
          <w:bCs/>
          <w:iCs/>
          <w:sz w:val="24"/>
          <w:szCs w:val="24"/>
        </w:rPr>
      </w:pPr>
      <w:r>
        <w:rPr>
          <w:rFonts w:ascii="Times New Roman"/>
          <w:sz w:val="24"/>
          <w:szCs w:val="24"/>
        </w:rPr>
        <w:t xml:space="preserve">建设性质：新建  </w:t>
      </w:r>
    </w:p>
    <w:p w14:paraId="62A312B5">
      <w:pPr>
        <w:tabs>
          <w:tab w:val="left" w:pos="3150"/>
          <w:tab w:val="left" w:pos="4305"/>
        </w:tabs>
        <w:adjustRightInd w:val="0"/>
        <w:snapToGrid w:val="0"/>
        <w:spacing w:line="360" w:lineRule="auto"/>
        <w:ind w:firstLine="480" w:firstLineChars="200"/>
        <w:rPr>
          <w:rFonts w:ascii="Times New Roman"/>
          <w:bCs/>
          <w:iCs/>
          <w:sz w:val="24"/>
          <w:szCs w:val="24"/>
        </w:rPr>
      </w:pPr>
      <w:r>
        <w:rPr>
          <w:rFonts w:ascii="Times New Roman"/>
          <w:bCs/>
          <w:iCs/>
          <w:sz w:val="24"/>
          <w:szCs w:val="24"/>
        </w:rPr>
        <w:t>建设单位：</w:t>
      </w:r>
      <w:r>
        <w:rPr>
          <w:rFonts w:hint="eastAsia" w:ascii="Times New Roman"/>
          <w:bCs/>
          <w:iCs/>
          <w:sz w:val="24"/>
          <w:szCs w:val="24"/>
          <w:lang w:eastAsia="zh-CN"/>
        </w:rPr>
        <w:t>杨凌邰城汇光综合能源有限公司</w:t>
      </w:r>
      <w:r>
        <w:rPr>
          <w:rFonts w:ascii="Times New Roman"/>
          <w:bCs/>
          <w:iCs/>
          <w:sz w:val="24"/>
          <w:szCs w:val="24"/>
        </w:rPr>
        <w:t xml:space="preserve">   </w:t>
      </w:r>
    </w:p>
    <w:p w14:paraId="4D2BAC13">
      <w:pPr>
        <w:tabs>
          <w:tab w:val="left" w:pos="3150"/>
          <w:tab w:val="left" w:pos="4305"/>
        </w:tabs>
        <w:adjustRightInd w:val="0"/>
        <w:snapToGrid w:val="0"/>
        <w:spacing w:line="360" w:lineRule="auto"/>
        <w:ind w:firstLine="480" w:firstLineChars="200"/>
        <w:rPr>
          <w:rFonts w:ascii="Times New Roman"/>
          <w:sz w:val="24"/>
          <w:szCs w:val="24"/>
        </w:rPr>
      </w:pPr>
      <w:r>
        <w:rPr>
          <w:rFonts w:ascii="Times New Roman"/>
          <w:sz w:val="24"/>
          <w:szCs w:val="24"/>
        </w:rPr>
        <w:t>建设地点：</w:t>
      </w:r>
      <w:r>
        <w:rPr>
          <w:rFonts w:hint="eastAsia" w:ascii="宋体" w:hAnsi="宋体" w:eastAsia="宋体" w:cs="宋体"/>
          <w:color w:val="000000"/>
          <w:kern w:val="0"/>
          <w:sz w:val="24"/>
          <w:szCs w:val="24"/>
          <w:lang w:val="en-US" w:eastAsia="zh-CN" w:bidi="ar"/>
        </w:rPr>
        <w:t>陕西省杨凌示范区G30连霍高速以北，邰城路以东，五胡路以南</w:t>
      </w:r>
    </w:p>
    <w:p w14:paraId="67C1E8FA">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szCs w:val="24"/>
        </w:rPr>
      </w:pPr>
      <w:r>
        <w:rPr>
          <w:rFonts w:ascii="Times New Roman"/>
          <w:sz w:val="24"/>
          <w:szCs w:val="24"/>
        </w:rPr>
        <w:t>建设内容及规模：</w:t>
      </w:r>
      <w:r>
        <w:rPr>
          <w:rFonts w:hint="default" w:ascii="Times New Roman" w:hAnsi="Times New Roman" w:eastAsia="宋体" w:cs="Times New Roman"/>
          <w:spacing w:val="-1"/>
          <w:sz w:val="24"/>
          <w:szCs w:val="24"/>
        </w:rPr>
        <w:t>项目占地面积</w:t>
      </w:r>
      <w:r>
        <w:rPr>
          <w:rFonts w:hint="default" w:ascii="Times New Roman" w:hAnsi="Times New Roman" w:eastAsia="宋体" w:cs="Times New Roman"/>
          <w:spacing w:val="-1"/>
          <w:sz w:val="24"/>
          <w:szCs w:val="24"/>
          <w:lang w:val="en-US" w:eastAsia="zh-CN"/>
        </w:rPr>
        <w:t>3333.3</w:t>
      </w:r>
      <w:r>
        <w:rPr>
          <w:rFonts w:hint="default" w:ascii="Times New Roman" w:hAnsi="Times New Roman" w:eastAsia="宋体" w:cs="Times New Roman"/>
          <w:spacing w:val="-1"/>
          <w:sz w:val="24"/>
          <w:szCs w:val="24"/>
        </w:rPr>
        <w:t>m</w:t>
      </w:r>
      <w:r>
        <w:rPr>
          <w:rFonts w:hint="default" w:ascii="Times New Roman" w:hAnsi="Times New Roman" w:eastAsia="宋体" w:cs="Times New Roman"/>
          <w:spacing w:val="-1"/>
          <w:sz w:val="24"/>
          <w:szCs w:val="24"/>
          <w:vertAlign w:val="superscript"/>
          <w:lang w:val="en-US" w:eastAsia="zh-CN"/>
        </w:rPr>
        <w:t>2</w:t>
      </w:r>
      <w:r>
        <w:rPr>
          <w:rFonts w:hint="default" w:ascii="Times New Roman" w:hAnsi="Times New Roman" w:eastAsia="宋体" w:cs="Times New Roman"/>
          <w:spacing w:val="-1"/>
          <w:sz w:val="24"/>
          <w:szCs w:val="24"/>
        </w:rPr>
        <w:t>，建设以加油站</w:t>
      </w:r>
      <w:r>
        <w:rPr>
          <w:rFonts w:hint="default" w:ascii="Times New Roman" w:hAnsi="Times New Roman" w:eastAsia="宋体" w:cs="Times New Roman"/>
          <w:spacing w:val="-1"/>
          <w:sz w:val="24"/>
          <w:szCs w:val="24"/>
          <w:lang w:eastAsia="zh-CN"/>
        </w:rPr>
        <w:t>、</w:t>
      </w:r>
      <w:r>
        <w:rPr>
          <w:rFonts w:hint="default" w:ascii="Times New Roman" w:hAnsi="Times New Roman" w:eastAsia="宋体" w:cs="Times New Roman"/>
          <w:spacing w:val="-1"/>
          <w:sz w:val="24"/>
          <w:szCs w:val="24"/>
          <w:lang w:val="en-US" w:eastAsia="zh-CN"/>
        </w:rPr>
        <w:t>洗车区</w:t>
      </w:r>
      <w:r>
        <w:rPr>
          <w:rFonts w:hint="default" w:ascii="Times New Roman" w:hAnsi="Times New Roman" w:eastAsia="宋体" w:cs="Times New Roman"/>
          <w:spacing w:val="-1"/>
          <w:sz w:val="24"/>
          <w:szCs w:val="24"/>
        </w:rPr>
        <w:t>和便利店为主以及加</w:t>
      </w:r>
      <w:r>
        <w:rPr>
          <w:rFonts w:hint="default" w:ascii="Times New Roman" w:hAnsi="Times New Roman" w:eastAsia="宋体" w:cs="Times New Roman"/>
          <w:spacing w:val="-3"/>
          <w:sz w:val="24"/>
          <w:szCs w:val="24"/>
        </w:rPr>
        <w:t>油站附属设备设施，年销售汽</w:t>
      </w:r>
      <w:r>
        <w:rPr>
          <w:rFonts w:hint="default" w:ascii="Times New Roman" w:hAnsi="Times New Roman" w:eastAsia="宋体" w:cs="Times New Roman"/>
          <w:color w:val="000000"/>
          <w:kern w:val="0"/>
          <w:sz w:val="24"/>
          <w:szCs w:val="24"/>
          <w:lang w:val="en-US" w:eastAsia="zh-CN" w:bidi="ar"/>
        </w:rPr>
        <w:t>油和柴油合计4800吨。</w:t>
      </w:r>
    </w:p>
    <w:p w14:paraId="3EA196C8">
      <w:pPr>
        <w:spacing w:line="360" w:lineRule="auto"/>
        <w:ind w:firstLine="480" w:firstLineChars="200"/>
        <w:rPr>
          <w:rFonts w:ascii="Times New Roman"/>
          <w:sz w:val="24"/>
          <w:szCs w:val="24"/>
        </w:rPr>
      </w:pPr>
      <w:r>
        <w:rPr>
          <w:rFonts w:ascii="Times New Roman"/>
          <w:sz w:val="24"/>
          <w:szCs w:val="24"/>
        </w:rPr>
        <w:t>地理位置与四邻关系：</w:t>
      </w:r>
      <w:r>
        <w:rPr>
          <w:rFonts w:hint="default" w:ascii="Times New Roman" w:hAnsi="Times New Roman" w:eastAsia="宋体" w:cs="Times New Roman"/>
          <w:spacing w:val="-6"/>
          <w:sz w:val="24"/>
          <w:szCs w:val="24"/>
        </w:rPr>
        <w:t>本项目位于杨凌示范区</w:t>
      </w:r>
      <w:r>
        <w:rPr>
          <w:rFonts w:hint="default" w:ascii="Times New Roman" w:hAnsi="Times New Roman" w:eastAsia="宋体" w:cs="Times New Roman"/>
          <w:spacing w:val="-6"/>
          <w:sz w:val="24"/>
          <w:szCs w:val="24"/>
          <w:lang w:val="en-US" w:eastAsia="zh-CN"/>
        </w:rPr>
        <w:t>连霍高速G30</w:t>
      </w:r>
      <w:r>
        <w:rPr>
          <w:rFonts w:hint="default" w:ascii="Times New Roman" w:hAnsi="Times New Roman" w:eastAsia="宋体" w:cs="Times New Roman"/>
          <w:spacing w:val="-6"/>
          <w:sz w:val="24"/>
          <w:szCs w:val="24"/>
        </w:rPr>
        <w:t>以</w:t>
      </w:r>
      <w:r>
        <w:rPr>
          <w:rFonts w:hint="default" w:ascii="Times New Roman" w:hAnsi="Times New Roman" w:eastAsia="宋体" w:cs="Times New Roman"/>
          <w:spacing w:val="-6"/>
          <w:sz w:val="24"/>
          <w:szCs w:val="24"/>
          <w:lang w:val="en-US" w:eastAsia="zh-CN"/>
        </w:rPr>
        <w:t>北</w:t>
      </w:r>
      <w:r>
        <w:rPr>
          <w:rFonts w:hint="default" w:ascii="Times New Roman" w:hAnsi="Times New Roman" w:eastAsia="宋体" w:cs="Times New Roman"/>
          <w:spacing w:val="-6"/>
          <w:sz w:val="24"/>
          <w:szCs w:val="24"/>
        </w:rPr>
        <w:t>，邰城路以东，五胡路以南。</w:t>
      </w:r>
      <w:r>
        <w:rPr>
          <w:rFonts w:hint="default" w:ascii="Times New Roman" w:hAnsi="Times New Roman" w:eastAsia="宋体" w:cs="Times New Roman"/>
          <w:sz w:val="24"/>
          <w:szCs w:val="24"/>
        </w:rPr>
        <w:t>加油站北侧为</w:t>
      </w:r>
      <w:r>
        <w:rPr>
          <w:rFonts w:hint="default" w:ascii="Times New Roman" w:hAnsi="Times New Roman" w:eastAsia="宋体" w:cs="Times New Roman"/>
          <w:sz w:val="24"/>
          <w:szCs w:val="24"/>
          <w:lang w:val="en-US" w:eastAsia="zh-CN"/>
        </w:rPr>
        <w:t>原李台乡政府办公楼（目前闲置废弃）</w:t>
      </w:r>
      <w:r>
        <w:rPr>
          <w:rFonts w:hint="default" w:ascii="Times New Roman" w:hAnsi="Times New Roman" w:eastAsia="宋体" w:cs="Times New Roman"/>
          <w:sz w:val="24"/>
          <w:szCs w:val="24"/>
        </w:rPr>
        <w:t>，西侧为</w:t>
      </w:r>
      <w:r>
        <w:rPr>
          <w:rFonts w:hint="default" w:ascii="Times New Roman" w:hAnsi="Times New Roman" w:eastAsia="宋体" w:cs="Times New Roman"/>
          <w:spacing w:val="-1"/>
          <w:sz w:val="24"/>
          <w:szCs w:val="24"/>
        </w:rPr>
        <w:t>邰城路</w:t>
      </w:r>
      <w:r>
        <w:rPr>
          <w:rFonts w:hint="default" w:ascii="Times New Roman" w:hAnsi="Times New Roman" w:eastAsia="宋体" w:cs="Times New Roman"/>
          <w:sz w:val="24"/>
          <w:szCs w:val="24"/>
        </w:rPr>
        <w:t>，东侧为</w:t>
      </w:r>
      <w:r>
        <w:rPr>
          <w:rFonts w:hint="default" w:ascii="Times New Roman" w:hAnsi="Times New Roman" w:eastAsia="宋体" w:cs="Times New Roman"/>
          <w:sz w:val="24"/>
          <w:szCs w:val="24"/>
          <w:lang w:val="en-US" w:eastAsia="zh-CN"/>
        </w:rPr>
        <w:t>杜家坡村住户</w:t>
      </w:r>
      <w:r>
        <w:rPr>
          <w:rFonts w:hint="default" w:ascii="Times New Roman" w:hAnsi="Times New Roman" w:eastAsia="宋体" w:cs="Times New Roman"/>
          <w:spacing w:val="-1"/>
          <w:sz w:val="24"/>
          <w:szCs w:val="24"/>
        </w:rPr>
        <w:t>、</w:t>
      </w:r>
      <w:r>
        <w:rPr>
          <w:rFonts w:hint="default" w:ascii="Times New Roman" w:hAnsi="Times New Roman" w:eastAsia="宋体" w:cs="Times New Roman"/>
          <w:spacing w:val="-1"/>
          <w:sz w:val="24"/>
          <w:szCs w:val="24"/>
          <w:lang w:val="en-US" w:eastAsia="zh-CN"/>
        </w:rPr>
        <w:t>废品回收站</w:t>
      </w:r>
      <w:r>
        <w:rPr>
          <w:rFonts w:hint="default" w:ascii="Times New Roman" w:hAnsi="Times New Roman" w:eastAsia="宋体" w:cs="Times New Roman"/>
          <w:spacing w:val="-2"/>
          <w:sz w:val="24"/>
          <w:szCs w:val="24"/>
        </w:rPr>
        <w:t>，南侧为</w:t>
      </w:r>
      <w:r>
        <w:rPr>
          <w:rFonts w:hint="default" w:ascii="Times New Roman" w:hAnsi="Times New Roman" w:eastAsia="宋体" w:cs="Times New Roman"/>
          <w:spacing w:val="-6"/>
          <w:sz w:val="24"/>
          <w:szCs w:val="24"/>
          <w:lang w:val="en-US" w:eastAsia="zh-CN"/>
        </w:rPr>
        <w:t>连霍高速G30</w:t>
      </w:r>
      <w:r>
        <w:rPr>
          <w:rFonts w:hint="default" w:ascii="Times New Roman" w:hAnsi="Times New Roman" w:eastAsia="宋体" w:cs="Times New Roman"/>
          <w:spacing w:val="-2"/>
          <w:sz w:val="24"/>
          <w:szCs w:val="24"/>
        </w:rPr>
        <w:t>。</w:t>
      </w:r>
    </w:p>
    <w:p w14:paraId="4A4C4B0F">
      <w:pPr>
        <w:spacing w:line="360" w:lineRule="auto"/>
        <w:ind w:firstLine="482" w:firstLineChars="200"/>
        <w:rPr>
          <w:rFonts w:ascii="Times New Roman"/>
          <w:b/>
          <w:bCs/>
          <w:sz w:val="24"/>
        </w:rPr>
      </w:pPr>
      <w:r>
        <w:rPr>
          <w:rFonts w:ascii="Times New Roman"/>
          <w:b/>
          <w:bCs/>
          <w:sz w:val="24"/>
        </w:rPr>
        <w:t>2、项目规模及工程主要内容</w:t>
      </w:r>
    </w:p>
    <w:p w14:paraId="565BE799">
      <w:pPr>
        <w:jc w:val="center"/>
        <w:rPr>
          <w:rFonts w:ascii="Times New Roman"/>
          <w:b/>
          <w:bCs/>
          <w:color w:val="000000"/>
          <w:szCs w:val="21"/>
        </w:rPr>
      </w:pPr>
      <w:r>
        <w:rPr>
          <w:rFonts w:ascii="Times New Roman"/>
          <w:b/>
          <w:bCs/>
          <w:color w:val="000000"/>
          <w:szCs w:val="21"/>
        </w:rPr>
        <w:t>表1-1  项目基本组成情况一览表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2"/>
        <w:gridCol w:w="428"/>
        <w:gridCol w:w="67"/>
        <w:gridCol w:w="708"/>
        <w:gridCol w:w="5840"/>
        <w:gridCol w:w="727"/>
      </w:tblGrid>
      <w:tr w14:paraId="0637E5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52" w:type="dxa"/>
            <w:tcBorders>
              <w:tl2br w:val="nil"/>
              <w:tr2bl w:val="nil"/>
            </w:tcBorders>
            <w:vAlign w:val="center"/>
          </w:tcPr>
          <w:p w14:paraId="16275D3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项目</w:t>
            </w:r>
          </w:p>
          <w:p w14:paraId="0C37405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组成</w:t>
            </w:r>
          </w:p>
        </w:tc>
        <w:tc>
          <w:tcPr>
            <w:tcW w:w="1203" w:type="dxa"/>
            <w:gridSpan w:val="3"/>
            <w:tcBorders>
              <w:tl2br w:val="nil"/>
              <w:tr2bl w:val="nil"/>
            </w:tcBorders>
            <w:vAlign w:val="center"/>
          </w:tcPr>
          <w:p w14:paraId="10F257A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工程名称</w:t>
            </w:r>
          </w:p>
        </w:tc>
        <w:tc>
          <w:tcPr>
            <w:tcW w:w="5840" w:type="dxa"/>
            <w:tcBorders>
              <w:tl2br w:val="nil"/>
              <w:tr2bl w:val="nil"/>
            </w:tcBorders>
            <w:vAlign w:val="center"/>
          </w:tcPr>
          <w:p w14:paraId="694AD80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建设内容及规模</w:t>
            </w:r>
          </w:p>
        </w:tc>
        <w:tc>
          <w:tcPr>
            <w:tcW w:w="727" w:type="dxa"/>
            <w:tcBorders>
              <w:tl2br w:val="nil"/>
              <w:tr2bl w:val="nil"/>
            </w:tcBorders>
            <w:vAlign w:val="center"/>
          </w:tcPr>
          <w:p w14:paraId="4DB7195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备注</w:t>
            </w:r>
          </w:p>
        </w:tc>
      </w:tr>
      <w:tr w14:paraId="529982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752" w:type="dxa"/>
            <w:vMerge w:val="restart"/>
            <w:tcBorders>
              <w:tl2br w:val="nil"/>
              <w:tr2bl w:val="nil"/>
            </w:tcBorders>
            <w:vAlign w:val="center"/>
          </w:tcPr>
          <w:p w14:paraId="1798898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主体</w:t>
            </w:r>
          </w:p>
          <w:p w14:paraId="79C7CFE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工程</w:t>
            </w:r>
          </w:p>
        </w:tc>
        <w:tc>
          <w:tcPr>
            <w:tcW w:w="428" w:type="dxa"/>
            <w:vMerge w:val="restart"/>
            <w:tcBorders>
              <w:tl2br w:val="nil"/>
              <w:tr2bl w:val="nil"/>
            </w:tcBorders>
            <w:vAlign w:val="center"/>
          </w:tcPr>
          <w:p w14:paraId="197C83B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加油加气区</w:t>
            </w:r>
          </w:p>
        </w:tc>
        <w:tc>
          <w:tcPr>
            <w:tcW w:w="775" w:type="dxa"/>
            <w:gridSpan w:val="2"/>
            <w:tcBorders>
              <w:tl2br w:val="nil"/>
              <w:tr2bl w:val="nil"/>
            </w:tcBorders>
            <w:vAlign w:val="center"/>
          </w:tcPr>
          <w:p w14:paraId="3585EC4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罩棚</w:t>
            </w:r>
          </w:p>
        </w:tc>
        <w:tc>
          <w:tcPr>
            <w:tcW w:w="5840" w:type="dxa"/>
            <w:tcBorders>
              <w:tl2br w:val="nil"/>
              <w:tr2bl w:val="nil"/>
            </w:tcBorders>
            <w:vAlign w:val="center"/>
          </w:tcPr>
          <w:p w14:paraId="6F93E03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位于站区中部新建钢网架结构罩棚1座，建筑面积571.1m</w:t>
            </w:r>
            <w:r>
              <w:rPr>
                <w:rFonts w:hint="default" w:ascii="Times New Roman" w:hAnsi="Times New Roman" w:eastAsia="宋体" w:cs="Times New Roman"/>
                <w:b w:val="0"/>
                <w:bCs w:val="0"/>
                <w:sz w:val="21"/>
                <w:szCs w:val="21"/>
                <w:vertAlign w:val="superscript"/>
                <w:lang w:val="en-US" w:eastAsia="zh-CN"/>
              </w:rPr>
              <w:t>2</w:t>
            </w:r>
            <w:r>
              <w:rPr>
                <w:rFonts w:hint="default" w:ascii="Times New Roman" w:hAnsi="Times New Roman" w:eastAsia="宋体" w:cs="Times New Roman"/>
                <w:b w:val="0"/>
                <w:bCs w:val="0"/>
                <w:sz w:val="21"/>
                <w:szCs w:val="21"/>
                <w:vertAlign w:val="baseline"/>
                <w:lang w:val="en-US" w:eastAsia="zh-CN"/>
              </w:rPr>
              <w:t>，罩棚柱高6.0m。</w:t>
            </w:r>
          </w:p>
        </w:tc>
        <w:tc>
          <w:tcPr>
            <w:tcW w:w="727" w:type="dxa"/>
            <w:vMerge w:val="restart"/>
            <w:tcBorders>
              <w:tl2br w:val="nil"/>
              <w:tr2bl w:val="nil"/>
            </w:tcBorders>
            <w:vAlign w:val="center"/>
          </w:tcPr>
          <w:p w14:paraId="65EC996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新建</w:t>
            </w:r>
          </w:p>
        </w:tc>
      </w:tr>
      <w:tr w14:paraId="43C965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52" w:type="dxa"/>
            <w:vMerge w:val="continue"/>
            <w:tcBorders>
              <w:tl2br w:val="nil"/>
              <w:tr2bl w:val="nil"/>
            </w:tcBorders>
            <w:vAlign w:val="center"/>
          </w:tcPr>
          <w:p w14:paraId="6EF6D0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p>
        </w:tc>
        <w:tc>
          <w:tcPr>
            <w:tcW w:w="428" w:type="dxa"/>
            <w:vMerge w:val="continue"/>
            <w:tcBorders>
              <w:tl2br w:val="nil"/>
              <w:tr2bl w:val="nil"/>
            </w:tcBorders>
            <w:vAlign w:val="center"/>
          </w:tcPr>
          <w:p w14:paraId="29501C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p>
        </w:tc>
        <w:tc>
          <w:tcPr>
            <w:tcW w:w="775" w:type="dxa"/>
            <w:gridSpan w:val="2"/>
            <w:tcBorders>
              <w:tl2br w:val="nil"/>
              <w:tr2bl w:val="nil"/>
            </w:tcBorders>
            <w:vAlign w:val="center"/>
          </w:tcPr>
          <w:p w14:paraId="5C3448E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加油机</w:t>
            </w:r>
          </w:p>
        </w:tc>
        <w:tc>
          <w:tcPr>
            <w:tcW w:w="5840" w:type="dxa"/>
            <w:tcBorders>
              <w:tl2br w:val="nil"/>
              <w:tr2bl w:val="nil"/>
            </w:tcBorders>
            <w:vAlign w:val="center"/>
          </w:tcPr>
          <w:p w14:paraId="7394B2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本加油站共设4枪双油税控燃油加油机4台，共16支加油枪，加油机安装在独立加油岛上，共设有加油车道4条。设置卸油油气回收系统、加油油气回收系统(分散式)及三次油气回收系统。</w:t>
            </w:r>
          </w:p>
        </w:tc>
        <w:tc>
          <w:tcPr>
            <w:tcW w:w="727" w:type="dxa"/>
            <w:vMerge w:val="continue"/>
            <w:tcBorders>
              <w:tl2br w:val="nil"/>
              <w:tr2bl w:val="nil"/>
            </w:tcBorders>
            <w:vAlign w:val="center"/>
          </w:tcPr>
          <w:p w14:paraId="0F9A44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p>
        </w:tc>
      </w:tr>
      <w:tr w14:paraId="4825BC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52" w:type="dxa"/>
            <w:vMerge w:val="continue"/>
            <w:tcBorders>
              <w:tl2br w:val="nil"/>
              <w:tr2bl w:val="nil"/>
            </w:tcBorders>
            <w:vAlign w:val="center"/>
          </w:tcPr>
          <w:p w14:paraId="547A6AD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p>
        </w:tc>
        <w:tc>
          <w:tcPr>
            <w:tcW w:w="1203" w:type="dxa"/>
            <w:gridSpan w:val="3"/>
            <w:tcBorders>
              <w:tl2br w:val="nil"/>
              <w:tr2bl w:val="nil"/>
            </w:tcBorders>
            <w:shd w:val="clear" w:color="auto" w:fill="auto"/>
            <w:vAlign w:val="center"/>
          </w:tcPr>
          <w:p w14:paraId="7DC24DE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油罐区</w:t>
            </w:r>
          </w:p>
        </w:tc>
        <w:tc>
          <w:tcPr>
            <w:tcW w:w="5840" w:type="dxa"/>
            <w:tcBorders>
              <w:tl2br w:val="nil"/>
              <w:tr2bl w:val="nil"/>
            </w:tcBorders>
            <w:shd w:val="clear" w:color="auto" w:fill="auto"/>
            <w:vAlign w:val="center"/>
          </w:tcPr>
          <w:p w14:paraId="2BF5801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位于加油加气区车行道下方，油罐区设45m</w:t>
            </w:r>
            <w:r>
              <w:rPr>
                <w:rFonts w:hint="default" w:ascii="Times New Roman" w:hAnsi="Times New Roman" w:eastAsia="宋体" w:cs="Times New Roman"/>
                <w:b w:val="0"/>
                <w:bCs w:val="0"/>
                <w:sz w:val="21"/>
                <w:szCs w:val="21"/>
                <w:vertAlign w:val="superscript"/>
                <w:lang w:val="en-US" w:eastAsia="zh-CN"/>
              </w:rPr>
              <w:t>3</w:t>
            </w:r>
            <w:r>
              <w:rPr>
                <w:rFonts w:hint="default" w:ascii="Times New Roman" w:hAnsi="Times New Roman" w:eastAsia="宋体" w:cs="Times New Roman"/>
                <w:b w:val="0"/>
                <w:bCs w:val="0"/>
                <w:sz w:val="21"/>
                <w:szCs w:val="21"/>
                <w:vertAlign w:val="baseline"/>
                <w:lang w:val="en-US" w:eastAsia="zh-CN"/>
              </w:rPr>
              <w:t>双层SF汽油储罐2台，40m</w:t>
            </w:r>
            <w:r>
              <w:rPr>
                <w:rFonts w:hint="default" w:ascii="Times New Roman" w:hAnsi="Times New Roman" w:eastAsia="宋体" w:cs="Times New Roman"/>
                <w:b w:val="0"/>
                <w:bCs w:val="0"/>
                <w:sz w:val="21"/>
                <w:szCs w:val="21"/>
                <w:vertAlign w:val="superscript"/>
                <w:lang w:val="en-US" w:eastAsia="zh-CN"/>
              </w:rPr>
              <w:t>3</w:t>
            </w:r>
            <w:r>
              <w:rPr>
                <w:rFonts w:hint="default" w:ascii="Times New Roman" w:hAnsi="Times New Roman" w:eastAsia="宋体" w:cs="Times New Roman"/>
                <w:b w:val="0"/>
                <w:bCs w:val="0"/>
                <w:sz w:val="21"/>
                <w:szCs w:val="21"/>
                <w:vertAlign w:val="baseline"/>
                <w:lang w:val="en-US" w:eastAsia="zh-CN"/>
              </w:rPr>
              <w:t>双层SF汽油储罐1台，40m</w:t>
            </w:r>
            <w:r>
              <w:rPr>
                <w:rFonts w:hint="default" w:ascii="Times New Roman" w:hAnsi="Times New Roman" w:eastAsia="宋体" w:cs="Times New Roman"/>
                <w:b w:val="0"/>
                <w:bCs w:val="0"/>
                <w:sz w:val="21"/>
                <w:szCs w:val="21"/>
                <w:vertAlign w:val="superscript"/>
                <w:lang w:val="en-US" w:eastAsia="zh-CN"/>
              </w:rPr>
              <w:t>3</w:t>
            </w:r>
            <w:r>
              <w:rPr>
                <w:rFonts w:hint="default" w:ascii="Times New Roman" w:hAnsi="Times New Roman" w:eastAsia="宋体" w:cs="Times New Roman"/>
                <w:b w:val="0"/>
                <w:bCs w:val="0"/>
                <w:sz w:val="21"/>
                <w:szCs w:val="21"/>
                <w:vertAlign w:val="baseline"/>
                <w:lang w:val="en-US" w:eastAsia="zh-CN"/>
              </w:rPr>
              <w:t>双层SF柴油储罐1台，采用内钢外玻璃纤维增强塑料双层储油罐。</w:t>
            </w:r>
          </w:p>
        </w:tc>
        <w:tc>
          <w:tcPr>
            <w:tcW w:w="727" w:type="dxa"/>
            <w:tcBorders>
              <w:tl2br w:val="nil"/>
              <w:tr2bl w:val="nil"/>
            </w:tcBorders>
            <w:vAlign w:val="center"/>
          </w:tcPr>
          <w:p w14:paraId="6E6AE5D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新建</w:t>
            </w:r>
          </w:p>
        </w:tc>
      </w:tr>
      <w:tr w14:paraId="79481F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752" w:type="dxa"/>
            <w:vMerge w:val="continue"/>
            <w:tcBorders>
              <w:tl2br w:val="nil"/>
              <w:tr2bl w:val="nil"/>
            </w:tcBorders>
            <w:vAlign w:val="center"/>
          </w:tcPr>
          <w:p w14:paraId="682AD73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p>
        </w:tc>
        <w:tc>
          <w:tcPr>
            <w:tcW w:w="495" w:type="dxa"/>
            <w:gridSpan w:val="2"/>
            <w:vMerge w:val="restart"/>
            <w:tcBorders>
              <w:tl2br w:val="nil"/>
              <w:tr2bl w:val="nil"/>
            </w:tcBorders>
            <w:shd w:val="clear" w:color="auto" w:fill="auto"/>
            <w:vAlign w:val="center"/>
          </w:tcPr>
          <w:p w14:paraId="0B260B3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消防</w:t>
            </w:r>
          </w:p>
        </w:tc>
        <w:tc>
          <w:tcPr>
            <w:tcW w:w="708" w:type="dxa"/>
            <w:tcBorders>
              <w:tl2br w:val="nil"/>
              <w:tr2bl w:val="nil"/>
            </w:tcBorders>
            <w:shd w:val="clear" w:color="auto" w:fill="auto"/>
            <w:vAlign w:val="center"/>
          </w:tcPr>
          <w:p w14:paraId="79EB7BF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站房</w:t>
            </w:r>
          </w:p>
        </w:tc>
        <w:tc>
          <w:tcPr>
            <w:tcW w:w="5840" w:type="dxa"/>
            <w:tcBorders>
              <w:tl2br w:val="nil"/>
              <w:tr2bl w:val="nil"/>
            </w:tcBorders>
            <w:shd w:val="clear" w:color="auto" w:fill="auto"/>
            <w:vAlign w:val="center"/>
          </w:tcPr>
          <w:p w14:paraId="309377B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12具5kg手提式类干粉灭火器</w:t>
            </w:r>
          </w:p>
        </w:tc>
        <w:tc>
          <w:tcPr>
            <w:tcW w:w="727" w:type="dxa"/>
            <w:vMerge w:val="restart"/>
            <w:tcBorders>
              <w:tl2br w:val="nil"/>
              <w:tr2bl w:val="nil"/>
            </w:tcBorders>
            <w:vAlign w:val="center"/>
          </w:tcPr>
          <w:p w14:paraId="05AF860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新建</w:t>
            </w:r>
          </w:p>
        </w:tc>
      </w:tr>
      <w:tr w14:paraId="5475F9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752" w:type="dxa"/>
            <w:vMerge w:val="continue"/>
            <w:tcBorders>
              <w:tl2br w:val="nil"/>
              <w:tr2bl w:val="nil"/>
            </w:tcBorders>
            <w:vAlign w:val="center"/>
          </w:tcPr>
          <w:p w14:paraId="0488C6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rPr>
            </w:pPr>
          </w:p>
        </w:tc>
        <w:tc>
          <w:tcPr>
            <w:tcW w:w="495" w:type="dxa"/>
            <w:gridSpan w:val="2"/>
            <w:vMerge w:val="continue"/>
            <w:tcBorders>
              <w:tl2br w:val="nil"/>
              <w:tr2bl w:val="nil"/>
            </w:tcBorders>
            <w:shd w:val="clear" w:color="auto" w:fill="auto"/>
            <w:vAlign w:val="center"/>
          </w:tcPr>
          <w:p w14:paraId="343DBCE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olor w:val="000000" w:themeColor="text1"/>
                <w14:textFill>
                  <w14:solidFill>
                    <w14:schemeClr w14:val="tx1"/>
                  </w14:solidFill>
                </w14:textFill>
              </w:rPr>
            </w:pPr>
          </w:p>
        </w:tc>
        <w:tc>
          <w:tcPr>
            <w:tcW w:w="708" w:type="dxa"/>
            <w:tcBorders>
              <w:tl2br w:val="nil"/>
              <w:tr2bl w:val="nil"/>
            </w:tcBorders>
            <w:shd w:val="clear" w:color="auto" w:fill="auto"/>
            <w:vAlign w:val="center"/>
          </w:tcPr>
          <w:p w14:paraId="0A22A2A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加油区</w:t>
            </w:r>
          </w:p>
        </w:tc>
        <w:tc>
          <w:tcPr>
            <w:tcW w:w="5840" w:type="dxa"/>
            <w:tcBorders>
              <w:tl2br w:val="nil"/>
              <w:tr2bl w:val="nil"/>
            </w:tcBorders>
            <w:shd w:val="clear" w:color="auto" w:fill="auto"/>
            <w:vAlign w:val="center"/>
          </w:tcPr>
          <w:p w14:paraId="3E807D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1台35kg推车式干粉灭火器，10只5kg手提式干粉灭火器，5块灭火毯</w:t>
            </w:r>
          </w:p>
        </w:tc>
        <w:tc>
          <w:tcPr>
            <w:tcW w:w="727" w:type="dxa"/>
            <w:vMerge w:val="continue"/>
            <w:tcBorders>
              <w:tl2br w:val="nil"/>
              <w:tr2bl w:val="nil"/>
            </w:tcBorders>
            <w:vAlign w:val="center"/>
          </w:tcPr>
          <w:p w14:paraId="409DCB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2"/>
                <w:sz w:val="21"/>
                <w:szCs w:val="21"/>
                <w:vertAlign w:val="baseline"/>
                <w:lang w:val="en-US" w:eastAsia="zh-CN" w:bidi="ar-SA"/>
              </w:rPr>
            </w:pPr>
          </w:p>
        </w:tc>
      </w:tr>
      <w:tr w14:paraId="04A65F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752" w:type="dxa"/>
            <w:vMerge w:val="continue"/>
            <w:tcBorders>
              <w:tl2br w:val="nil"/>
              <w:tr2bl w:val="nil"/>
            </w:tcBorders>
            <w:vAlign w:val="center"/>
          </w:tcPr>
          <w:p w14:paraId="19582B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2"/>
                <w:sz w:val="21"/>
                <w:szCs w:val="21"/>
                <w:vertAlign w:val="baseline"/>
                <w:lang w:val="en-US" w:eastAsia="zh-CN" w:bidi="ar-SA"/>
              </w:rPr>
            </w:pPr>
          </w:p>
        </w:tc>
        <w:tc>
          <w:tcPr>
            <w:tcW w:w="495" w:type="dxa"/>
            <w:gridSpan w:val="2"/>
            <w:vMerge w:val="continue"/>
            <w:tcBorders>
              <w:tl2br w:val="nil"/>
              <w:tr2bl w:val="nil"/>
            </w:tcBorders>
            <w:shd w:val="clear" w:color="auto" w:fill="auto"/>
            <w:vAlign w:val="center"/>
          </w:tcPr>
          <w:p w14:paraId="747028B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p>
        </w:tc>
        <w:tc>
          <w:tcPr>
            <w:tcW w:w="708" w:type="dxa"/>
            <w:tcBorders>
              <w:tl2br w:val="nil"/>
              <w:tr2bl w:val="nil"/>
            </w:tcBorders>
            <w:shd w:val="clear" w:color="auto" w:fill="auto"/>
            <w:vAlign w:val="center"/>
          </w:tcPr>
          <w:p w14:paraId="3F878D0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设备区</w:t>
            </w:r>
          </w:p>
        </w:tc>
        <w:tc>
          <w:tcPr>
            <w:tcW w:w="5840" w:type="dxa"/>
            <w:tcBorders>
              <w:tl2br w:val="nil"/>
              <w:tr2bl w:val="nil"/>
            </w:tcBorders>
            <w:shd w:val="clear" w:color="auto" w:fill="auto"/>
            <w:vAlign w:val="center"/>
          </w:tcPr>
          <w:p w14:paraId="7244AE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4具35kg推车式ABC类干粉灭火器，4具5kg手提式ABC类干粉灭火器</w:t>
            </w:r>
          </w:p>
        </w:tc>
        <w:tc>
          <w:tcPr>
            <w:tcW w:w="727" w:type="dxa"/>
            <w:vMerge w:val="continue"/>
            <w:tcBorders>
              <w:tl2br w:val="nil"/>
              <w:tr2bl w:val="nil"/>
            </w:tcBorders>
            <w:vAlign w:val="center"/>
          </w:tcPr>
          <w:p w14:paraId="0AA294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2"/>
                <w:sz w:val="21"/>
                <w:szCs w:val="21"/>
                <w:vertAlign w:val="baseline"/>
                <w:lang w:val="en-US" w:eastAsia="zh-CN" w:bidi="ar-SA"/>
              </w:rPr>
            </w:pPr>
          </w:p>
        </w:tc>
      </w:tr>
      <w:tr w14:paraId="31BF59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752" w:type="dxa"/>
            <w:vMerge w:val="continue"/>
            <w:tcBorders>
              <w:tl2br w:val="nil"/>
              <w:tr2bl w:val="nil"/>
            </w:tcBorders>
            <w:vAlign w:val="center"/>
          </w:tcPr>
          <w:p w14:paraId="0B1A13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2"/>
                <w:sz w:val="21"/>
                <w:szCs w:val="21"/>
                <w:vertAlign w:val="baseline"/>
                <w:lang w:val="en-US" w:eastAsia="zh-CN" w:bidi="ar-SA"/>
              </w:rPr>
            </w:pPr>
          </w:p>
        </w:tc>
        <w:tc>
          <w:tcPr>
            <w:tcW w:w="495" w:type="dxa"/>
            <w:gridSpan w:val="2"/>
            <w:vMerge w:val="continue"/>
            <w:tcBorders>
              <w:tl2br w:val="nil"/>
              <w:tr2bl w:val="nil"/>
            </w:tcBorders>
            <w:shd w:val="clear" w:color="auto" w:fill="auto"/>
            <w:vAlign w:val="center"/>
          </w:tcPr>
          <w:p w14:paraId="00B7AD0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p>
        </w:tc>
        <w:tc>
          <w:tcPr>
            <w:tcW w:w="708" w:type="dxa"/>
            <w:tcBorders>
              <w:tl2br w:val="nil"/>
              <w:tr2bl w:val="nil"/>
            </w:tcBorders>
            <w:shd w:val="clear" w:color="auto" w:fill="auto"/>
            <w:vAlign w:val="center"/>
          </w:tcPr>
          <w:p w14:paraId="52190DF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卸油口</w:t>
            </w:r>
          </w:p>
        </w:tc>
        <w:tc>
          <w:tcPr>
            <w:tcW w:w="5840" w:type="dxa"/>
            <w:tcBorders>
              <w:tl2br w:val="nil"/>
              <w:tr2bl w:val="nil"/>
            </w:tcBorders>
            <w:shd w:val="clear" w:color="auto" w:fill="auto"/>
            <w:vAlign w:val="center"/>
          </w:tcPr>
          <w:p w14:paraId="01809C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卸油口附近消防器材箱内设灭火毯5块，消防沙2m³，消防桶和消防锹各4个</w:t>
            </w:r>
          </w:p>
        </w:tc>
        <w:tc>
          <w:tcPr>
            <w:tcW w:w="727" w:type="dxa"/>
            <w:vMerge w:val="continue"/>
            <w:tcBorders>
              <w:tl2br w:val="nil"/>
              <w:tr2bl w:val="nil"/>
            </w:tcBorders>
            <w:vAlign w:val="center"/>
          </w:tcPr>
          <w:p w14:paraId="0A8C15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2"/>
                <w:sz w:val="21"/>
                <w:szCs w:val="21"/>
                <w:vertAlign w:val="baseline"/>
                <w:lang w:val="en-US" w:eastAsia="zh-CN" w:bidi="ar-SA"/>
              </w:rPr>
            </w:pPr>
          </w:p>
        </w:tc>
      </w:tr>
      <w:tr w14:paraId="69AEE4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52" w:type="dxa"/>
            <w:vMerge w:val="restart"/>
            <w:tcBorders>
              <w:tl2br w:val="nil"/>
              <w:tr2bl w:val="nil"/>
            </w:tcBorders>
            <w:vAlign w:val="center"/>
          </w:tcPr>
          <w:p w14:paraId="558B311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辅助工程</w:t>
            </w:r>
          </w:p>
        </w:tc>
        <w:tc>
          <w:tcPr>
            <w:tcW w:w="1203" w:type="dxa"/>
            <w:gridSpan w:val="3"/>
            <w:tcBorders>
              <w:tl2br w:val="nil"/>
              <w:tr2bl w:val="nil"/>
            </w:tcBorders>
            <w:vAlign w:val="center"/>
          </w:tcPr>
          <w:p w14:paraId="2C4DE7C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站房</w:t>
            </w:r>
          </w:p>
        </w:tc>
        <w:tc>
          <w:tcPr>
            <w:tcW w:w="5840" w:type="dxa"/>
            <w:tcBorders>
              <w:tl2br w:val="nil"/>
              <w:tr2bl w:val="nil"/>
            </w:tcBorders>
            <w:vAlign w:val="center"/>
          </w:tcPr>
          <w:p w14:paraId="00BE1FA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加油区东侧布置站房，建筑面积为256.88m</w:t>
            </w:r>
            <w:r>
              <w:rPr>
                <w:rFonts w:hint="default" w:ascii="Times New Roman" w:hAnsi="Times New Roman" w:eastAsia="宋体" w:cs="Times New Roman"/>
                <w:b w:val="0"/>
                <w:bCs w:val="0"/>
                <w:sz w:val="21"/>
                <w:szCs w:val="21"/>
                <w:vertAlign w:val="superscript"/>
                <w:lang w:val="en-US" w:eastAsia="zh-CN"/>
              </w:rPr>
              <w:t>2</w:t>
            </w:r>
            <w:r>
              <w:rPr>
                <w:rFonts w:hint="default" w:ascii="Times New Roman" w:hAnsi="Times New Roman" w:eastAsia="宋体" w:cs="Times New Roman"/>
                <w:b w:val="0"/>
                <w:bCs w:val="0"/>
                <w:sz w:val="21"/>
                <w:szCs w:val="21"/>
                <w:vertAlign w:val="baseline"/>
                <w:lang w:val="en-US" w:eastAsia="zh-CN"/>
              </w:rPr>
              <w:t>，单层框架结构，建筑高度为4.85米，内部设便利店、综合办公室、站长办公室、男女更衣、配电间、客户休息区、无障碍卫生间、盥洗室，满足站内员工的办公过程控制等要求。</w:t>
            </w:r>
          </w:p>
        </w:tc>
        <w:tc>
          <w:tcPr>
            <w:tcW w:w="727" w:type="dxa"/>
            <w:tcBorders>
              <w:tl2br w:val="nil"/>
              <w:tr2bl w:val="nil"/>
            </w:tcBorders>
            <w:vAlign w:val="center"/>
          </w:tcPr>
          <w:p w14:paraId="2BA0E6C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新建</w:t>
            </w:r>
          </w:p>
        </w:tc>
      </w:tr>
      <w:tr w14:paraId="170959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52" w:type="dxa"/>
            <w:vMerge w:val="continue"/>
            <w:tcBorders>
              <w:tl2br w:val="nil"/>
              <w:tr2bl w:val="nil"/>
            </w:tcBorders>
            <w:vAlign w:val="center"/>
          </w:tcPr>
          <w:p w14:paraId="6113FBB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p>
        </w:tc>
        <w:tc>
          <w:tcPr>
            <w:tcW w:w="1203" w:type="dxa"/>
            <w:gridSpan w:val="3"/>
            <w:tcBorders>
              <w:tl2br w:val="nil"/>
              <w:tr2bl w:val="nil"/>
            </w:tcBorders>
            <w:vAlign w:val="center"/>
          </w:tcPr>
          <w:p w14:paraId="19E2FCE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洗车房</w:t>
            </w:r>
          </w:p>
        </w:tc>
        <w:tc>
          <w:tcPr>
            <w:tcW w:w="5840" w:type="dxa"/>
            <w:tcBorders>
              <w:tl2br w:val="nil"/>
              <w:tr2bl w:val="nil"/>
            </w:tcBorders>
            <w:vAlign w:val="center"/>
          </w:tcPr>
          <w:p w14:paraId="7F94EF5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采用成品橇装洗车房，建筑高度4.85米，建筑面积63.46m</w:t>
            </w:r>
            <w:r>
              <w:rPr>
                <w:rFonts w:hint="default" w:ascii="Times New Roman" w:hAnsi="Times New Roman" w:eastAsia="宋体" w:cs="Times New Roman"/>
                <w:b w:val="0"/>
                <w:bCs w:val="0"/>
                <w:sz w:val="21"/>
                <w:szCs w:val="21"/>
                <w:vertAlign w:val="superscript"/>
                <w:lang w:val="en-US" w:eastAsia="zh-CN"/>
              </w:rPr>
              <w:t>2</w:t>
            </w:r>
          </w:p>
        </w:tc>
        <w:tc>
          <w:tcPr>
            <w:tcW w:w="727" w:type="dxa"/>
            <w:tcBorders>
              <w:tl2br w:val="nil"/>
              <w:tr2bl w:val="nil"/>
            </w:tcBorders>
            <w:vAlign w:val="center"/>
          </w:tcPr>
          <w:p w14:paraId="187B85F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新建</w:t>
            </w:r>
          </w:p>
        </w:tc>
      </w:tr>
      <w:tr w14:paraId="2EA5ED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52" w:type="dxa"/>
            <w:vMerge w:val="continue"/>
            <w:tcBorders>
              <w:tl2br w:val="nil"/>
              <w:tr2bl w:val="nil"/>
            </w:tcBorders>
            <w:vAlign w:val="center"/>
          </w:tcPr>
          <w:p w14:paraId="34885B7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p>
        </w:tc>
        <w:tc>
          <w:tcPr>
            <w:tcW w:w="1203" w:type="dxa"/>
            <w:gridSpan w:val="3"/>
            <w:tcBorders>
              <w:tl2br w:val="nil"/>
              <w:tr2bl w:val="nil"/>
            </w:tcBorders>
            <w:vAlign w:val="center"/>
          </w:tcPr>
          <w:p w14:paraId="53FDEE0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洗车辅房</w:t>
            </w:r>
          </w:p>
        </w:tc>
        <w:tc>
          <w:tcPr>
            <w:tcW w:w="5840" w:type="dxa"/>
            <w:tcBorders>
              <w:tl2br w:val="nil"/>
              <w:tr2bl w:val="nil"/>
            </w:tcBorders>
            <w:vAlign w:val="center"/>
          </w:tcPr>
          <w:p w14:paraId="5D3FC32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建筑面积297.00m</w:t>
            </w:r>
            <w:r>
              <w:rPr>
                <w:rFonts w:hint="default" w:ascii="Times New Roman" w:hAnsi="Times New Roman" w:eastAsia="宋体" w:cs="Times New Roman"/>
                <w:sz w:val="21"/>
                <w:szCs w:val="21"/>
                <w:vertAlign w:val="superscript"/>
                <w:lang w:val="en-US" w:eastAsia="zh-CN"/>
              </w:rPr>
              <w:t>2</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单</w:t>
            </w:r>
            <w:r>
              <w:rPr>
                <w:rFonts w:hint="default" w:ascii="Times New Roman" w:hAnsi="Times New Roman" w:eastAsia="宋体" w:cs="Times New Roman"/>
                <w:sz w:val="21"/>
                <w:szCs w:val="21"/>
              </w:rPr>
              <w:t>层钢结构，建筑高度为4.85米，洗车辅房立面外墙采用白色防火铝单板</w:t>
            </w:r>
            <w:r>
              <w:rPr>
                <w:rFonts w:hint="eastAsia" w:cs="Times New Roman"/>
                <w:sz w:val="21"/>
                <w:szCs w:val="21"/>
                <w:lang w:eastAsia="zh-CN"/>
              </w:rPr>
              <w:t>，</w:t>
            </w:r>
            <w:r>
              <w:rPr>
                <w:rFonts w:hint="default" w:ascii="Times New Roman" w:hAnsi="Times New Roman" w:eastAsia="宋体" w:cs="Times New Roman"/>
                <w:sz w:val="21"/>
                <w:szCs w:val="21"/>
              </w:rPr>
              <w:t>外立面与周围环境和谐统一。</w:t>
            </w:r>
          </w:p>
        </w:tc>
        <w:tc>
          <w:tcPr>
            <w:tcW w:w="727" w:type="dxa"/>
            <w:tcBorders>
              <w:tl2br w:val="nil"/>
              <w:tr2bl w:val="nil"/>
            </w:tcBorders>
            <w:vAlign w:val="center"/>
          </w:tcPr>
          <w:p w14:paraId="38C28D9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新建</w:t>
            </w:r>
          </w:p>
        </w:tc>
      </w:tr>
      <w:tr w14:paraId="058097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52" w:type="dxa"/>
            <w:vMerge w:val="continue"/>
            <w:tcBorders>
              <w:tl2br w:val="nil"/>
              <w:tr2bl w:val="nil"/>
            </w:tcBorders>
            <w:vAlign w:val="center"/>
          </w:tcPr>
          <w:p w14:paraId="7A16523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p>
        </w:tc>
        <w:tc>
          <w:tcPr>
            <w:tcW w:w="1203" w:type="dxa"/>
            <w:gridSpan w:val="3"/>
            <w:tcBorders>
              <w:tl2br w:val="nil"/>
              <w:tr2bl w:val="nil"/>
            </w:tcBorders>
            <w:vAlign w:val="center"/>
          </w:tcPr>
          <w:p w14:paraId="2035AF1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站区道路及回车场</w:t>
            </w:r>
          </w:p>
        </w:tc>
        <w:tc>
          <w:tcPr>
            <w:tcW w:w="5840" w:type="dxa"/>
            <w:tcBorders>
              <w:tl2br w:val="nil"/>
              <w:tr2bl w:val="nil"/>
            </w:tcBorders>
            <w:vAlign w:val="center"/>
          </w:tcPr>
          <w:p w14:paraId="5D91781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站内道路及行车场地均为混凝土硬化地面</w:t>
            </w:r>
          </w:p>
        </w:tc>
        <w:tc>
          <w:tcPr>
            <w:tcW w:w="727" w:type="dxa"/>
            <w:tcBorders>
              <w:tl2br w:val="nil"/>
              <w:tr2bl w:val="nil"/>
            </w:tcBorders>
            <w:vAlign w:val="center"/>
          </w:tcPr>
          <w:p w14:paraId="28A4E4D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新建</w:t>
            </w:r>
          </w:p>
        </w:tc>
      </w:tr>
      <w:tr w14:paraId="4F19ED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52" w:type="dxa"/>
            <w:vMerge w:val="restart"/>
            <w:tcBorders>
              <w:tl2br w:val="nil"/>
              <w:tr2bl w:val="nil"/>
            </w:tcBorders>
            <w:vAlign w:val="center"/>
          </w:tcPr>
          <w:p w14:paraId="2109E41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公用工程</w:t>
            </w:r>
          </w:p>
        </w:tc>
        <w:tc>
          <w:tcPr>
            <w:tcW w:w="1203" w:type="dxa"/>
            <w:gridSpan w:val="3"/>
            <w:tcBorders>
              <w:tl2br w:val="nil"/>
              <w:tr2bl w:val="nil"/>
            </w:tcBorders>
            <w:vAlign w:val="center"/>
          </w:tcPr>
          <w:p w14:paraId="13751E6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供水</w:t>
            </w:r>
          </w:p>
        </w:tc>
        <w:tc>
          <w:tcPr>
            <w:tcW w:w="5840" w:type="dxa"/>
            <w:tcBorders>
              <w:tl2br w:val="nil"/>
              <w:tr2bl w:val="nil"/>
            </w:tcBorders>
            <w:vAlign w:val="center"/>
          </w:tcPr>
          <w:p w14:paraId="3A051C1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由市政管网提供</w:t>
            </w:r>
          </w:p>
        </w:tc>
        <w:tc>
          <w:tcPr>
            <w:tcW w:w="727" w:type="dxa"/>
            <w:tcBorders>
              <w:tl2br w:val="nil"/>
              <w:tr2bl w:val="nil"/>
            </w:tcBorders>
            <w:vAlign w:val="center"/>
          </w:tcPr>
          <w:p w14:paraId="6BFAC9E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新建</w:t>
            </w:r>
          </w:p>
        </w:tc>
      </w:tr>
      <w:tr w14:paraId="01B598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52" w:type="dxa"/>
            <w:vMerge w:val="continue"/>
            <w:tcBorders>
              <w:tl2br w:val="nil"/>
              <w:tr2bl w:val="nil"/>
            </w:tcBorders>
            <w:vAlign w:val="center"/>
          </w:tcPr>
          <w:p w14:paraId="0F54B9A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p>
        </w:tc>
        <w:tc>
          <w:tcPr>
            <w:tcW w:w="1203" w:type="dxa"/>
            <w:gridSpan w:val="3"/>
            <w:tcBorders>
              <w:tl2br w:val="nil"/>
              <w:tr2bl w:val="nil"/>
            </w:tcBorders>
            <w:vAlign w:val="center"/>
          </w:tcPr>
          <w:p w14:paraId="0A5AE2E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排水</w:t>
            </w:r>
          </w:p>
        </w:tc>
        <w:tc>
          <w:tcPr>
            <w:tcW w:w="5840" w:type="dxa"/>
            <w:tcBorders>
              <w:tl2br w:val="nil"/>
              <w:tr2bl w:val="nil"/>
            </w:tcBorders>
            <w:vAlign w:val="center"/>
          </w:tcPr>
          <w:p w14:paraId="0667C2A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站内</w:t>
            </w:r>
            <w:r>
              <w:rPr>
                <w:rFonts w:hint="eastAsia" w:cs="Times New Roman"/>
                <w:b w:val="0"/>
                <w:bCs w:val="0"/>
                <w:sz w:val="21"/>
                <w:szCs w:val="21"/>
                <w:vertAlign w:val="baseline"/>
                <w:lang w:val="en-US" w:eastAsia="zh-CN"/>
              </w:rPr>
              <w:t>设置初期雨水收集池5m</w:t>
            </w:r>
            <w:r>
              <w:rPr>
                <w:rFonts w:hint="eastAsia" w:cs="Times New Roman"/>
                <w:b w:val="0"/>
                <w:bCs w:val="0"/>
                <w:sz w:val="21"/>
                <w:szCs w:val="21"/>
                <w:vertAlign w:val="superscript"/>
                <w:lang w:val="en-US" w:eastAsia="zh-CN"/>
              </w:rPr>
              <w:t>3</w:t>
            </w:r>
            <w:r>
              <w:rPr>
                <w:rFonts w:hint="eastAsia" w:cs="Times New Roman"/>
                <w:b w:val="0"/>
                <w:bCs w:val="0"/>
                <w:sz w:val="21"/>
                <w:szCs w:val="21"/>
                <w:vertAlign w:val="baseline"/>
                <w:lang w:val="en-US" w:eastAsia="zh-CN"/>
              </w:rPr>
              <w:t>，收集雨水用于洗车工艺</w:t>
            </w:r>
            <w:r>
              <w:rPr>
                <w:rFonts w:hint="default" w:ascii="Times New Roman" w:hAnsi="Times New Roman" w:eastAsia="宋体" w:cs="Times New Roman"/>
                <w:b w:val="0"/>
                <w:bCs w:val="0"/>
                <w:sz w:val="21"/>
                <w:szCs w:val="21"/>
                <w:vertAlign w:val="baseline"/>
                <w:lang w:val="en-US" w:eastAsia="zh-CN"/>
              </w:rPr>
              <w:t>；生活污水进入化粪池预处理后</w:t>
            </w:r>
            <w:r>
              <w:rPr>
                <w:rFonts w:hint="eastAsia" w:cs="Times New Roman"/>
                <w:b w:val="0"/>
                <w:bCs w:val="0"/>
                <w:sz w:val="21"/>
                <w:szCs w:val="21"/>
                <w:vertAlign w:val="baseline"/>
                <w:lang w:val="en-US" w:eastAsia="zh-CN"/>
              </w:rPr>
              <w:t>同处理后的洗车废水一同</w:t>
            </w:r>
            <w:r>
              <w:rPr>
                <w:rFonts w:hint="default" w:ascii="Times New Roman" w:hAnsi="Times New Roman" w:eastAsia="宋体" w:cs="Times New Roman"/>
                <w:b w:val="0"/>
                <w:bCs w:val="0"/>
                <w:sz w:val="21"/>
                <w:szCs w:val="21"/>
                <w:vertAlign w:val="baseline"/>
                <w:lang w:val="en-US" w:eastAsia="zh-CN"/>
              </w:rPr>
              <w:t>经</w:t>
            </w:r>
            <w:r>
              <w:rPr>
                <w:rFonts w:hint="eastAsia" w:cs="Times New Roman"/>
                <w:b w:val="0"/>
                <w:bCs w:val="0"/>
                <w:sz w:val="21"/>
                <w:szCs w:val="21"/>
                <w:vertAlign w:val="baseline"/>
                <w:lang w:val="en-US" w:eastAsia="zh-CN"/>
              </w:rPr>
              <w:t>市政</w:t>
            </w:r>
            <w:r>
              <w:rPr>
                <w:rFonts w:hint="default" w:ascii="Times New Roman" w:hAnsi="Times New Roman" w:eastAsia="宋体" w:cs="Times New Roman"/>
                <w:b w:val="0"/>
                <w:bCs w:val="0"/>
                <w:sz w:val="21"/>
                <w:szCs w:val="21"/>
                <w:vertAlign w:val="baseline"/>
                <w:lang w:val="en-US" w:eastAsia="zh-CN"/>
              </w:rPr>
              <w:t>污水管网排至杨凌污水处理厂。洗车废水经</w:t>
            </w:r>
            <w:r>
              <w:rPr>
                <w:rFonts w:hint="eastAsia" w:cs="Times New Roman"/>
                <w:b w:val="0"/>
                <w:bCs w:val="0"/>
                <w:sz w:val="21"/>
                <w:szCs w:val="21"/>
                <w:vertAlign w:val="baseline"/>
                <w:lang w:val="en-US" w:eastAsia="zh-CN"/>
              </w:rPr>
              <w:t>隔油+二级</w:t>
            </w:r>
            <w:r>
              <w:rPr>
                <w:rFonts w:hint="default" w:ascii="Times New Roman" w:hAnsi="Times New Roman" w:eastAsia="宋体" w:cs="Times New Roman"/>
                <w:b w:val="0"/>
                <w:bCs w:val="0"/>
                <w:sz w:val="21"/>
                <w:szCs w:val="21"/>
                <w:vertAlign w:val="baseline"/>
                <w:lang w:val="en-US" w:eastAsia="zh-CN"/>
              </w:rPr>
              <w:t>沉淀后回用于洗车工序，</w:t>
            </w:r>
            <w:r>
              <w:rPr>
                <w:rFonts w:hint="eastAsia" w:cs="Times New Roman"/>
                <w:b w:val="0"/>
                <w:bCs w:val="0"/>
                <w:sz w:val="21"/>
                <w:szCs w:val="21"/>
                <w:vertAlign w:val="baseline"/>
                <w:lang w:val="en-US" w:eastAsia="zh-CN"/>
              </w:rPr>
              <w:t>定期</w:t>
            </w:r>
            <w:r>
              <w:rPr>
                <w:rFonts w:hint="default" w:ascii="Times New Roman" w:hAnsi="Times New Roman" w:eastAsia="宋体" w:cs="Times New Roman"/>
                <w:b w:val="0"/>
                <w:bCs w:val="0"/>
                <w:sz w:val="21"/>
                <w:szCs w:val="21"/>
                <w:vertAlign w:val="baseline"/>
                <w:lang w:val="en-US" w:eastAsia="zh-CN"/>
              </w:rPr>
              <w:t>经</w:t>
            </w:r>
            <w:r>
              <w:rPr>
                <w:rFonts w:hint="eastAsia" w:ascii="Times New Roman" w:hAnsi="Times New Roman" w:eastAsia="宋体" w:cs="Times New Roman"/>
                <w:b w:val="0"/>
                <w:bCs w:val="0"/>
                <w:sz w:val="21"/>
                <w:szCs w:val="21"/>
                <w:vertAlign w:val="baseline"/>
                <w:lang w:val="en-US" w:eastAsia="zh-CN"/>
              </w:rPr>
              <w:t>市政</w:t>
            </w:r>
            <w:r>
              <w:rPr>
                <w:rFonts w:hint="default" w:ascii="Times New Roman" w:hAnsi="Times New Roman" w:eastAsia="宋体" w:cs="Times New Roman"/>
                <w:b w:val="0"/>
                <w:bCs w:val="0"/>
                <w:sz w:val="21"/>
                <w:szCs w:val="21"/>
                <w:vertAlign w:val="baseline"/>
                <w:lang w:val="en-US" w:eastAsia="zh-CN"/>
              </w:rPr>
              <w:t>污水管网排至杨凌污水处理厂。</w:t>
            </w:r>
          </w:p>
        </w:tc>
        <w:tc>
          <w:tcPr>
            <w:tcW w:w="727" w:type="dxa"/>
            <w:tcBorders>
              <w:tl2br w:val="nil"/>
              <w:tr2bl w:val="nil"/>
            </w:tcBorders>
            <w:vAlign w:val="center"/>
          </w:tcPr>
          <w:p w14:paraId="25037FD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新建</w:t>
            </w:r>
          </w:p>
        </w:tc>
      </w:tr>
      <w:tr w14:paraId="2893CC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52" w:type="dxa"/>
            <w:vMerge w:val="continue"/>
            <w:tcBorders>
              <w:tl2br w:val="nil"/>
              <w:tr2bl w:val="nil"/>
            </w:tcBorders>
            <w:vAlign w:val="center"/>
          </w:tcPr>
          <w:p w14:paraId="4A4606A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p>
        </w:tc>
        <w:tc>
          <w:tcPr>
            <w:tcW w:w="1203" w:type="dxa"/>
            <w:gridSpan w:val="3"/>
            <w:tcBorders>
              <w:tl2br w:val="nil"/>
              <w:tr2bl w:val="nil"/>
            </w:tcBorders>
            <w:vAlign w:val="center"/>
          </w:tcPr>
          <w:p w14:paraId="4AE46B7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供电</w:t>
            </w:r>
          </w:p>
        </w:tc>
        <w:tc>
          <w:tcPr>
            <w:tcW w:w="5840" w:type="dxa"/>
            <w:tcBorders>
              <w:tl2br w:val="nil"/>
              <w:tr2bl w:val="nil"/>
            </w:tcBorders>
            <w:vAlign w:val="center"/>
          </w:tcPr>
          <w:p w14:paraId="37CB7F1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由市政供电</w:t>
            </w:r>
          </w:p>
        </w:tc>
        <w:tc>
          <w:tcPr>
            <w:tcW w:w="727" w:type="dxa"/>
            <w:tcBorders>
              <w:tl2br w:val="nil"/>
              <w:tr2bl w:val="nil"/>
            </w:tcBorders>
            <w:vAlign w:val="center"/>
          </w:tcPr>
          <w:p w14:paraId="1209966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w:t>
            </w:r>
          </w:p>
        </w:tc>
      </w:tr>
      <w:tr w14:paraId="7CEA6A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52" w:type="dxa"/>
            <w:vMerge w:val="continue"/>
            <w:tcBorders>
              <w:tl2br w:val="nil"/>
              <w:tr2bl w:val="nil"/>
            </w:tcBorders>
            <w:vAlign w:val="center"/>
          </w:tcPr>
          <w:p w14:paraId="46AF67B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p>
        </w:tc>
        <w:tc>
          <w:tcPr>
            <w:tcW w:w="1203" w:type="dxa"/>
            <w:gridSpan w:val="3"/>
            <w:tcBorders>
              <w:tl2br w:val="nil"/>
              <w:tr2bl w:val="nil"/>
            </w:tcBorders>
            <w:vAlign w:val="center"/>
          </w:tcPr>
          <w:p w14:paraId="6D49E7E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供暖</w:t>
            </w:r>
          </w:p>
        </w:tc>
        <w:tc>
          <w:tcPr>
            <w:tcW w:w="5840" w:type="dxa"/>
            <w:tcBorders>
              <w:tl2br w:val="nil"/>
              <w:tr2bl w:val="nil"/>
            </w:tcBorders>
            <w:vAlign w:val="center"/>
          </w:tcPr>
          <w:p w14:paraId="1097432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办公室、值班室设分体式空调采暖制冷</w:t>
            </w:r>
          </w:p>
        </w:tc>
        <w:tc>
          <w:tcPr>
            <w:tcW w:w="727" w:type="dxa"/>
            <w:tcBorders>
              <w:tl2br w:val="nil"/>
              <w:tr2bl w:val="nil"/>
            </w:tcBorders>
            <w:vAlign w:val="center"/>
          </w:tcPr>
          <w:p w14:paraId="00FD7DB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w:t>
            </w:r>
          </w:p>
        </w:tc>
      </w:tr>
      <w:tr w14:paraId="3D7DD3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52" w:type="dxa"/>
            <w:vMerge w:val="restart"/>
            <w:tcBorders>
              <w:tl2br w:val="nil"/>
              <w:tr2bl w:val="nil"/>
            </w:tcBorders>
            <w:vAlign w:val="center"/>
          </w:tcPr>
          <w:p w14:paraId="799F721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环保工程</w:t>
            </w:r>
          </w:p>
        </w:tc>
        <w:tc>
          <w:tcPr>
            <w:tcW w:w="1203" w:type="dxa"/>
            <w:gridSpan w:val="3"/>
            <w:tcBorders>
              <w:tl2br w:val="nil"/>
              <w:tr2bl w:val="nil"/>
            </w:tcBorders>
            <w:vAlign w:val="center"/>
          </w:tcPr>
          <w:p w14:paraId="5D72A17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废气</w:t>
            </w:r>
          </w:p>
        </w:tc>
        <w:tc>
          <w:tcPr>
            <w:tcW w:w="5840" w:type="dxa"/>
            <w:tcBorders>
              <w:tl2br w:val="nil"/>
              <w:tr2bl w:val="nil"/>
            </w:tcBorders>
            <w:vAlign w:val="center"/>
          </w:tcPr>
          <w:p w14:paraId="1AFF89E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设置三次油气回收装置，卸油过程采取一次油气回收系统：加油过程采取二次油气回收系统：储油过程采取三次油气回收系统：处理工艺为膜分离+冷凝工艺</w:t>
            </w:r>
          </w:p>
        </w:tc>
        <w:tc>
          <w:tcPr>
            <w:tcW w:w="727" w:type="dxa"/>
            <w:tcBorders>
              <w:tl2br w:val="nil"/>
              <w:tr2bl w:val="nil"/>
            </w:tcBorders>
            <w:vAlign w:val="center"/>
          </w:tcPr>
          <w:p w14:paraId="2A1AAAD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新建</w:t>
            </w:r>
          </w:p>
        </w:tc>
      </w:tr>
      <w:tr w14:paraId="69CD6A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52" w:type="dxa"/>
            <w:vMerge w:val="continue"/>
            <w:tcBorders>
              <w:tl2br w:val="nil"/>
              <w:tr2bl w:val="nil"/>
            </w:tcBorders>
            <w:vAlign w:val="center"/>
          </w:tcPr>
          <w:p w14:paraId="4697F4C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p>
        </w:tc>
        <w:tc>
          <w:tcPr>
            <w:tcW w:w="1203" w:type="dxa"/>
            <w:gridSpan w:val="3"/>
            <w:tcBorders>
              <w:tl2br w:val="nil"/>
              <w:tr2bl w:val="nil"/>
            </w:tcBorders>
            <w:vAlign w:val="center"/>
          </w:tcPr>
          <w:p w14:paraId="6049469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废水</w:t>
            </w:r>
          </w:p>
        </w:tc>
        <w:tc>
          <w:tcPr>
            <w:tcW w:w="5840" w:type="dxa"/>
            <w:tcBorders>
              <w:tl2br w:val="nil"/>
              <w:tr2bl w:val="nil"/>
            </w:tcBorders>
            <w:vAlign w:val="center"/>
          </w:tcPr>
          <w:p w14:paraId="31C9346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生活污水进入化粪池预处理后</w:t>
            </w:r>
            <w:r>
              <w:rPr>
                <w:rFonts w:hint="eastAsia" w:cs="Times New Roman"/>
                <w:b w:val="0"/>
                <w:bCs w:val="0"/>
                <w:sz w:val="21"/>
                <w:szCs w:val="21"/>
                <w:vertAlign w:val="baseline"/>
                <w:lang w:val="en-US" w:eastAsia="zh-CN"/>
              </w:rPr>
              <w:t>同处理后的洗车废水一同</w:t>
            </w:r>
            <w:r>
              <w:rPr>
                <w:rFonts w:hint="default" w:ascii="Times New Roman" w:hAnsi="Times New Roman" w:eastAsia="宋体" w:cs="Times New Roman"/>
                <w:b w:val="0"/>
                <w:bCs w:val="0"/>
                <w:sz w:val="21"/>
                <w:szCs w:val="21"/>
                <w:vertAlign w:val="baseline"/>
                <w:lang w:val="en-US" w:eastAsia="zh-CN"/>
              </w:rPr>
              <w:t>经市政污水管网排至杨凌污水处理厂。洗车废水经</w:t>
            </w:r>
            <w:r>
              <w:rPr>
                <w:rFonts w:hint="eastAsia" w:ascii="Times New Roman" w:hAnsi="Times New Roman" w:eastAsia="宋体" w:cs="Times New Roman"/>
                <w:b w:val="0"/>
                <w:bCs w:val="0"/>
                <w:sz w:val="21"/>
                <w:szCs w:val="21"/>
                <w:vertAlign w:val="baseline"/>
                <w:lang w:val="en-US" w:eastAsia="zh-CN"/>
              </w:rPr>
              <w:t>除油、二级沉淀（添加絮凝剂）</w:t>
            </w:r>
            <w:r>
              <w:rPr>
                <w:rFonts w:hint="default" w:ascii="Times New Roman" w:hAnsi="Times New Roman" w:eastAsia="宋体" w:cs="Times New Roman"/>
                <w:b w:val="0"/>
                <w:bCs w:val="0"/>
                <w:sz w:val="21"/>
                <w:szCs w:val="21"/>
                <w:vertAlign w:val="baseline"/>
                <w:lang w:val="en-US" w:eastAsia="zh-CN"/>
              </w:rPr>
              <w:t>处理后回用于洗车工序，</w:t>
            </w:r>
            <w:r>
              <w:rPr>
                <w:rFonts w:hint="eastAsia" w:cs="Times New Roman"/>
                <w:b w:val="0"/>
                <w:bCs w:val="0"/>
                <w:sz w:val="21"/>
                <w:szCs w:val="21"/>
                <w:vertAlign w:val="baseline"/>
                <w:lang w:val="en-US" w:eastAsia="zh-CN"/>
              </w:rPr>
              <w:t>定期</w:t>
            </w:r>
            <w:r>
              <w:rPr>
                <w:rFonts w:hint="default" w:ascii="Times New Roman" w:hAnsi="Times New Roman" w:eastAsia="宋体" w:cs="Times New Roman"/>
                <w:b w:val="0"/>
                <w:bCs w:val="0"/>
                <w:sz w:val="21"/>
                <w:szCs w:val="21"/>
                <w:vertAlign w:val="baseline"/>
                <w:lang w:val="en-US" w:eastAsia="zh-CN"/>
              </w:rPr>
              <w:t>经市政污水管网排至杨凌污水处理厂。</w:t>
            </w:r>
          </w:p>
        </w:tc>
        <w:tc>
          <w:tcPr>
            <w:tcW w:w="727" w:type="dxa"/>
            <w:tcBorders>
              <w:tl2br w:val="nil"/>
              <w:tr2bl w:val="nil"/>
            </w:tcBorders>
            <w:vAlign w:val="center"/>
          </w:tcPr>
          <w:p w14:paraId="2C7B5D5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新建</w:t>
            </w:r>
          </w:p>
        </w:tc>
      </w:tr>
      <w:tr w14:paraId="20A1C1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52" w:type="dxa"/>
            <w:vMerge w:val="continue"/>
            <w:tcBorders>
              <w:tl2br w:val="nil"/>
              <w:tr2bl w:val="nil"/>
            </w:tcBorders>
            <w:vAlign w:val="center"/>
          </w:tcPr>
          <w:p w14:paraId="0D00478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p>
        </w:tc>
        <w:tc>
          <w:tcPr>
            <w:tcW w:w="1203" w:type="dxa"/>
            <w:gridSpan w:val="3"/>
            <w:tcBorders>
              <w:tl2br w:val="nil"/>
              <w:tr2bl w:val="nil"/>
            </w:tcBorders>
            <w:vAlign w:val="center"/>
          </w:tcPr>
          <w:p w14:paraId="0082E8F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噪声</w:t>
            </w:r>
          </w:p>
        </w:tc>
        <w:tc>
          <w:tcPr>
            <w:tcW w:w="5840" w:type="dxa"/>
            <w:tcBorders>
              <w:tl2br w:val="nil"/>
              <w:tr2bl w:val="nil"/>
            </w:tcBorders>
            <w:vAlign w:val="center"/>
          </w:tcPr>
          <w:p w14:paraId="224D7E4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选用低噪声设备，采取基础减振、隔声等降噪措施；出入区域内来往机动车辆减速、禁止鸣笛。</w:t>
            </w:r>
          </w:p>
        </w:tc>
        <w:tc>
          <w:tcPr>
            <w:tcW w:w="727" w:type="dxa"/>
            <w:tcBorders>
              <w:tl2br w:val="nil"/>
              <w:tr2bl w:val="nil"/>
            </w:tcBorders>
            <w:vAlign w:val="center"/>
          </w:tcPr>
          <w:p w14:paraId="4293599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新建</w:t>
            </w:r>
          </w:p>
        </w:tc>
      </w:tr>
      <w:tr w14:paraId="04FA4A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52" w:type="dxa"/>
            <w:vMerge w:val="continue"/>
            <w:tcBorders>
              <w:tl2br w:val="nil"/>
              <w:tr2bl w:val="nil"/>
            </w:tcBorders>
            <w:vAlign w:val="center"/>
          </w:tcPr>
          <w:p w14:paraId="59D5D08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p>
        </w:tc>
        <w:tc>
          <w:tcPr>
            <w:tcW w:w="495" w:type="dxa"/>
            <w:gridSpan w:val="2"/>
            <w:vMerge w:val="restart"/>
            <w:tcBorders>
              <w:tl2br w:val="nil"/>
              <w:tr2bl w:val="nil"/>
            </w:tcBorders>
            <w:vAlign w:val="center"/>
          </w:tcPr>
          <w:p w14:paraId="3B9D340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固废</w:t>
            </w:r>
          </w:p>
        </w:tc>
        <w:tc>
          <w:tcPr>
            <w:tcW w:w="708" w:type="dxa"/>
            <w:tcBorders>
              <w:tl2br w:val="nil"/>
              <w:tr2bl w:val="nil"/>
            </w:tcBorders>
            <w:vAlign w:val="center"/>
          </w:tcPr>
          <w:p w14:paraId="29CF0C8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生活垃圾</w:t>
            </w:r>
          </w:p>
        </w:tc>
        <w:tc>
          <w:tcPr>
            <w:tcW w:w="5840" w:type="dxa"/>
            <w:tcBorders>
              <w:tl2br w:val="nil"/>
              <w:tr2bl w:val="nil"/>
            </w:tcBorders>
            <w:vAlign w:val="center"/>
          </w:tcPr>
          <w:p w14:paraId="3B5DC8D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设置生活垃圾收集桶，分类收集后由环卫部门统一清运</w:t>
            </w:r>
          </w:p>
        </w:tc>
        <w:tc>
          <w:tcPr>
            <w:tcW w:w="727" w:type="dxa"/>
            <w:tcBorders>
              <w:tl2br w:val="nil"/>
              <w:tr2bl w:val="nil"/>
            </w:tcBorders>
            <w:vAlign w:val="center"/>
          </w:tcPr>
          <w:p w14:paraId="5AD00EB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w:t>
            </w:r>
          </w:p>
        </w:tc>
      </w:tr>
      <w:tr w14:paraId="0FAD15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52" w:type="dxa"/>
            <w:vMerge w:val="continue"/>
            <w:tcBorders>
              <w:tl2br w:val="nil"/>
              <w:tr2bl w:val="nil"/>
            </w:tcBorders>
            <w:vAlign w:val="center"/>
          </w:tcPr>
          <w:p w14:paraId="5AC4FC1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p>
        </w:tc>
        <w:tc>
          <w:tcPr>
            <w:tcW w:w="495" w:type="dxa"/>
            <w:gridSpan w:val="2"/>
            <w:vMerge w:val="continue"/>
            <w:tcBorders>
              <w:tl2br w:val="nil"/>
              <w:tr2bl w:val="nil"/>
            </w:tcBorders>
            <w:vAlign w:val="center"/>
          </w:tcPr>
          <w:p w14:paraId="6AA4C0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p>
        </w:tc>
        <w:tc>
          <w:tcPr>
            <w:tcW w:w="708" w:type="dxa"/>
            <w:tcBorders>
              <w:tl2br w:val="nil"/>
              <w:tr2bl w:val="nil"/>
            </w:tcBorders>
            <w:vAlign w:val="center"/>
          </w:tcPr>
          <w:p w14:paraId="44AEC82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危险固废</w:t>
            </w:r>
          </w:p>
        </w:tc>
        <w:tc>
          <w:tcPr>
            <w:tcW w:w="5840" w:type="dxa"/>
            <w:tcBorders>
              <w:tl2br w:val="nil"/>
              <w:tr2bl w:val="nil"/>
            </w:tcBorders>
            <w:vAlign w:val="center"/>
          </w:tcPr>
          <w:p w14:paraId="69FF7E5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油罐清洗产生的废油、废渣由清洗公司及时清运，不在站内暂存；项目含油手套/抹布/棉纱</w:t>
            </w:r>
            <w:r>
              <w:rPr>
                <w:rFonts w:hint="eastAsia" w:cs="Times New Roman"/>
                <w:b w:val="0"/>
                <w:bCs w:val="0"/>
                <w:sz w:val="21"/>
                <w:szCs w:val="21"/>
                <w:vertAlign w:val="baseline"/>
                <w:lang w:val="en-US" w:eastAsia="zh-CN"/>
              </w:rPr>
              <w:t>，</w:t>
            </w:r>
            <w:r>
              <w:rPr>
                <w:rFonts w:hint="default" w:ascii="Times New Roman" w:hAnsi="Times New Roman" w:eastAsia="宋体" w:cs="Times New Roman"/>
                <w:b w:val="0"/>
                <w:bCs w:val="0"/>
                <w:sz w:val="21"/>
                <w:szCs w:val="21"/>
                <w:vertAlign w:val="baseline"/>
                <w:lang w:val="en-US" w:eastAsia="zh-CN"/>
              </w:rPr>
              <w:t>收集后在</w:t>
            </w:r>
            <w:r>
              <w:rPr>
                <w:rFonts w:hint="default" w:ascii="Times New Roman" w:hAnsi="Times New Roman" w:eastAsia="宋体" w:cs="Times New Roman"/>
                <w:kern w:val="2"/>
                <w:sz w:val="21"/>
                <w:szCs w:val="21"/>
                <w:lang w:val="en-US" w:eastAsia="zh-CN" w:bidi="ar"/>
              </w:rPr>
              <w:t>分类收集后暂存</w:t>
            </w:r>
            <w:r>
              <w:rPr>
                <w:rFonts w:hint="eastAsia" w:ascii="Times New Roman" w:hAnsi="Times New Roman" w:eastAsia="宋体" w:cs="Times New Roman"/>
                <w:kern w:val="2"/>
                <w:sz w:val="21"/>
                <w:szCs w:val="21"/>
                <w:lang w:val="en-US" w:eastAsia="zh-CN" w:bidi="ar"/>
              </w:rPr>
              <w:t>厂区东南角</w:t>
            </w:r>
            <w:r>
              <w:rPr>
                <w:rFonts w:hint="default" w:ascii="Times New Roman" w:hAnsi="Times New Roman" w:eastAsia="宋体" w:cs="Times New Roman"/>
                <w:kern w:val="2"/>
                <w:sz w:val="21"/>
                <w:szCs w:val="21"/>
                <w:lang w:val="en-US" w:eastAsia="zh-CN" w:bidi="ar"/>
              </w:rPr>
              <w:t>危废</w:t>
            </w:r>
            <w:r>
              <w:rPr>
                <w:rFonts w:hint="eastAsia" w:ascii="Times New Roman" w:hAnsi="Times New Roman" w:eastAsia="宋体" w:cs="Times New Roman"/>
                <w:kern w:val="2"/>
                <w:sz w:val="21"/>
                <w:szCs w:val="21"/>
                <w:lang w:val="en-US" w:eastAsia="zh-CN" w:bidi="ar"/>
              </w:rPr>
              <w:t>贮存库（5m</w:t>
            </w:r>
            <w:r>
              <w:rPr>
                <w:rFonts w:hint="eastAsia" w:ascii="Times New Roman" w:hAnsi="Times New Roman" w:eastAsia="宋体" w:cs="Times New Roman"/>
                <w:kern w:val="2"/>
                <w:sz w:val="21"/>
                <w:szCs w:val="21"/>
                <w:vertAlign w:val="superscript"/>
                <w:lang w:val="en-US" w:eastAsia="zh-CN" w:bidi="ar"/>
              </w:rPr>
              <w:t>2</w:t>
            </w:r>
            <w:r>
              <w:rPr>
                <w:rFonts w:hint="eastAsia" w:ascii="Times New Roman" w:hAnsi="Times New Roman" w:eastAsia="宋体" w:cs="Times New Roman"/>
                <w:kern w:val="2"/>
                <w:sz w:val="21"/>
                <w:szCs w:val="21"/>
                <w:lang w:val="en-US" w:eastAsia="zh-CN" w:bidi="ar"/>
              </w:rPr>
              <w:t>）</w:t>
            </w:r>
            <w:r>
              <w:rPr>
                <w:rFonts w:hint="default" w:ascii="Times New Roman" w:hAnsi="Times New Roman" w:eastAsia="宋体" w:cs="Times New Roman"/>
                <w:kern w:val="2"/>
                <w:sz w:val="21"/>
                <w:szCs w:val="21"/>
                <w:lang w:val="en-US" w:eastAsia="zh-CN" w:bidi="ar"/>
              </w:rPr>
              <w:t>，交有资质公司处置</w:t>
            </w:r>
            <w:r>
              <w:rPr>
                <w:rFonts w:hint="eastAsia" w:cs="Times New Roman"/>
                <w:b w:val="0"/>
                <w:bCs w:val="0"/>
                <w:sz w:val="21"/>
                <w:szCs w:val="21"/>
                <w:vertAlign w:val="baseline"/>
                <w:lang w:val="en-US" w:eastAsia="zh-CN"/>
              </w:rPr>
              <w:t>；洗车房</w:t>
            </w:r>
            <w:r>
              <w:rPr>
                <w:rFonts w:hint="eastAsia" w:ascii="Times New Roman" w:hAnsi="Times New Roman" w:eastAsia="宋体" w:cs="Times New Roman"/>
                <w:color w:val="auto"/>
                <w:lang w:val="en-US" w:eastAsia="zh-CN"/>
              </w:rPr>
              <w:t>沉淀池油泥由建设单位清掏后交由资质单位处理，不在站内暂存。</w:t>
            </w:r>
          </w:p>
        </w:tc>
        <w:tc>
          <w:tcPr>
            <w:tcW w:w="727" w:type="dxa"/>
            <w:tcBorders>
              <w:tl2br w:val="nil"/>
              <w:tr2bl w:val="nil"/>
            </w:tcBorders>
            <w:vAlign w:val="center"/>
          </w:tcPr>
          <w:p w14:paraId="50490B0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新建</w:t>
            </w:r>
          </w:p>
        </w:tc>
      </w:tr>
      <w:tr w14:paraId="4A0605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52" w:type="dxa"/>
            <w:vMerge w:val="continue"/>
            <w:tcBorders>
              <w:tl2br w:val="nil"/>
              <w:tr2bl w:val="nil"/>
            </w:tcBorders>
            <w:vAlign w:val="center"/>
          </w:tcPr>
          <w:p w14:paraId="5CBFA63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p>
        </w:tc>
        <w:tc>
          <w:tcPr>
            <w:tcW w:w="1203" w:type="dxa"/>
            <w:gridSpan w:val="3"/>
            <w:tcBorders>
              <w:tl2br w:val="nil"/>
              <w:tr2bl w:val="nil"/>
            </w:tcBorders>
            <w:vAlign w:val="center"/>
          </w:tcPr>
          <w:p w14:paraId="61733E3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环境风险</w:t>
            </w:r>
          </w:p>
        </w:tc>
        <w:tc>
          <w:tcPr>
            <w:tcW w:w="5840" w:type="dxa"/>
            <w:tcBorders>
              <w:tl2br w:val="nil"/>
              <w:tr2bl w:val="nil"/>
            </w:tcBorders>
            <w:vAlign w:val="center"/>
          </w:tcPr>
          <w:p w14:paraId="37D177A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加油站双层罐渗漏检测仪，并配套灭火器设施</w:t>
            </w:r>
          </w:p>
        </w:tc>
        <w:tc>
          <w:tcPr>
            <w:tcW w:w="727" w:type="dxa"/>
            <w:tcBorders>
              <w:tl2br w:val="nil"/>
              <w:tr2bl w:val="nil"/>
            </w:tcBorders>
            <w:vAlign w:val="center"/>
          </w:tcPr>
          <w:p w14:paraId="6BAA247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新建</w:t>
            </w:r>
          </w:p>
        </w:tc>
      </w:tr>
      <w:tr w14:paraId="0406C8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52" w:type="dxa"/>
            <w:vMerge w:val="continue"/>
            <w:tcBorders>
              <w:tl2br w:val="nil"/>
              <w:tr2bl w:val="nil"/>
            </w:tcBorders>
            <w:vAlign w:val="center"/>
          </w:tcPr>
          <w:p w14:paraId="3AE86AE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p>
        </w:tc>
        <w:tc>
          <w:tcPr>
            <w:tcW w:w="1203" w:type="dxa"/>
            <w:gridSpan w:val="3"/>
            <w:tcBorders>
              <w:tl2br w:val="nil"/>
              <w:tr2bl w:val="nil"/>
            </w:tcBorders>
            <w:vAlign w:val="center"/>
          </w:tcPr>
          <w:p w14:paraId="7CB5289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防渗</w:t>
            </w:r>
          </w:p>
        </w:tc>
        <w:tc>
          <w:tcPr>
            <w:tcW w:w="5840" w:type="dxa"/>
            <w:tcBorders>
              <w:tl2br w:val="nil"/>
              <w:tr2bl w:val="nil"/>
            </w:tcBorders>
            <w:vAlign w:val="center"/>
          </w:tcPr>
          <w:p w14:paraId="77EEDC4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储油罐采用SF双层结构，储罐外表面采取防腐等级不低于加强级的防腐措施</w:t>
            </w:r>
          </w:p>
        </w:tc>
        <w:tc>
          <w:tcPr>
            <w:tcW w:w="727" w:type="dxa"/>
            <w:tcBorders>
              <w:tl2br w:val="nil"/>
              <w:tr2bl w:val="nil"/>
            </w:tcBorders>
            <w:vAlign w:val="center"/>
          </w:tcPr>
          <w:p w14:paraId="6EAE838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新建</w:t>
            </w:r>
          </w:p>
        </w:tc>
      </w:tr>
      <w:tr w14:paraId="00B910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52" w:type="dxa"/>
            <w:vMerge w:val="continue"/>
            <w:tcBorders>
              <w:tl2br w:val="nil"/>
              <w:tr2bl w:val="nil"/>
            </w:tcBorders>
            <w:vAlign w:val="center"/>
          </w:tcPr>
          <w:p w14:paraId="73A72B7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p>
        </w:tc>
        <w:tc>
          <w:tcPr>
            <w:tcW w:w="1203" w:type="dxa"/>
            <w:gridSpan w:val="3"/>
            <w:tcBorders>
              <w:tl2br w:val="nil"/>
              <w:tr2bl w:val="nil"/>
            </w:tcBorders>
            <w:vAlign w:val="center"/>
          </w:tcPr>
          <w:p w14:paraId="2937ED7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环境管理</w:t>
            </w:r>
          </w:p>
        </w:tc>
        <w:tc>
          <w:tcPr>
            <w:tcW w:w="5840" w:type="dxa"/>
            <w:tcBorders>
              <w:tl2br w:val="nil"/>
              <w:tr2bl w:val="nil"/>
            </w:tcBorders>
            <w:vAlign w:val="center"/>
          </w:tcPr>
          <w:p w14:paraId="3E6B810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制定环境管理制度，每日进行巡检，对废气处置装置运行状态、有无系统报警、进口压力、运行时间、加油现场及三次油气回收设施进行重点巡检</w:t>
            </w:r>
          </w:p>
        </w:tc>
        <w:tc>
          <w:tcPr>
            <w:tcW w:w="727" w:type="dxa"/>
            <w:tcBorders>
              <w:tl2br w:val="nil"/>
              <w:tr2bl w:val="nil"/>
            </w:tcBorders>
            <w:vAlign w:val="center"/>
          </w:tcPr>
          <w:p w14:paraId="53BAF36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w:t>
            </w:r>
          </w:p>
        </w:tc>
      </w:tr>
    </w:tbl>
    <w:p w14:paraId="3560E5B8">
      <w:pPr>
        <w:tabs>
          <w:tab w:val="left" w:pos="1700"/>
        </w:tabs>
        <w:spacing w:line="360" w:lineRule="auto"/>
        <w:rPr>
          <w:rFonts w:ascii="Times New Roman"/>
          <w:b/>
          <w:sz w:val="24"/>
          <w:szCs w:val="24"/>
        </w:rPr>
      </w:pPr>
      <w:r>
        <w:rPr>
          <w:rFonts w:ascii="Times New Roman"/>
          <w:b/>
          <w:sz w:val="24"/>
          <w:szCs w:val="24"/>
        </w:rPr>
        <w:t>3、原辅材料及能源消耗</w:t>
      </w:r>
    </w:p>
    <w:p w14:paraId="3C1F8D31">
      <w:pPr>
        <w:tabs>
          <w:tab w:val="left" w:pos="1700"/>
        </w:tabs>
        <w:spacing w:line="360" w:lineRule="auto"/>
        <w:ind w:firstLine="480" w:firstLineChars="200"/>
        <w:rPr>
          <w:rFonts w:ascii="Times New Roman"/>
          <w:sz w:val="24"/>
          <w:szCs w:val="24"/>
        </w:rPr>
      </w:pPr>
      <w:r>
        <w:rPr>
          <w:rFonts w:ascii="Times New Roman"/>
          <w:sz w:val="24"/>
          <w:szCs w:val="24"/>
        </w:rPr>
        <w:t>本项目主要原辅材料及能源情况见表1-2。</w:t>
      </w:r>
    </w:p>
    <w:p w14:paraId="57E0BA39">
      <w:pPr>
        <w:jc w:val="center"/>
        <w:rPr>
          <w:rFonts w:ascii="Times New Roman"/>
          <w:b/>
          <w:bCs/>
          <w:color w:val="000000"/>
          <w:szCs w:val="21"/>
        </w:rPr>
      </w:pPr>
      <w:r>
        <w:rPr>
          <w:rFonts w:ascii="Times New Roman"/>
          <w:b/>
          <w:bCs/>
          <w:color w:val="000000"/>
          <w:szCs w:val="21"/>
        </w:rPr>
        <w:t>表1-2 主要原辅材料</w:t>
      </w:r>
      <w:r>
        <w:rPr>
          <w:rFonts w:ascii="Times New Roman"/>
          <w:b/>
          <w:bCs/>
          <w:szCs w:val="21"/>
        </w:rPr>
        <w:t>及能源消耗</w:t>
      </w:r>
      <w:r>
        <w:rPr>
          <w:rFonts w:ascii="Times New Roman"/>
          <w:b/>
          <w:bCs/>
          <w:color w:val="000000"/>
          <w:szCs w:val="21"/>
        </w:rPr>
        <w:t>一览表</w:t>
      </w:r>
    </w:p>
    <w:tbl>
      <w:tblPr>
        <w:tblStyle w:val="48"/>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923"/>
        <w:gridCol w:w="1449"/>
        <w:gridCol w:w="1901"/>
        <w:gridCol w:w="1007"/>
        <w:gridCol w:w="3052"/>
      </w:tblGrid>
      <w:tr w14:paraId="334D12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9" w:hRule="atLeast"/>
          <w:jc w:val="center"/>
        </w:trPr>
        <w:tc>
          <w:tcPr>
            <w:tcW w:w="927" w:type="dxa"/>
            <w:tcBorders>
              <w:tl2br w:val="nil"/>
              <w:tr2bl w:val="nil"/>
            </w:tcBorders>
            <w:noWrap w:val="0"/>
            <w:vAlign w:val="center"/>
          </w:tcPr>
          <w:p w14:paraId="7EFD987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序号</w:t>
            </w:r>
          </w:p>
        </w:tc>
        <w:tc>
          <w:tcPr>
            <w:tcW w:w="1455" w:type="dxa"/>
            <w:tcBorders>
              <w:tl2br w:val="nil"/>
              <w:tr2bl w:val="nil"/>
            </w:tcBorders>
            <w:noWrap w:val="0"/>
            <w:vAlign w:val="center"/>
          </w:tcPr>
          <w:p w14:paraId="2524B8B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名称</w:t>
            </w:r>
          </w:p>
        </w:tc>
        <w:tc>
          <w:tcPr>
            <w:tcW w:w="1908" w:type="dxa"/>
            <w:tcBorders>
              <w:tl2br w:val="nil"/>
              <w:tr2bl w:val="nil"/>
            </w:tcBorders>
            <w:noWrap w:val="0"/>
            <w:vAlign w:val="center"/>
          </w:tcPr>
          <w:p w14:paraId="031DA51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单位</w:t>
            </w:r>
          </w:p>
        </w:tc>
        <w:tc>
          <w:tcPr>
            <w:tcW w:w="1011" w:type="dxa"/>
            <w:tcBorders>
              <w:tl2br w:val="nil"/>
              <w:tr2bl w:val="nil"/>
            </w:tcBorders>
            <w:noWrap w:val="0"/>
            <w:vAlign w:val="center"/>
          </w:tcPr>
          <w:p w14:paraId="52DE59A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消耗量</w:t>
            </w:r>
          </w:p>
        </w:tc>
        <w:tc>
          <w:tcPr>
            <w:tcW w:w="3064" w:type="dxa"/>
            <w:tcBorders>
              <w:tl2br w:val="nil"/>
              <w:tr2bl w:val="nil"/>
            </w:tcBorders>
            <w:noWrap w:val="0"/>
            <w:vAlign w:val="center"/>
          </w:tcPr>
          <w:p w14:paraId="5B701F1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来源</w:t>
            </w:r>
          </w:p>
        </w:tc>
      </w:tr>
      <w:tr w14:paraId="0C666E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927" w:type="dxa"/>
            <w:tcBorders>
              <w:tl2br w:val="nil"/>
              <w:tr2bl w:val="nil"/>
            </w:tcBorders>
            <w:noWrap w:val="0"/>
            <w:vAlign w:val="center"/>
          </w:tcPr>
          <w:p w14:paraId="14ED6AA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w:t>
            </w:r>
          </w:p>
        </w:tc>
        <w:tc>
          <w:tcPr>
            <w:tcW w:w="1455" w:type="dxa"/>
            <w:tcBorders>
              <w:tl2br w:val="nil"/>
              <w:tr2bl w:val="nil"/>
            </w:tcBorders>
            <w:noWrap w:val="0"/>
            <w:vAlign w:val="center"/>
          </w:tcPr>
          <w:p w14:paraId="082E1E8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汽油</w:t>
            </w:r>
          </w:p>
        </w:tc>
        <w:tc>
          <w:tcPr>
            <w:tcW w:w="1908" w:type="dxa"/>
            <w:tcBorders>
              <w:tl2br w:val="nil"/>
              <w:tr2bl w:val="nil"/>
            </w:tcBorders>
            <w:noWrap w:val="0"/>
            <w:vAlign w:val="center"/>
          </w:tcPr>
          <w:p w14:paraId="5122596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t/a</w:t>
            </w:r>
          </w:p>
        </w:tc>
        <w:tc>
          <w:tcPr>
            <w:tcW w:w="1011" w:type="dxa"/>
            <w:tcBorders>
              <w:tl2br w:val="nil"/>
              <w:tr2bl w:val="nil"/>
            </w:tcBorders>
            <w:noWrap w:val="0"/>
            <w:vAlign w:val="center"/>
          </w:tcPr>
          <w:p w14:paraId="0D85E9E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4000</w:t>
            </w:r>
          </w:p>
        </w:tc>
        <w:tc>
          <w:tcPr>
            <w:tcW w:w="3064" w:type="dxa"/>
            <w:tcBorders>
              <w:tl2br w:val="nil"/>
              <w:tr2bl w:val="nil"/>
            </w:tcBorders>
            <w:noWrap w:val="0"/>
            <w:vAlign w:val="center"/>
          </w:tcPr>
          <w:p w14:paraId="536971F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外购，罐车运输</w:t>
            </w:r>
          </w:p>
        </w:tc>
      </w:tr>
      <w:tr w14:paraId="457834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927" w:type="dxa"/>
            <w:tcBorders>
              <w:tl2br w:val="nil"/>
              <w:tr2bl w:val="nil"/>
            </w:tcBorders>
            <w:noWrap w:val="0"/>
            <w:vAlign w:val="center"/>
          </w:tcPr>
          <w:p w14:paraId="5EE7F91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w:t>
            </w:r>
          </w:p>
        </w:tc>
        <w:tc>
          <w:tcPr>
            <w:tcW w:w="1455" w:type="dxa"/>
            <w:tcBorders>
              <w:tl2br w:val="nil"/>
              <w:tr2bl w:val="nil"/>
            </w:tcBorders>
            <w:noWrap w:val="0"/>
            <w:vAlign w:val="center"/>
          </w:tcPr>
          <w:p w14:paraId="783B296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柴油</w:t>
            </w:r>
          </w:p>
        </w:tc>
        <w:tc>
          <w:tcPr>
            <w:tcW w:w="1908" w:type="dxa"/>
            <w:tcBorders>
              <w:tl2br w:val="nil"/>
              <w:tr2bl w:val="nil"/>
            </w:tcBorders>
            <w:noWrap w:val="0"/>
            <w:vAlign w:val="center"/>
          </w:tcPr>
          <w:p w14:paraId="2C7DBC3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t/a</w:t>
            </w:r>
          </w:p>
        </w:tc>
        <w:tc>
          <w:tcPr>
            <w:tcW w:w="1011" w:type="dxa"/>
            <w:tcBorders>
              <w:tl2br w:val="nil"/>
              <w:tr2bl w:val="nil"/>
            </w:tcBorders>
            <w:noWrap w:val="0"/>
            <w:vAlign w:val="center"/>
          </w:tcPr>
          <w:p w14:paraId="6A11412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800</w:t>
            </w:r>
          </w:p>
        </w:tc>
        <w:tc>
          <w:tcPr>
            <w:tcW w:w="3064" w:type="dxa"/>
            <w:tcBorders>
              <w:tl2br w:val="nil"/>
              <w:tr2bl w:val="nil"/>
            </w:tcBorders>
            <w:noWrap w:val="0"/>
            <w:vAlign w:val="center"/>
          </w:tcPr>
          <w:p w14:paraId="27CBD23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外购，罐车运输</w:t>
            </w:r>
          </w:p>
        </w:tc>
      </w:tr>
      <w:tr w14:paraId="369DC6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927" w:type="dxa"/>
            <w:tcBorders>
              <w:tl2br w:val="nil"/>
              <w:tr2bl w:val="nil"/>
            </w:tcBorders>
            <w:noWrap w:val="0"/>
            <w:vAlign w:val="center"/>
          </w:tcPr>
          <w:p w14:paraId="0DFBBD3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3</w:t>
            </w:r>
          </w:p>
        </w:tc>
        <w:tc>
          <w:tcPr>
            <w:tcW w:w="1455" w:type="dxa"/>
            <w:tcBorders>
              <w:tl2br w:val="nil"/>
              <w:tr2bl w:val="nil"/>
            </w:tcBorders>
            <w:shd w:val="clear" w:color="auto" w:fill="auto"/>
            <w:noWrap w:val="0"/>
            <w:vAlign w:val="center"/>
          </w:tcPr>
          <w:p w14:paraId="6CD9B9E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水</w:t>
            </w:r>
          </w:p>
        </w:tc>
        <w:tc>
          <w:tcPr>
            <w:tcW w:w="1908" w:type="dxa"/>
            <w:tcBorders>
              <w:tl2br w:val="nil"/>
              <w:tr2bl w:val="nil"/>
            </w:tcBorders>
            <w:shd w:val="clear" w:color="auto" w:fill="auto"/>
            <w:noWrap w:val="0"/>
            <w:vAlign w:val="center"/>
          </w:tcPr>
          <w:p w14:paraId="18B4D5B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m</w:t>
            </w:r>
            <w:r>
              <w:rPr>
                <w:rFonts w:hint="default" w:ascii="Times New Roman" w:hAnsi="Times New Roman" w:eastAsia="宋体" w:cs="Times New Roman"/>
                <w:b w:val="0"/>
                <w:bCs w:val="0"/>
                <w:sz w:val="21"/>
                <w:szCs w:val="21"/>
                <w:vertAlign w:val="superscript"/>
                <w:lang w:val="en-US" w:eastAsia="zh-CN"/>
              </w:rPr>
              <w:t>3</w:t>
            </w:r>
            <w:r>
              <w:rPr>
                <w:rFonts w:hint="default" w:ascii="Times New Roman" w:hAnsi="Times New Roman" w:eastAsia="宋体" w:cs="Times New Roman"/>
                <w:b w:val="0"/>
                <w:bCs w:val="0"/>
                <w:sz w:val="21"/>
                <w:szCs w:val="21"/>
                <w:vertAlign w:val="baseline"/>
                <w:lang w:val="en-US" w:eastAsia="zh-CN"/>
              </w:rPr>
              <w:t>/a</w:t>
            </w:r>
          </w:p>
        </w:tc>
        <w:tc>
          <w:tcPr>
            <w:tcW w:w="1011" w:type="dxa"/>
            <w:tcBorders>
              <w:tl2br w:val="nil"/>
              <w:tr2bl w:val="nil"/>
            </w:tcBorders>
            <w:shd w:val="clear" w:color="auto" w:fill="auto"/>
            <w:noWrap w:val="0"/>
            <w:vAlign w:val="center"/>
          </w:tcPr>
          <w:p w14:paraId="44F2DE2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b w:val="0"/>
                <w:bCs w:val="0"/>
                <w:color w:val="0000FF"/>
                <w:kern w:val="2"/>
                <w:sz w:val="21"/>
                <w:szCs w:val="21"/>
                <w:vertAlign w:val="baseline"/>
                <w:lang w:val="en-US" w:eastAsia="zh-CN" w:bidi="ar-SA"/>
              </w:rPr>
            </w:pPr>
            <w:r>
              <w:rPr>
                <w:rFonts w:hint="eastAsia" w:cs="Times New Roman"/>
                <w:b w:val="0"/>
                <w:bCs w:val="0"/>
                <w:color w:val="000000" w:themeColor="text1"/>
                <w:sz w:val="21"/>
                <w:szCs w:val="21"/>
                <w:vertAlign w:val="baseline"/>
                <w:lang w:val="en-US" w:eastAsia="zh-CN"/>
                <w14:textFill>
                  <w14:solidFill>
                    <w14:schemeClr w14:val="tx1"/>
                  </w14:solidFill>
                </w14:textFill>
              </w:rPr>
              <w:t>662.11</w:t>
            </w:r>
          </w:p>
        </w:tc>
        <w:tc>
          <w:tcPr>
            <w:tcW w:w="3064" w:type="dxa"/>
            <w:tcBorders>
              <w:tl2br w:val="nil"/>
              <w:tr2bl w:val="nil"/>
            </w:tcBorders>
            <w:shd w:val="clear" w:color="auto" w:fill="auto"/>
            <w:noWrap w:val="0"/>
            <w:vAlign w:val="center"/>
          </w:tcPr>
          <w:p w14:paraId="4859439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市政供水管网供给</w:t>
            </w:r>
          </w:p>
        </w:tc>
      </w:tr>
      <w:tr w14:paraId="0FA9EA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927" w:type="dxa"/>
            <w:tcBorders>
              <w:tl2br w:val="nil"/>
              <w:tr2bl w:val="nil"/>
            </w:tcBorders>
            <w:noWrap w:val="0"/>
            <w:vAlign w:val="center"/>
          </w:tcPr>
          <w:p w14:paraId="2BAE7B5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4</w:t>
            </w:r>
          </w:p>
        </w:tc>
        <w:tc>
          <w:tcPr>
            <w:tcW w:w="1455" w:type="dxa"/>
            <w:tcBorders>
              <w:tl2br w:val="nil"/>
              <w:tr2bl w:val="nil"/>
            </w:tcBorders>
            <w:shd w:val="clear" w:color="auto" w:fill="auto"/>
            <w:noWrap w:val="0"/>
            <w:vAlign w:val="center"/>
          </w:tcPr>
          <w:p w14:paraId="62861A5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电</w:t>
            </w:r>
          </w:p>
        </w:tc>
        <w:tc>
          <w:tcPr>
            <w:tcW w:w="1908" w:type="dxa"/>
            <w:tcBorders>
              <w:tl2br w:val="nil"/>
              <w:tr2bl w:val="nil"/>
            </w:tcBorders>
            <w:shd w:val="clear" w:color="auto" w:fill="auto"/>
            <w:noWrap w:val="0"/>
            <w:vAlign w:val="center"/>
          </w:tcPr>
          <w:p w14:paraId="2C57C96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万 kWh/a</w:t>
            </w:r>
          </w:p>
        </w:tc>
        <w:tc>
          <w:tcPr>
            <w:tcW w:w="1011" w:type="dxa"/>
            <w:tcBorders>
              <w:tl2br w:val="nil"/>
              <w:tr2bl w:val="nil"/>
            </w:tcBorders>
            <w:shd w:val="clear" w:color="auto" w:fill="auto"/>
            <w:noWrap w:val="0"/>
            <w:vAlign w:val="center"/>
          </w:tcPr>
          <w:p w14:paraId="56B561B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b w:val="0"/>
                <w:bCs w:val="0"/>
                <w:color w:val="0000FF"/>
                <w:kern w:val="2"/>
                <w:sz w:val="21"/>
                <w:szCs w:val="21"/>
                <w:vertAlign w:val="baseline"/>
                <w:lang w:val="en-US" w:eastAsia="zh-CN" w:bidi="ar-SA"/>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30</w:t>
            </w:r>
          </w:p>
        </w:tc>
        <w:tc>
          <w:tcPr>
            <w:tcW w:w="3064" w:type="dxa"/>
            <w:tcBorders>
              <w:tl2br w:val="nil"/>
              <w:tr2bl w:val="nil"/>
            </w:tcBorders>
            <w:shd w:val="clear" w:color="auto" w:fill="auto"/>
            <w:noWrap w:val="0"/>
            <w:vAlign w:val="center"/>
          </w:tcPr>
          <w:p w14:paraId="51EA037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当地供电电网供给</w:t>
            </w:r>
          </w:p>
        </w:tc>
      </w:tr>
      <w:tr w14:paraId="044BD8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927" w:type="dxa"/>
            <w:tcBorders>
              <w:tl2br w:val="nil"/>
              <w:tr2bl w:val="nil"/>
            </w:tcBorders>
            <w:noWrap w:val="0"/>
            <w:vAlign w:val="center"/>
          </w:tcPr>
          <w:p w14:paraId="398D9A2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5</w:t>
            </w:r>
          </w:p>
        </w:tc>
        <w:tc>
          <w:tcPr>
            <w:tcW w:w="1455" w:type="dxa"/>
            <w:tcBorders>
              <w:tl2br w:val="nil"/>
              <w:tr2bl w:val="nil"/>
            </w:tcBorders>
            <w:shd w:val="clear" w:color="auto" w:fill="auto"/>
            <w:noWrap w:val="0"/>
            <w:vAlign w:val="center"/>
          </w:tcPr>
          <w:p w14:paraId="257CDCC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清洁剂</w:t>
            </w:r>
          </w:p>
        </w:tc>
        <w:tc>
          <w:tcPr>
            <w:tcW w:w="1908" w:type="dxa"/>
            <w:tcBorders>
              <w:tl2br w:val="nil"/>
              <w:tr2bl w:val="nil"/>
            </w:tcBorders>
            <w:shd w:val="clear" w:color="auto" w:fill="auto"/>
            <w:noWrap w:val="0"/>
            <w:vAlign w:val="center"/>
          </w:tcPr>
          <w:p w14:paraId="625BE45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kern w:val="2"/>
                <w:sz w:val="21"/>
                <w:szCs w:val="24"/>
                <w:lang w:val="en-US" w:eastAsia="zh-CN" w:bidi="ar-SA"/>
                <w14:textFill>
                  <w14:solidFill>
                    <w14:schemeClr w14:val="tx1"/>
                  </w14:solidFill>
                </w14:textFill>
              </w:rPr>
              <w:t>t/a</w:t>
            </w:r>
          </w:p>
        </w:tc>
        <w:tc>
          <w:tcPr>
            <w:tcW w:w="1011" w:type="dxa"/>
            <w:tcBorders>
              <w:tl2br w:val="nil"/>
              <w:tr2bl w:val="nil"/>
            </w:tcBorders>
            <w:shd w:val="clear" w:color="auto" w:fill="auto"/>
            <w:noWrap w:val="0"/>
            <w:vAlign w:val="center"/>
          </w:tcPr>
          <w:p w14:paraId="07ED03E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0.05</w:t>
            </w:r>
          </w:p>
        </w:tc>
        <w:tc>
          <w:tcPr>
            <w:tcW w:w="3064" w:type="dxa"/>
            <w:tcBorders>
              <w:tl2br w:val="nil"/>
              <w:tr2bl w:val="nil"/>
            </w:tcBorders>
            <w:shd w:val="clear" w:color="auto" w:fill="auto"/>
            <w:noWrap w:val="0"/>
            <w:vAlign w:val="center"/>
          </w:tcPr>
          <w:p w14:paraId="71243C9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市场外购</w:t>
            </w:r>
          </w:p>
        </w:tc>
      </w:tr>
      <w:tr w14:paraId="6E756A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927" w:type="dxa"/>
            <w:tcBorders>
              <w:tl2br w:val="nil"/>
              <w:tr2bl w:val="nil"/>
            </w:tcBorders>
            <w:noWrap w:val="0"/>
            <w:vAlign w:val="center"/>
          </w:tcPr>
          <w:p w14:paraId="4E4D680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6</w:t>
            </w:r>
          </w:p>
        </w:tc>
        <w:tc>
          <w:tcPr>
            <w:tcW w:w="1455" w:type="dxa"/>
            <w:tcBorders>
              <w:tl2br w:val="nil"/>
              <w:tr2bl w:val="nil"/>
            </w:tcBorders>
            <w:shd w:val="clear" w:color="auto" w:fill="auto"/>
            <w:noWrap w:val="0"/>
            <w:vAlign w:val="center"/>
          </w:tcPr>
          <w:p w14:paraId="2402C14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絮凝剂（PAC）</w:t>
            </w:r>
          </w:p>
        </w:tc>
        <w:tc>
          <w:tcPr>
            <w:tcW w:w="1908" w:type="dxa"/>
            <w:tcBorders>
              <w:tl2br w:val="nil"/>
              <w:tr2bl w:val="nil"/>
            </w:tcBorders>
            <w:shd w:val="clear" w:color="auto" w:fill="auto"/>
            <w:noWrap w:val="0"/>
            <w:vAlign w:val="center"/>
          </w:tcPr>
          <w:p w14:paraId="0E16F69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kern w:val="2"/>
                <w:sz w:val="21"/>
                <w:szCs w:val="24"/>
                <w:lang w:val="en-US" w:eastAsia="zh-CN" w:bidi="ar-SA"/>
                <w14:textFill>
                  <w14:solidFill>
                    <w14:schemeClr w14:val="tx1"/>
                  </w14:solidFill>
                </w14:textFill>
              </w:rPr>
              <w:t>t/a</w:t>
            </w:r>
          </w:p>
        </w:tc>
        <w:tc>
          <w:tcPr>
            <w:tcW w:w="1011" w:type="dxa"/>
            <w:tcBorders>
              <w:tl2br w:val="nil"/>
              <w:tr2bl w:val="nil"/>
            </w:tcBorders>
            <w:shd w:val="clear" w:color="auto" w:fill="auto"/>
            <w:noWrap w:val="0"/>
            <w:vAlign w:val="center"/>
          </w:tcPr>
          <w:p w14:paraId="3E6722A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0.1</w:t>
            </w:r>
          </w:p>
        </w:tc>
        <w:tc>
          <w:tcPr>
            <w:tcW w:w="3064" w:type="dxa"/>
            <w:tcBorders>
              <w:tl2br w:val="nil"/>
              <w:tr2bl w:val="nil"/>
            </w:tcBorders>
            <w:shd w:val="clear" w:color="auto" w:fill="auto"/>
            <w:noWrap w:val="0"/>
            <w:vAlign w:val="center"/>
          </w:tcPr>
          <w:p w14:paraId="25E8B86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市场外购</w:t>
            </w:r>
          </w:p>
        </w:tc>
      </w:tr>
    </w:tbl>
    <w:p w14:paraId="5F36E63F">
      <w:pPr>
        <w:spacing w:line="360" w:lineRule="auto"/>
        <w:rPr>
          <w:rFonts w:ascii="Times New Roman"/>
          <w:b/>
          <w:sz w:val="24"/>
        </w:rPr>
      </w:pPr>
      <w:r>
        <w:rPr>
          <w:rFonts w:ascii="Times New Roman"/>
          <w:b/>
          <w:sz w:val="24"/>
        </w:rPr>
        <w:t>4、主要生产设备</w:t>
      </w:r>
    </w:p>
    <w:p w14:paraId="1746CA5E">
      <w:pPr>
        <w:spacing w:line="360" w:lineRule="auto"/>
        <w:ind w:firstLine="482"/>
        <w:rPr>
          <w:rFonts w:ascii="Times New Roman"/>
          <w:sz w:val="24"/>
        </w:rPr>
      </w:pPr>
      <w:r>
        <w:rPr>
          <w:rFonts w:ascii="Times New Roman"/>
          <w:sz w:val="24"/>
        </w:rPr>
        <w:t>本项目主要设备见表1-3。</w:t>
      </w:r>
    </w:p>
    <w:p w14:paraId="066C8C58">
      <w:pPr>
        <w:jc w:val="center"/>
        <w:rPr>
          <w:rFonts w:ascii="Times New Roman"/>
          <w:b/>
          <w:bCs/>
          <w:color w:val="000000"/>
          <w:sz w:val="24"/>
          <w:szCs w:val="24"/>
        </w:rPr>
      </w:pPr>
      <w:r>
        <w:rPr>
          <w:rFonts w:ascii="Times New Roman"/>
          <w:b/>
          <w:bCs/>
          <w:color w:val="000000"/>
          <w:szCs w:val="21"/>
        </w:rPr>
        <w:t>表1-3   主要设备一览表</w:t>
      </w:r>
    </w:p>
    <w:tbl>
      <w:tblPr>
        <w:tblStyle w:val="48"/>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883"/>
        <w:gridCol w:w="2363"/>
        <w:gridCol w:w="2239"/>
        <w:gridCol w:w="1061"/>
        <w:gridCol w:w="1787"/>
      </w:tblGrid>
      <w:tr w14:paraId="5D7ECC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2" w:hRule="atLeast"/>
          <w:jc w:val="center"/>
        </w:trPr>
        <w:tc>
          <w:tcPr>
            <w:tcW w:w="886" w:type="dxa"/>
            <w:tcBorders>
              <w:tl2br w:val="nil"/>
              <w:tr2bl w:val="nil"/>
            </w:tcBorders>
            <w:noWrap w:val="0"/>
            <w:vAlign w:val="center"/>
          </w:tcPr>
          <w:p w14:paraId="63EB94DD">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pacing w:val="4"/>
                <w:sz w:val="21"/>
                <w:szCs w:val="21"/>
              </w:rPr>
              <w:t>序号</w:t>
            </w:r>
          </w:p>
        </w:tc>
        <w:tc>
          <w:tcPr>
            <w:tcW w:w="2372" w:type="dxa"/>
            <w:tcBorders>
              <w:tl2br w:val="nil"/>
              <w:tr2bl w:val="nil"/>
            </w:tcBorders>
            <w:noWrap w:val="0"/>
            <w:vAlign w:val="center"/>
          </w:tcPr>
          <w:p w14:paraId="4C8B4600">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pacing w:val="5"/>
                <w:sz w:val="21"/>
                <w:szCs w:val="21"/>
              </w:rPr>
              <w:t>设备名称</w:t>
            </w:r>
          </w:p>
        </w:tc>
        <w:tc>
          <w:tcPr>
            <w:tcW w:w="2247" w:type="dxa"/>
            <w:tcBorders>
              <w:tl2br w:val="nil"/>
              <w:tr2bl w:val="nil"/>
            </w:tcBorders>
            <w:noWrap w:val="0"/>
            <w:vAlign w:val="center"/>
          </w:tcPr>
          <w:p w14:paraId="6CD2957A">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pacing w:val="6"/>
                <w:sz w:val="21"/>
                <w:szCs w:val="21"/>
              </w:rPr>
              <w:t>规格型号</w:t>
            </w:r>
          </w:p>
        </w:tc>
        <w:tc>
          <w:tcPr>
            <w:tcW w:w="1065" w:type="dxa"/>
            <w:tcBorders>
              <w:tl2br w:val="nil"/>
              <w:tr2bl w:val="nil"/>
            </w:tcBorders>
            <w:noWrap w:val="0"/>
            <w:vAlign w:val="center"/>
          </w:tcPr>
          <w:p w14:paraId="1F095275">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pacing w:val="3"/>
                <w:sz w:val="21"/>
                <w:szCs w:val="21"/>
              </w:rPr>
              <w:t>数量</w:t>
            </w:r>
          </w:p>
        </w:tc>
        <w:tc>
          <w:tcPr>
            <w:tcW w:w="1794" w:type="dxa"/>
            <w:tcBorders>
              <w:tl2br w:val="nil"/>
              <w:tr2bl w:val="nil"/>
            </w:tcBorders>
            <w:noWrap w:val="0"/>
            <w:vAlign w:val="center"/>
          </w:tcPr>
          <w:p w14:paraId="61C6A076">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pacing w:val="2"/>
                <w:sz w:val="21"/>
                <w:szCs w:val="21"/>
              </w:rPr>
              <w:t>备注</w:t>
            </w:r>
          </w:p>
        </w:tc>
      </w:tr>
      <w:tr w14:paraId="20CE79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9" w:hRule="atLeast"/>
          <w:jc w:val="center"/>
        </w:trPr>
        <w:tc>
          <w:tcPr>
            <w:tcW w:w="886" w:type="dxa"/>
            <w:tcBorders>
              <w:tl2br w:val="nil"/>
              <w:tr2bl w:val="nil"/>
            </w:tcBorders>
            <w:noWrap w:val="0"/>
            <w:vAlign w:val="center"/>
          </w:tcPr>
          <w:p w14:paraId="4D84B3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2372" w:type="dxa"/>
            <w:tcBorders>
              <w:tl2br w:val="nil"/>
              <w:tr2bl w:val="nil"/>
            </w:tcBorders>
            <w:shd w:val="clear" w:color="auto" w:fill="auto"/>
            <w:noWrap w:val="0"/>
            <w:vAlign w:val="center"/>
          </w:tcPr>
          <w:p w14:paraId="0BCCBC43">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8"/>
                <w:sz w:val="21"/>
                <w:szCs w:val="21"/>
              </w:rPr>
              <w:t>汽油埋地油罐</w:t>
            </w:r>
          </w:p>
        </w:tc>
        <w:tc>
          <w:tcPr>
            <w:tcW w:w="2247" w:type="dxa"/>
            <w:tcBorders>
              <w:tl2br w:val="nil"/>
              <w:tr2bl w:val="nil"/>
            </w:tcBorders>
            <w:shd w:val="clear" w:color="auto" w:fill="auto"/>
            <w:noWrap w:val="0"/>
            <w:vAlign w:val="center"/>
          </w:tcPr>
          <w:p w14:paraId="5F7561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5"/>
                <w:position w:val="1"/>
                <w:sz w:val="21"/>
                <w:szCs w:val="21"/>
              </w:rPr>
              <w:t>V=</w:t>
            </w:r>
            <w:r>
              <w:rPr>
                <w:rFonts w:hint="default" w:ascii="Times New Roman" w:hAnsi="Times New Roman" w:eastAsia="宋体" w:cs="Times New Roman"/>
                <w:spacing w:val="5"/>
                <w:position w:val="1"/>
                <w:sz w:val="21"/>
                <w:szCs w:val="21"/>
                <w:lang w:val="en-US" w:eastAsia="zh-CN"/>
              </w:rPr>
              <w:t>45</w:t>
            </w:r>
            <w:r>
              <w:rPr>
                <w:rFonts w:hint="default" w:ascii="Times New Roman" w:hAnsi="Times New Roman" w:eastAsia="宋体" w:cs="Times New Roman"/>
                <w:spacing w:val="5"/>
                <w:position w:val="1"/>
                <w:sz w:val="21"/>
                <w:szCs w:val="21"/>
              </w:rPr>
              <w:t>m</w:t>
            </w:r>
            <w:r>
              <w:rPr>
                <w:rFonts w:hint="default" w:ascii="Times New Roman" w:hAnsi="Times New Roman" w:eastAsia="宋体" w:cs="Times New Roman"/>
                <w:spacing w:val="5"/>
                <w:position w:val="1"/>
                <w:sz w:val="21"/>
                <w:szCs w:val="21"/>
                <w:vertAlign w:val="superscript"/>
                <w:lang w:val="en-US" w:eastAsia="zh-CN"/>
              </w:rPr>
              <w:t>3</w:t>
            </w:r>
          </w:p>
        </w:tc>
        <w:tc>
          <w:tcPr>
            <w:tcW w:w="1065" w:type="dxa"/>
            <w:tcBorders>
              <w:tl2br w:val="nil"/>
              <w:tr2bl w:val="nil"/>
            </w:tcBorders>
            <w:shd w:val="clear" w:color="auto" w:fill="auto"/>
            <w:noWrap w:val="0"/>
            <w:vAlign w:val="center"/>
          </w:tcPr>
          <w:p w14:paraId="4EFC03FD">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z w:val="21"/>
                <w:szCs w:val="21"/>
              </w:rPr>
              <w:t>2</w:t>
            </w:r>
            <w:r>
              <w:rPr>
                <w:rFonts w:hint="default" w:ascii="Times New Roman" w:hAnsi="Times New Roman" w:eastAsia="宋体" w:cs="Times New Roman"/>
                <w:spacing w:val="25"/>
                <w:w w:val="101"/>
                <w:sz w:val="21"/>
                <w:szCs w:val="21"/>
              </w:rPr>
              <w:t xml:space="preserve"> </w:t>
            </w:r>
            <w:r>
              <w:rPr>
                <w:rFonts w:hint="default" w:ascii="Times New Roman" w:hAnsi="Times New Roman" w:eastAsia="宋体" w:cs="Times New Roman"/>
                <w:sz w:val="21"/>
                <w:szCs w:val="21"/>
              </w:rPr>
              <w:t>台</w:t>
            </w:r>
          </w:p>
        </w:tc>
        <w:tc>
          <w:tcPr>
            <w:tcW w:w="1794" w:type="dxa"/>
            <w:tcBorders>
              <w:tl2br w:val="nil"/>
              <w:tr2bl w:val="nil"/>
            </w:tcBorders>
            <w:shd w:val="clear" w:color="auto" w:fill="auto"/>
            <w:noWrap w:val="0"/>
            <w:vAlign w:val="center"/>
          </w:tcPr>
          <w:p w14:paraId="109D264B">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5"/>
                <w:sz w:val="21"/>
                <w:szCs w:val="21"/>
              </w:rPr>
              <w:t>油罐区</w:t>
            </w:r>
          </w:p>
        </w:tc>
      </w:tr>
      <w:tr w14:paraId="4DD175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9" w:hRule="atLeast"/>
          <w:jc w:val="center"/>
        </w:trPr>
        <w:tc>
          <w:tcPr>
            <w:tcW w:w="886" w:type="dxa"/>
            <w:tcBorders>
              <w:tl2br w:val="nil"/>
              <w:tr2bl w:val="nil"/>
            </w:tcBorders>
            <w:noWrap w:val="0"/>
            <w:vAlign w:val="center"/>
          </w:tcPr>
          <w:p w14:paraId="3D90CE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2372" w:type="dxa"/>
            <w:tcBorders>
              <w:tl2br w:val="nil"/>
              <w:tr2bl w:val="nil"/>
            </w:tcBorders>
            <w:shd w:val="clear" w:color="auto" w:fill="auto"/>
            <w:noWrap w:val="0"/>
            <w:vAlign w:val="center"/>
          </w:tcPr>
          <w:p w14:paraId="06CB22DC">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8"/>
                <w:sz w:val="21"/>
                <w:szCs w:val="21"/>
              </w:rPr>
              <w:t>汽油埋地油罐</w:t>
            </w:r>
          </w:p>
        </w:tc>
        <w:tc>
          <w:tcPr>
            <w:tcW w:w="2247" w:type="dxa"/>
            <w:tcBorders>
              <w:tl2br w:val="nil"/>
              <w:tr2bl w:val="nil"/>
            </w:tcBorders>
            <w:shd w:val="clear" w:color="auto" w:fill="auto"/>
            <w:noWrap w:val="0"/>
            <w:vAlign w:val="center"/>
          </w:tcPr>
          <w:p w14:paraId="3CC428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5"/>
                <w:position w:val="1"/>
                <w:sz w:val="21"/>
                <w:szCs w:val="21"/>
              </w:rPr>
              <w:t>V=</w:t>
            </w:r>
            <w:r>
              <w:rPr>
                <w:rFonts w:hint="default" w:ascii="Times New Roman" w:hAnsi="Times New Roman" w:eastAsia="宋体" w:cs="Times New Roman"/>
                <w:spacing w:val="5"/>
                <w:position w:val="1"/>
                <w:sz w:val="21"/>
                <w:szCs w:val="21"/>
                <w:lang w:val="en-US" w:eastAsia="zh-CN"/>
              </w:rPr>
              <w:t>40</w:t>
            </w:r>
            <w:r>
              <w:rPr>
                <w:rFonts w:hint="default" w:ascii="Times New Roman" w:hAnsi="Times New Roman" w:eastAsia="宋体" w:cs="Times New Roman"/>
                <w:spacing w:val="5"/>
                <w:position w:val="1"/>
                <w:sz w:val="21"/>
                <w:szCs w:val="21"/>
              </w:rPr>
              <w:t>m</w:t>
            </w:r>
            <w:r>
              <w:rPr>
                <w:rFonts w:hint="default" w:ascii="Times New Roman" w:hAnsi="Times New Roman" w:eastAsia="宋体" w:cs="Times New Roman"/>
                <w:spacing w:val="5"/>
                <w:position w:val="1"/>
                <w:sz w:val="21"/>
                <w:szCs w:val="21"/>
                <w:vertAlign w:val="superscript"/>
                <w:lang w:val="en-US" w:eastAsia="zh-CN"/>
              </w:rPr>
              <w:t>3</w:t>
            </w:r>
          </w:p>
        </w:tc>
        <w:tc>
          <w:tcPr>
            <w:tcW w:w="1065" w:type="dxa"/>
            <w:tcBorders>
              <w:tl2br w:val="nil"/>
              <w:tr2bl w:val="nil"/>
            </w:tcBorders>
            <w:shd w:val="clear" w:color="auto" w:fill="auto"/>
            <w:noWrap w:val="0"/>
            <w:vAlign w:val="center"/>
          </w:tcPr>
          <w:p w14:paraId="5EC6A8A9">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rPr>
              <w:t>台</w:t>
            </w:r>
          </w:p>
        </w:tc>
        <w:tc>
          <w:tcPr>
            <w:tcW w:w="1794" w:type="dxa"/>
            <w:tcBorders>
              <w:tl2br w:val="nil"/>
              <w:tr2bl w:val="nil"/>
            </w:tcBorders>
            <w:shd w:val="clear" w:color="auto" w:fill="auto"/>
            <w:noWrap w:val="0"/>
            <w:vAlign w:val="center"/>
          </w:tcPr>
          <w:p w14:paraId="46BE3739">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5"/>
                <w:sz w:val="21"/>
                <w:szCs w:val="21"/>
              </w:rPr>
              <w:t>油罐区</w:t>
            </w:r>
          </w:p>
        </w:tc>
      </w:tr>
      <w:tr w14:paraId="5F84BE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9" w:hRule="atLeast"/>
          <w:jc w:val="center"/>
        </w:trPr>
        <w:tc>
          <w:tcPr>
            <w:tcW w:w="886" w:type="dxa"/>
            <w:tcBorders>
              <w:tl2br w:val="nil"/>
              <w:tr2bl w:val="nil"/>
            </w:tcBorders>
            <w:noWrap w:val="0"/>
            <w:vAlign w:val="center"/>
          </w:tcPr>
          <w:p w14:paraId="09F665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2372" w:type="dxa"/>
            <w:tcBorders>
              <w:tl2br w:val="nil"/>
              <w:tr2bl w:val="nil"/>
            </w:tcBorders>
            <w:shd w:val="clear" w:color="auto" w:fill="auto"/>
            <w:noWrap w:val="0"/>
            <w:vAlign w:val="center"/>
          </w:tcPr>
          <w:p w14:paraId="312CCE3D">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8"/>
                <w:sz w:val="21"/>
                <w:szCs w:val="21"/>
              </w:rPr>
              <w:t>柴油埋地油罐</w:t>
            </w:r>
          </w:p>
        </w:tc>
        <w:tc>
          <w:tcPr>
            <w:tcW w:w="2247" w:type="dxa"/>
            <w:tcBorders>
              <w:tl2br w:val="nil"/>
              <w:tr2bl w:val="nil"/>
            </w:tcBorders>
            <w:shd w:val="clear" w:color="auto" w:fill="auto"/>
            <w:noWrap w:val="0"/>
            <w:vAlign w:val="center"/>
          </w:tcPr>
          <w:p w14:paraId="771A81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5"/>
                <w:position w:val="1"/>
                <w:sz w:val="21"/>
                <w:szCs w:val="21"/>
              </w:rPr>
              <w:t>V=</w:t>
            </w:r>
            <w:r>
              <w:rPr>
                <w:rFonts w:hint="default" w:ascii="Times New Roman" w:hAnsi="Times New Roman" w:eastAsia="宋体" w:cs="Times New Roman"/>
                <w:spacing w:val="5"/>
                <w:position w:val="1"/>
                <w:sz w:val="21"/>
                <w:szCs w:val="21"/>
                <w:lang w:val="en-US" w:eastAsia="zh-CN"/>
              </w:rPr>
              <w:t>4</w:t>
            </w:r>
            <w:r>
              <w:rPr>
                <w:rFonts w:hint="default" w:ascii="Times New Roman" w:hAnsi="Times New Roman" w:eastAsia="宋体" w:cs="Times New Roman"/>
                <w:spacing w:val="5"/>
                <w:position w:val="1"/>
                <w:sz w:val="21"/>
                <w:szCs w:val="21"/>
              </w:rPr>
              <w:t>0m</w:t>
            </w:r>
            <w:r>
              <w:rPr>
                <w:rFonts w:hint="default" w:ascii="Times New Roman" w:hAnsi="Times New Roman" w:eastAsia="宋体" w:cs="Times New Roman"/>
                <w:spacing w:val="5"/>
                <w:position w:val="1"/>
                <w:sz w:val="21"/>
                <w:szCs w:val="21"/>
                <w:vertAlign w:val="superscript"/>
                <w:lang w:val="en-US" w:eastAsia="zh-CN"/>
              </w:rPr>
              <w:t>3</w:t>
            </w:r>
          </w:p>
        </w:tc>
        <w:tc>
          <w:tcPr>
            <w:tcW w:w="1065" w:type="dxa"/>
            <w:tcBorders>
              <w:tl2br w:val="nil"/>
              <w:tr2bl w:val="nil"/>
            </w:tcBorders>
            <w:shd w:val="clear" w:color="auto" w:fill="auto"/>
            <w:noWrap w:val="0"/>
            <w:vAlign w:val="center"/>
          </w:tcPr>
          <w:p w14:paraId="6E4BE047">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rPr>
              <w:t>台</w:t>
            </w:r>
          </w:p>
        </w:tc>
        <w:tc>
          <w:tcPr>
            <w:tcW w:w="1794" w:type="dxa"/>
            <w:tcBorders>
              <w:tl2br w:val="nil"/>
              <w:tr2bl w:val="nil"/>
            </w:tcBorders>
            <w:shd w:val="clear" w:color="auto" w:fill="auto"/>
            <w:noWrap w:val="0"/>
            <w:vAlign w:val="center"/>
          </w:tcPr>
          <w:p w14:paraId="28421C7E">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5"/>
                <w:sz w:val="21"/>
                <w:szCs w:val="21"/>
              </w:rPr>
              <w:t>油罐区</w:t>
            </w:r>
          </w:p>
        </w:tc>
      </w:tr>
      <w:tr w14:paraId="7E6F46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9" w:hRule="atLeast"/>
          <w:jc w:val="center"/>
        </w:trPr>
        <w:tc>
          <w:tcPr>
            <w:tcW w:w="886" w:type="dxa"/>
            <w:tcBorders>
              <w:tl2br w:val="nil"/>
              <w:tr2bl w:val="nil"/>
            </w:tcBorders>
            <w:noWrap w:val="0"/>
            <w:vAlign w:val="center"/>
          </w:tcPr>
          <w:p w14:paraId="3BC6CB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4</w:t>
            </w:r>
          </w:p>
        </w:tc>
        <w:tc>
          <w:tcPr>
            <w:tcW w:w="2372" w:type="dxa"/>
            <w:tcBorders>
              <w:tl2br w:val="nil"/>
              <w:tr2bl w:val="nil"/>
            </w:tcBorders>
            <w:noWrap w:val="0"/>
            <w:vAlign w:val="center"/>
          </w:tcPr>
          <w:p w14:paraId="581209BC">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加油机</w:t>
            </w:r>
          </w:p>
        </w:tc>
        <w:tc>
          <w:tcPr>
            <w:tcW w:w="2247" w:type="dxa"/>
            <w:tcBorders>
              <w:tl2br w:val="nil"/>
              <w:tr2bl w:val="nil"/>
            </w:tcBorders>
            <w:noWrap w:val="0"/>
            <w:vAlign w:val="center"/>
          </w:tcPr>
          <w:p w14:paraId="72F62D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5-</w:t>
            </w:r>
            <w:r>
              <w:rPr>
                <w:rFonts w:hint="default" w:ascii="Times New Roman" w:hAnsi="Times New Roman" w:eastAsia="宋体" w:cs="Times New Roman"/>
                <w:spacing w:val="5"/>
                <w:sz w:val="21"/>
                <w:szCs w:val="21"/>
                <w:lang w:val="en-US" w:eastAsia="zh-CN"/>
              </w:rPr>
              <w:t>5</w:t>
            </w:r>
            <w:r>
              <w:rPr>
                <w:rFonts w:hint="default" w:ascii="Times New Roman" w:hAnsi="Times New Roman" w:eastAsia="宋体" w:cs="Times New Roman"/>
                <w:spacing w:val="5"/>
                <w:sz w:val="21"/>
                <w:szCs w:val="21"/>
              </w:rPr>
              <w:t>0L/</w:t>
            </w:r>
            <w:r>
              <w:rPr>
                <w:rFonts w:hint="default" w:ascii="Times New Roman" w:hAnsi="Times New Roman" w:eastAsia="宋体" w:cs="Times New Roman"/>
                <w:sz w:val="21"/>
                <w:szCs w:val="21"/>
              </w:rPr>
              <w:t>min</w:t>
            </w:r>
          </w:p>
        </w:tc>
        <w:tc>
          <w:tcPr>
            <w:tcW w:w="1065" w:type="dxa"/>
            <w:tcBorders>
              <w:tl2br w:val="nil"/>
              <w:tr2bl w:val="nil"/>
            </w:tcBorders>
            <w:noWrap w:val="0"/>
            <w:vAlign w:val="center"/>
          </w:tcPr>
          <w:p w14:paraId="0F1B8E1E">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6"/>
                <w:w w:val="101"/>
                <w:sz w:val="21"/>
                <w:szCs w:val="21"/>
                <w:lang w:val="en-US" w:eastAsia="zh-CN"/>
              </w:rPr>
              <w:t>4</w:t>
            </w:r>
            <w:r>
              <w:rPr>
                <w:rFonts w:hint="default" w:ascii="Times New Roman" w:hAnsi="Times New Roman" w:eastAsia="宋体" w:cs="Times New Roman"/>
                <w:spacing w:val="-3"/>
                <w:sz w:val="21"/>
                <w:szCs w:val="21"/>
              </w:rPr>
              <w:t>台</w:t>
            </w:r>
          </w:p>
        </w:tc>
        <w:tc>
          <w:tcPr>
            <w:tcW w:w="1794" w:type="dxa"/>
            <w:tcBorders>
              <w:tl2br w:val="nil"/>
              <w:tr2bl w:val="nil"/>
            </w:tcBorders>
            <w:noWrap w:val="0"/>
            <w:vAlign w:val="center"/>
          </w:tcPr>
          <w:p w14:paraId="0F1FE9D8">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加油区</w:t>
            </w:r>
          </w:p>
        </w:tc>
      </w:tr>
      <w:tr w14:paraId="2C0287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9" w:hRule="atLeast"/>
          <w:jc w:val="center"/>
        </w:trPr>
        <w:tc>
          <w:tcPr>
            <w:tcW w:w="886" w:type="dxa"/>
            <w:tcBorders>
              <w:tl2br w:val="nil"/>
              <w:tr2bl w:val="nil"/>
            </w:tcBorders>
            <w:noWrap w:val="0"/>
            <w:vAlign w:val="center"/>
          </w:tcPr>
          <w:p w14:paraId="61E1F3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pacing w:val="1"/>
                <w:sz w:val="21"/>
                <w:szCs w:val="21"/>
                <w:lang w:val="en-US" w:eastAsia="zh-CN"/>
              </w:rPr>
            </w:pPr>
            <w:r>
              <w:rPr>
                <w:rFonts w:hint="default" w:ascii="Times New Roman" w:hAnsi="Times New Roman" w:eastAsia="宋体" w:cs="Times New Roman"/>
                <w:spacing w:val="1"/>
                <w:sz w:val="21"/>
                <w:szCs w:val="21"/>
                <w:lang w:val="en-US" w:eastAsia="zh-CN"/>
              </w:rPr>
              <w:t>5</w:t>
            </w:r>
          </w:p>
        </w:tc>
        <w:tc>
          <w:tcPr>
            <w:tcW w:w="2372" w:type="dxa"/>
            <w:tcBorders>
              <w:tl2br w:val="nil"/>
              <w:tr2bl w:val="nil"/>
            </w:tcBorders>
            <w:noWrap w:val="0"/>
            <w:vAlign w:val="center"/>
          </w:tcPr>
          <w:p w14:paraId="51535DEE">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油气回收设备</w:t>
            </w:r>
          </w:p>
        </w:tc>
        <w:tc>
          <w:tcPr>
            <w:tcW w:w="2247" w:type="dxa"/>
            <w:tcBorders>
              <w:tl2br w:val="nil"/>
              <w:tr2bl w:val="nil"/>
            </w:tcBorders>
            <w:noWrap w:val="0"/>
            <w:vAlign w:val="center"/>
          </w:tcPr>
          <w:p w14:paraId="2D7F79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pacing w:val="5"/>
                <w:sz w:val="21"/>
                <w:szCs w:val="21"/>
                <w:lang w:val="en-US" w:eastAsia="zh-CN"/>
              </w:rPr>
            </w:pPr>
            <w:r>
              <w:rPr>
                <w:rFonts w:hint="default" w:ascii="Times New Roman" w:hAnsi="Times New Roman" w:eastAsia="宋体" w:cs="Times New Roman"/>
                <w:spacing w:val="5"/>
                <w:sz w:val="21"/>
                <w:szCs w:val="21"/>
                <w:lang w:val="en-US" w:eastAsia="zh-CN"/>
              </w:rPr>
              <w:t>E01</w:t>
            </w:r>
          </w:p>
        </w:tc>
        <w:tc>
          <w:tcPr>
            <w:tcW w:w="1065" w:type="dxa"/>
            <w:tcBorders>
              <w:tl2br w:val="nil"/>
              <w:tr2bl w:val="nil"/>
            </w:tcBorders>
            <w:noWrap w:val="0"/>
            <w:vAlign w:val="center"/>
          </w:tcPr>
          <w:p w14:paraId="0039DC67">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pacing w:val="26"/>
                <w:w w:val="101"/>
                <w:sz w:val="21"/>
                <w:szCs w:val="21"/>
                <w:lang w:val="en-US" w:eastAsia="zh-CN"/>
              </w:rPr>
            </w:pPr>
            <w:r>
              <w:rPr>
                <w:rFonts w:hint="default" w:ascii="Times New Roman" w:hAnsi="Times New Roman" w:eastAsia="宋体" w:cs="Times New Roman"/>
                <w:spacing w:val="26"/>
                <w:w w:val="101"/>
                <w:sz w:val="21"/>
                <w:szCs w:val="21"/>
                <w:lang w:val="en-US" w:eastAsia="zh-CN"/>
              </w:rPr>
              <w:t>1台</w:t>
            </w:r>
          </w:p>
        </w:tc>
        <w:tc>
          <w:tcPr>
            <w:tcW w:w="1794" w:type="dxa"/>
            <w:tcBorders>
              <w:tl2br w:val="nil"/>
              <w:tr2bl w:val="nil"/>
            </w:tcBorders>
            <w:noWrap w:val="0"/>
            <w:vAlign w:val="center"/>
          </w:tcPr>
          <w:p w14:paraId="38DB695E">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冷凝+吸附</w:t>
            </w:r>
          </w:p>
        </w:tc>
      </w:tr>
      <w:tr w14:paraId="603967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9" w:hRule="atLeast"/>
          <w:jc w:val="center"/>
        </w:trPr>
        <w:tc>
          <w:tcPr>
            <w:tcW w:w="886" w:type="dxa"/>
            <w:tcBorders>
              <w:tl2br w:val="nil"/>
              <w:tr2bl w:val="nil"/>
            </w:tcBorders>
            <w:noWrap w:val="0"/>
            <w:vAlign w:val="center"/>
          </w:tcPr>
          <w:p w14:paraId="41C387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pacing w:val="1"/>
                <w:sz w:val="21"/>
                <w:szCs w:val="21"/>
                <w:lang w:val="en-US" w:eastAsia="zh-CN"/>
              </w:rPr>
            </w:pPr>
            <w:r>
              <w:rPr>
                <w:rFonts w:hint="default" w:ascii="Times New Roman" w:hAnsi="Times New Roman" w:eastAsia="宋体" w:cs="Times New Roman"/>
                <w:spacing w:val="1"/>
                <w:sz w:val="21"/>
                <w:szCs w:val="21"/>
                <w:lang w:val="en-US" w:eastAsia="zh-CN"/>
              </w:rPr>
              <w:t>6</w:t>
            </w:r>
          </w:p>
        </w:tc>
        <w:tc>
          <w:tcPr>
            <w:tcW w:w="2372" w:type="dxa"/>
            <w:tcBorders>
              <w:tl2br w:val="nil"/>
              <w:tr2bl w:val="nil"/>
            </w:tcBorders>
            <w:noWrap w:val="0"/>
            <w:vAlign w:val="center"/>
          </w:tcPr>
          <w:p w14:paraId="2288E7A5">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潜油泵</w:t>
            </w:r>
          </w:p>
        </w:tc>
        <w:tc>
          <w:tcPr>
            <w:tcW w:w="2247" w:type="dxa"/>
            <w:tcBorders>
              <w:tl2br w:val="nil"/>
              <w:tr2bl w:val="nil"/>
            </w:tcBorders>
            <w:noWrap w:val="0"/>
            <w:vAlign w:val="center"/>
          </w:tcPr>
          <w:p w14:paraId="546356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pacing w:val="5"/>
                <w:sz w:val="21"/>
                <w:szCs w:val="21"/>
                <w:lang w:val="en-US" w:eastAsia="zh-CN"/>
              </w:rPr>
            </w:pPr>
            <w:r>
              <w:rPr>
                <w:rFonts w:hint="default" w:ascii="Times New Roman" w:hAnsi="Times New Roman" w:eastAsia="宋体" w:cs="Times New Roman"/>
                <w:spacing w:val="5"/>
                <w:sz w:val="21"/>
                <w:szCs w:val="21"/>
                <w:lang w:val="en-US" w:eastAsia="zh-CN"/>
              </w:rPr>
              <w:t>P75S3-3</w:t>
            </w:r>
          </w:p>
        </w:tc>
        <w:tc>
          <w:tcPr>
            <w:tcW w:w="1065" w:type="dxa"/>
            <w:tcBorders>
              <w:tl2br w:val="nil"/>
              <w:tr2bl w:val="nil"/>
            </w:tcBorders>
            <w:noWrap w:val="0"/>
            <w:vAlign w:val="center"/>
          </w:tcPr>
          <w:p w14:paraId="300E2501">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pacing w:val="26"/>
                <w:w w:val="101"/>
                <w:sz w:val="21"/>
                <w:szCs w:val="21"/>
                <w:lang w:val="en-US" w:eastAsia="zh-CN"/>
              </w:rPr>
            </w:pPr>
            <w:r>
              <w:rPr>
                <w:rFonts w:hint="default" w:ascii="Times New Roman" w:hAnsi="Times New Roman" w:eastAsia="宋体" w:cs="Times New Roman"/>
                <w:spacing w:val="26"/>
                <w:w w:val="101"/>
                <w:sz w:val="21"/>
                <w:szCs w:val="21"/>
                <w:lang w:val="en-US" w:eastAsia="zh-CN"/>
              </w:rPr>
              <w:t>4台</w:t>
            </w:r>
          </w:p>
        </w:tc>
        <w:tc>
          <w:tcPr>
            <w:tcW w:w="1794" w:type="dxa"/>
            <w:tcBorders>
              <w:tl2br w:val="nil"/>
              <w:tr2bl w:val="nil"/>
            </w:tcBorders>
            <w:noWrap w:val="0"/>
            <w:vAlign w:val="center"/>
          </w:tcPr>
          <w:p w14:paraId="2D961D93">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加油区</w:t>
            </w:r>
          </w:p>
        </w:tc>
      </w:tr>
      <w:tr w14:paraId="38311A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86" w:type="dxa"/>
            <w:tcBorders>
              <w:tl2br w:val="nil"/>
              <w:tr2bl w:val="nil"/>
            </w:tcBorders>
            <w:noWrap w:val="0"/>
            <w:vAlign w:val="center"/>
          </w:tcPr>
          <w:p w14:paraId="7D9DA9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w:t>
            </w:r>
          </w:p>
        </w:tc>
        <w:tc>
          <w:tcPr>
            <w:tcW w:w="2372" w:type="dxa"/>
            <w:tcBorders>
              <w:tl2br w:val="nil"/>
              <w:tr2bl w:val="nil"/>
            </w:tcBorders>
            <w:shd w:val="clear" w:color="auto" w:fill="auto"/>
            <w:noWrap w:val="0"/>
            <w:vAlign w:val="center"/>
          </w:tcPr>
          <w:p w14:paraId="33FF5DCA">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z w:val="21"/>
                <w:szCs w:val="21"/>
                <w:lang w:val="en-US" w:eastAsia="zh-CN"/>
              </w:rPr>
              <w:t>卸车/储罐增压器</w:t>
            </w:r>
          </w:p>
        </w:tc>
        <w:tc>
          <w:tcPr>
            <w:tcW w:w="2247" w:type="dxa"/>
            <w:tcBorders>
              <w:tl2br w:val="nil"/>
              <w:tr2bl w:val="nil"/>
            </w:tcBorders>
            <w:shd w:val="clear" w:color="auto" w:fill="auto"/>
            <w:noWrap w:val="0"/>
            <w:vAlign w:val="center"/>
          </w:tcPr>
          <w:p w14:paraId="4063D2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pacing w:val="2"/>
                <w:kern w:val="2"/>
                <w:sz w:val="21"/>
                <w:szCs w:val="21"/>
                <w:lang w:val="en-US" w:eastAsia="zh-CN" w:bidi="ar-SA"/>
              </w:rPr>
            </w:pPr>
            <w:r>
              <w:rPr>
                <w:rFonts w:hint="default" w:ascii="Times New Roman" w:hAnsi="Times New Roman" w:eastAsia="宋体" w:cs="Times New Roman"/>
                <w:spacing w:val="2"/>
                <w:sz w:val="21"/>
                <w:szCs w:val="21"/>
                <w:lang w:val="en-US" w:eastAsia="zh-CN"/>
              </w:rPr>
              <w:t>Q=300Nm</w:t>
            </w:r>
            <w:r>
              <w:rPr>
                <w:rFonts w:hint="default" w:ascii="Times New Roman" w:hAnsi="Times New Roman" w:eastAsia="宋体" w:cs="Times New Roman"/>
                <w:spacing w:val="2"/>
                <w:sz w:val="21"/>
                <w:szCs w:val="21"/>
                <w:vertAlign w:val="superscript"/>
                <w:lang w:val="en-US" w:eastAsia="zh-CN"/>
              </w:rPr>
              <w:t>3</w:t>
            </w:r>
            <w:r>
              <w:rPr>
                <w:rFonts w:hint="default" w:ascii="Times New Roman" w:hAnsi="Times New Roman" w:eastAsia="宋体" w:cs="Times New Roman"/>
                <w:spacing w:val="2"/>
                <w:sz w:val="21"/>
                <w:szCs w:val="21"/>
                <w:lang w:val="en-US" w:eastAsia="zh-CN"/>
              </w:rPr>
              <w:t>/h</w:t>
            </w:r>
          </w:p>
        </w:tc>
        <w:tc>
          <w:tcPr>
            <w:tcW w:w="1065" w:type="dxa"/>
            <w:tcBorders>
              <w:tl2br w:val="nil"/>
              <w:tr2bl w:val="nil"/>
            </w:tcBorders>
            <w:shd w:val="clear" w:color="auto" w:fill="auto"/>
            <w:noWrap w:val="0"/>
            <w:vAlign w:val="center"/>
          </w:tcPr>
          <w:p w14:paraId="01222B66">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1台</w:t>
            </w:r>
          </w:p>
        </w:tc>
        <w:tc>
          <w:tcPr>
            <w:tcW w:w="1794" w:type="dxa"/>
            <w:tcBorders>
              <w:tl2br w:val="nil"/>
              <w:tr2bl w:val="nil"/>
            </w:tcBorders>
            <w:noWrap w:val="0"/>
            <w:vAlign w:val="center"/>
          </w:tcPr>
          <w:p w14:paraId="421843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6"/>
                <w:sz w:val="21"/>
                <w:szCs w:val="21"/>
                <w:lang w:val="en-US" w:eastAsia="zh-CN"/>
              </w:rPr>
              <w:t>-</w:t>
            </w:r>
          </w:p>
        </w:tc>
      </w:tr>
      <w:tr w14:paraId="380B2B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86" w:type="dxa"/>
            <w:tcBorders>
              <w:tl2br w:val="nil"/>
              <w:tr2bl w:val="nil"/>
            </w:tcBorders>
            <w:noWrap w:val="0"/>
            <w:vAlign w:val="center"/>
          </w:tcPr>
          <w:p w14:paraId="52AD28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w:t>
            </w:r>
          </w:p>
        </w:tc>
        <w:tc>
          <w:tcPr>
            <w:tcW w:w="2372" w:type="dxa"/>
            <w:tcBorders>
              <w:tl2br w:val="nil"/>
              <w:tr2bl w:val="nil"/>
            </w:tcBorders>
            <w:shd w:val="clear" w:color="auto" w:fill="auto"/>
            <w:noWrap w:val="0"/>
            <w:vAlign w:val="center"/>
          </w:tcPr>
          <w:p w14:paraId="7471E5E6">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EAG加热器</w:t>
            </w:r>
          </w:p>
        </w:tc>
        <w:tc>
          <w:tcPr>
            <w:tcW w:w="2247" w:type="dxa"/>
            <w:tcBorders>
              <w:tl2br w:val="nil"/>
              <w:tr2bl w:val="nil"/>
            </w:tcBorders>
            <w:shd w:val="clear" w:color="auto" w:fill="auto"/>
            <w:noWrap w:val="0"/>
            <w:vAlign w:val="center"/>
          </w:tcPr>
          <w:p w14:paraId="558BF1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pacing w:val="2"/>
                <w:kern w:val="2"/>
                <w:sz w:val="21"/>
                <w:szCs w:val="21"/>
                <w:lang w:val="en-US" w:eastAsia="zh-CN" w:bidi="ar-SA"/>
              </w:rPr>
            </w:pPr>
            <w:r>
              <w:rPr>
                <w:rFonts w:hint="default" w:ascii="Times New Roman" w:hAnsi="Times New Roman" w:eastAsia="宋体" w:cs="Times New Roman"/>
                <w:spacing w:val="2"/>
                <w:sz w:val="21"/>
                <w:szCs w:val="21"/>
                <w:lang w:val="en-US" w:eastAsia="zh-CN"/>
              </w:rPr>
              <w:t>Q=300Nm</w:t>
            </w:r>
            <w:r>
              <w:rPr>
                <w:rFonts w:hint="default" w:ascii="Times New Roman" w:hAnsi="Times New Roman" w:eastAsia="宋体" w:cs="Times New Roman"/>
                <w:spacing w:val="2"/>
                <w:sz w:val="21"/>
                <w:szCs w:val="21"/>
                <w:vertAlign w:val="superscript"/>
                <w:lang w:val="en-US" w:eastAsia="zh-CN"/>
              </w:rPr>
              <w:t>3</w:t>
            </w:r>
            <w:r>
              <w:rPr>
                <w:rFonts w:hint="default" w:ascii="Times New Roman" w:hAnsi="Times New Roman" w:eastAsia="宋体" w:cs="Times New Roman"/>
                <w:spacing w:val="2"/>
                <w:sz w:val="21"/>
                <w:szCs w:val="21"/>
                <w:lang w:val="en-US" w:eastAsia="zh-CN"/>
              </w:rPr>
              <w:t>/h</w:t>
            </w:r>
          </w:p>
        </w:tc>
        <w:tc>
          <w:tcPr>
            <w:tcW w:w="1065" w:type="dxa"/>
            <w:tcBorders>
              <w:tl2br w:val="nil"/>
              <w:tr2bl w:val="nil"/>
            </w:tcBorders>
            <w:shd w:val="clear" w:color="auto" w:fill="auto"/>
            <w:noWrap w:val="0"/>
            <w:vAlign w:val="center"/>
          </w:tcPr>
          <w:p w14:paraId="7E943B57">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1台</w:t>
            </w:r>
          </w:p>
        </w:tc>
        <w:tc>
          <w:tcPr>
            <w:tcW w:w="1794" w:type="dxa"/>
            <w:tcBorders>
              <w:tl2br w:val="nil"/>
              <w:tr2bl w:val="nil"/>
            </w:tcBorders>
            <w:noWrap w:val="0"/>
            <w:vAlign w:val="center"/>
          </w:tcPr>
          <w:p w14:paraId="6CF961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w:t>
            </w:r>
          </w:p>
        </w:tc>
      </w:tr>
      <w:tr w14:paraId="2EAC76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86" w:type="dxa"/>
            <w:tcBorders>
              <w:tl2br w:val="nil"/>
              <w:tr2bl w:val="nil"/>
            </w:tcBorders>
            <w:noWrap w:val="0"/>
            <w:vAlign w:val="center"/>
          </w:tcPr>
          <w:p w14:paraId="7955F5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w:t>
            </w:r>
          </w:p>
        </w:tc>
        <w:tc>
          <w:tcPr>
            <w:tcW w:w="2372" w:type="dxa"/>
            <w:tcBorders>
              <w:tl2br w:val="nil"/>
              <w:tr2bl w:val="nil"/>
            </w:tcBorders>
            <w:shd w:val="clear" w:color="auto" w:fill="auto"/>
            <w:noWrap w:val="0"/>
            <w:vAlign w:val="center"/>
          </w:tcPr>
          <w:p w14:paraId="57B12EE7">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仪表用压缩空气系统</w:t>
            </w:r>
          </w:p>
        </w:tc>
        <w:tc>
          <w:tcPr>
            <w:tcW w:w="2247" w:type="dxa"/>
            <w:tcBorders>
              <w:tl2br w:val="nil"/>
              <w:tr2bl w:val="nil"/>
            </w:tcBorders>
            <w:shd w:val="clear" w:color="auto" w:fill="auto"/>
            <w:noWrap w:val="0"/>
            <w:vAlign w:val="center"/>
          </w:tcPr>
          <w:p w14:paraId="64ADB7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pacing w:val="2"/>
                <w:sz w:val="21"/>
                <w:szCs w:val="21"/>
              </w:rPr>
            </w:pPr>
            <w:r>
              <w:rPr>
                <w:rFonts w:hint="default" w:ascii="Times New Roman" w:hAnsi="Times New Roman" w:eastAsia="宋体" w:cs="Times New Roman"/>
                <w:spacing w:val="2"/>
                <w:sz w:val="21"/>
                <w:szCs w:val="21"/>
                <w:lang w:val="en-US" w:eastAsia="zh-CN"/>
              </w:rPr>
              <w:t xml:space="preserve">活塞式空气压缩： </w:t>
            </w:r>
          </w:p>
          <w:p w14:paraId="60AF2D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pacing w:val="2"/>
                <w:kern w:val="2"/>
                <w:sz w:val="21"/>
                <w:szCs w:val="21"/>
                <w:lang w:val="en-US" w:eastAsia="zh-CN" w:bidi="ar-SA"/>
              </w:rPr>
            </w:pPr>
            <w:r>
              <w:rPr>
                <w:rFonts w:hint="default" w:ascii="Times New Roman" w:hAnsi="Times New Roman" w:eastAsia="宋体" w:cs="Times New Roman"/>
                <w:spacing w:val="2"/>
                <w:sz w:val="21"/>
                <w:szCs w:val="21"/>
                <w:lang w:val="en-US" w:eastAsia="zh-CN"/>
              </w:rPr>
              <w:t>0.20m</w:t>
            </w:r>
            <w:r>
              <w:rPr>
                <w:rFonts w:hint="default" w:ascii="Times New Roman" w:hAnsi="Times New Roman" w:eastAsia="宋体" w:cs="Times New Roman"/>
                <w:spacing w:val="2"/>
                <w:sz w:val="21"/>
                <w:szCs w:val="21"/>
                <w:vertAlign w:val="superscript"/>
                <w:lang w:val="en-US" w:eastAsia="zh-CN"/>
              </w:rPr>
              <w:t>3</w:t>
            </w:r>
            <w:r>
              <w:rPr>
                <w:rFonts w:hint="default" w:ascii="Times New Roman" w:hAnsi="Times New Roman" w:eastAsia="宋体" w:cs="Times New Roman"/>
                <w:spacing w:val="2"/>
                <w:sz w:val="21"/>
                <w:szCs w:val="21"/>
                <w:lang w:val="en-US" w:eastAsia="zh-CN"/>
              </w:rPr>
              <w:t>/min1台；A、T、C级空气过滤器各1台</w:t>
            </w:r>
          </w:p>
        </w:tc>
        <w:tc>
          <w:tcPr>
            <w:tcW w:w="1065" w:type="dxa"/>
            <w:tcBorders>
              <w:tl2br w:val="nil"/>
              <w:tr2bl w:val="nil"/>
            </w:tcBorders>
            <w:shd w:val="clear" w:color="auto" w:fill="auto"/>
            <w:noWrap w:val="0"/>
            <w:vAlign w:val="center"/>
          </w:tcPr>
          <w:p w14:paraId="0A77B719">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1套</w:t>
            </w:r>
          </w:p>
        </w:tc>
        <w:tc>
          <w:tcPr>
            <w:tcW w:w="1794" w:type="dxa"/>
            <w:tcBorders>
              <w:tl2br w:val="nil"/>
              <w:tr2bl w:val="nil"/>
            </w:tcBorders>
            <w:shd w:val="clear" w:color="auto" w:fill="auto"/>
            <w:noWrap w:val="0"/>
            <w:vAlign w:val="center"/>
          </w:tcPr>
          <w:p w14:paraId="188B6CB7">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sz w:val="21"/>
                <w:szCs w:val="21"/>
                <w:lang w:val="en-US" w:eastAsia="zh-CN"/>
              </w:rPr>
              <w:t>-</w:t>
            </w:r>
          </w:p>
        </w:tc>
      </w:tr>
      <w:tr w14:paraId="3F6BD8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86" w:type="dxa"/>
            <w:tcBorders>
              <w:tl2br w:val="nil"/>
              <w:tr2bl w:val="nil"/>
            </w:tcBorders>
            <w:noWrap w:val="0"/>
            <w:vAlign w:val="center"/>
          </w:tcPr>
          <w:p w14:paraId="362BDB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w:t>
            </w:r>
          </w:p>
        </w:tc>
        <w:tc>
          <w:tcPr>
            <w:tcW w:w="2372" w:type="dxa"/>
            <w:tcBorders>
              <w:tl2br w:val="nil"/>
              <w:tr2bl w:val="nil"/>
            </w:tcBorders>
            <w:shd w:val="clear" w:color="auto" w:fill="auto"/>
            <w:noWrap w:val="0"/>
            <w:vAlign w:val="center"/>
          </w:tcPr>
          <w:p w14:paraId="04D49DC0">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8"/>
                <w:sz w:val="21"/>
                <w:szCs w:val="21"/>
              </w:rPr>
              <w:t>三次油气回收系统</w:t>
            </w:r>
          </w:p>
        </w:tc>
        <w:tc>
          <w:tcPr>
            <w:tcW w:w="2247" w:type="dxa"/>
            <w:tcBorders>
              <w:tl2br w:val="nil"/>
              <w:tr2bl w:val="nil"/>
            </w:tcBorders>
            <w:shd w:val="clear" w:color="auto" w:fill="auto"/>
            <w:noWrap w:val="0"/>
            <w:vAlign w:val="center"/>
          </w:tcPr>
          <w:p w14:paraId="76EBE7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2"/>
                <w:sz w:val="21"/>
                <w:szCs w:val="21"/>
              </w:rPr>
              <w:t>/</w:t>
            </w:r>
          </w:p>
        </w:tc>
        <w:tc>
          <w:tcPr>
            <w:tcW w:w="1065" w:type="dxa"/>
            <w:tcBorders>
              <w:tl2br w:val="nil"/>
              <w:tr2bl w:val="nil"/>
            </w:tcBorders>
            <w:shd w:val="clear" w:color="auto" w:fill="auto"/>
            <w:noWrap w:val="0"/>
            <w:vAlign w:val="center"/>
          </w:tcPr>
          <w:p w14:paraId="73F58342">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10"/>
                <w:sz w:val="21"/>
                <w:szCs w:val="21"/>
              </w:rPr>
              <w:t>1</w:t>
            </w:r>
            <w:r>
              <w:rPr>
                <w:rFonts w:hint="default" w:ascii="Times New Roman" w:hAnsi="Times New Roman" w:eastAsia="宋体" w:cs="Times New Roman"/>
                <w:spacing w:val="10"/>
                <w:sz w:val="21"/>
                <w:szCs w:val="21"/>
              </w:rPr>
              <w:t xml:space="preserve"> </w:t>
            </w:r>
            <w:r>
              <w:rPr>
                <w:rFonts w:hint="default" w:ascii="Times New Roman" w:hAnsi="Times New Roman" w:eastAsia="宋体" w:cs="Times New Roman"/>
                <w:spacing w:val="-10"/>
                <w:sz w:val="21"/>
                <w:szCs w:val="21"/>
              </w:rPr>
              <w:t>套</w:t>
            </w:r>
          </w:p>
        </w:tc>
        <w:tc>
          <w:tcPr>
            <w:tcW w:w="1794" w:type="dxa"/>
            <w:tcBorders>
              <w:tl2br w:val="nil"/>
              <w:tr2bl w:val="nil"/>
            </w:tcBorders>
            <w:shd w:val="clear" w:color="auto" w:fill="auto"/>
            <w:noWrap w:val="0"/>
            <w:vAlign w:val="center"/>
          </w:tcPr>
          <w:p w14:paraId="539DC78E">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7"/>
                <w:sz w:val="21"/>
                <w:szCs w:val="21"/>
              </w:rPr>
              <w:t>冷凝吸附型</w:t>
            </w:r>
          </w:p>
        </w:tc>
      </w:tr>
    </w:tbl>
    <w:p w14:paraId="1915B1A7">
      <w:pPr>
        <w:spacing w:before="156" w:beforeLines="50" w:line="360" w:lineRule="auto"/>
        <w:rPr>
          <w:rFonts w:ascii="Times New Roman"/>
          <w:b/>
          <w:sz w:val="24"/>
          <w:szCs w:val="24"/>
        </w:rPr>
      </w:pPr>
      <w:r>
        <w:rPr>
          <w:rFonts w:ascii="Times New Roman"/>
          <w:b/>
          <w:sz w:val="24"/>
          <w:szCs w:val="24"/>
        </w:rPr>
        <w:t>二、环境保护目标</w:t>
      </w:r>
    </w:p>
    <w:p w14:paraId="21CF9084">
      <w:pPr>
        <w:spacing w:line="360" w:lineRule="auto"/>
        <w:ind w:firstLine="480" w:firstLineChars="200"/>
        <w:rPr>
          <w:rFonts w:ascii="Times New Roman"/>
          <w:sz w:val="24"/>
          <w:szCs w:val="24"/>
        </w:rPr>
      </w:pPr>
      <w:r>
        <w:rPr>
          <w:rFonts w:ascii="Times New Roman"/>
          <w:bCs/>
          <w:sz w:val="24"/>
          <w:szCs w:val="24"/>
        </w:rPr>
        <w:t>根据《建设项目环境影响报告表编制技术指南（污染影响类）》（试行）（环</w:t>
      </w:r>
      <w:r>
        <w:rPr>
          <w:rFonts w:ascii="Times New Roman"/>
          <w:sz w:val="24"/>
        </w:rPr>
        <w:t>办环评[2020]33号）中对环境保护目标的相关要求，</w:t>
      </w:r>
      <w:r>
        <w:rPr>
          <w:rFonts w:ascii="Times New Roman"/>
          <w:sz w:val="24"/>
          <w:szCs w:val="24"/>
        </w:rPr>
        <w:t>本项目主要环境保护目标见表</w:t>
      </w:r>
      <w:r>
        <w:rPr>
          <w:rFonts w:hint="eastAsia" w:ascii="Times New Roman"/>
          <w:sz w:val="24"/>
          <w:szCs w:val="24"/>
          <w:lang w:val="en-US" w:eastAsia="zh-CN"/>
        </w:rPr>
        <w:t>1-4</w:t>
      </w:r>
      <w:r>
        <w:rPr>
          <w:rFonts w:ascii="Times New Roman"/>
          <w:sz w:val="24"/>
          <w:szCs w:val="24"/>
        </w:rPr>
        <w:t>。</w:t>
      </w:r>
    </w:p>
    <w:p w14:paraId="076C0A4A">
      <w:pPr>
        <w:adjustRightInd w:val="0"/>
        <w:snapToGrid w:val="0"/>
        <w:jc w:val="center"/>
        <w:rPr>
          <w:rFonts w:ascii="Times New Roman"/>
          <w:b/>
          <w:szCs w:val="21"/>
        </w:rPr>
      </w:pPr>
      <w:r>
        <w:rPr>
          <w:rFonts w:ascii="Times New Roman"/>
          <w:b/>
          <w:szCs w:val="21"/>
        </w:rPr>
        <w:t>表1-4  建设项目环境敏感点统计表</w:t>
      </w:r>
    </w:p>
    <w:tbl>
      <w:tblPr>
        <w:tblStyle w:val="48"/>
        <w:tblW w:w="849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222"/>
        <w:gridCol w:w="1466"/>
        <w:gridCol w:w="1266"/>
        <w:gridCol w:w="1211"/>
        <w:gridCol w:w="779"/>
        <w:gridCol w:w="870"/>
        <w:gridCol w:w="1032"/>
      </w:tblGrid>
      <w:tr w14:paraId="05DD5B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0" w:hRule="atLeast"/>
          <w:jc w:val="center"/>
        </w:trPr>
        <w:tc>
          <w:tcPr>
            <w:tcW w:w="652" w:type="dxa"/>
            <w:vMerge w:val="restart"/>
            <w:tcBorders>
              <w:tl2br w:val="nil"/>
              <w:tr2bl w:val="nil"/>
            </w:tcBorders>
            <w:vAlign w:val="center"/>
          </w:tcPr>
          <w:p w14:paraId="66404A2F">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环境要素</w:t>
            </w:r>
          </w:p>
        </w:tc>
        <w:tc>
          <w:tcPr>
            <w:tcW w:w="1222" w:type="dxa"/>
            <w:vMerge w:val="restart"/>
            <w:tcBorders>
              <w:tl2br w:val="nil"/>
              <w:tr2bl w:val="nil"/>
            </w:tcBorders>
            <w:vAlign w:val="center"/>
          </w:tcPr>
          <w:p w14:paraId="58276EFF">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保护对象</w:t>
            </w:r>
          </w:p>
        </w:tc>
        <w:tc>
          <w:tcPr>
            <w:tcW w:w="2732" w:type="dxa"/>
            <w:gridSpan w:val="2"/>
            <w:tcBorders>
              <w:tl2br w:val="nil"/>
              <w:tr2bl w:val="nil"/>
            </w:tcBorders>
            <w:vAlign w:val="center"/>
          </w:tcPr>
          <w:p w14:paraId="3F04492D">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坐标</w:t>
            </w:r>
          </w:p>
        </w:tc>
        <w:tc>
          <w:tcPr>
            <w:tcW w:w="1211" w:type="dxa"/>
            <w:vMerge w:val="restart"/>
            <w:tcBorders>
              <w:tl2br w:val="nil"/>
              <w:tr2bl w:val="nil"/>
            </w:tcBorders>
            <w:vAlign w:val="center"/>
          </w:tcPr>
          <w:p w14:paraId="6558352F">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保护内容</w:t>
            </w:r>
          </w:p>
        </w:tc>
        <w:tc>
          <w:tcPr>
            <w:tcW w:w="779" w:type="dxa"/>
            <w:vMerge w:val="restart"/>
            <w:tcBorders>
              <w:tl2br w:val="nil"/>
              <w:tr2bl w:val="nil"/>
            </w:tcBorders>
            <w:vAlign w:val="center"/>
          </w:tcPr>
          <w:p w14:paraId="62089EDE">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环境</w:t>
            </w:r>
            <w:r>
              <w:rPr>
                <w:rFonts w:hint="default" w:ascii="Times New Roman" w:hAnsi="Times New Roman" w:eastAsia="宋体" w:cs="Times New Roman"/>
                <w:spacing w:val="5"/>
                <w:sz w:val="21"/>
                <w:szCs w:val="21"/>
              </w:rPr>
              <w:t>功能区</w:t>
            </w:r>
          </w:p>
        </w:tc>
        <w:tc>
          <w:tcPr>
            <w:tcW w:w="870" w:type="dxa"/>
            <w:vMerge w:val="restart"/>
            <w:tcBorders>
              <w:tl2br w:val="nil"/>
              <w:tr2bl w:val="nil"/>
            </w:tcBorders>
            <w:vAlign w:val="center"/>
          </w:tcPr>
          <w:p w14:paraId="165522E2">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相对厂址</w:t>
            </w:r>
            <w:r>
              <w:rPr>
                <w:rFonts w:hint="default" w:ascii="Times New Roman" w:hAnsi="Times New Roman" w:eastAsia="宋体" w:cs="Times New Roman"/>
                <w:spacing w:val="4"/>
                <w:sz w:val="21"/>
                <w:szCs w:val="21"/>
              </w:rPr>
              <w:t>方位</w:t>
            </w:r>
          </w:p>
        </w:tc>
        <w:tc>
          <w:tcPr>
            <w:tcW w:w="1032" w:type="dxa"/>
            <w:vMerge w:val="restart"/>
            <w:tcBorders>
              <w:tl2br w:val="nil"/>
              <w:tr2bl w:val="nil"/>
            </w:tcBorders>
            <w:vAlign w:val="center"/>
          </w:tcPr>
          <w:p w14:paraId="5B0AFEA4">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相对厂址</w:t>
            </w:r>
          </w:p>
          <w:p w14:paraId="0117AD12">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最近距离</w:t>
            </w:r>
          </w:p>
        </w:tc>
      </w:tr>
      <w:tr w14:paraId="551180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51" w:hRule="atLeast"/>
          <w:jc w:val="center"/>
        </w:trPr>
        <w:tc>
          <w:tcPr>
            <w:tcW w:w="652" w:type="dxa"/>
            <w:vMerge w:val="continue"/>
            <w:tcBorders>
              <w:tl2br w:val="nil"/>
              <w:tr2bl w:val="nil"/>
            </w:tcBorders>
            <w:vAlign w:val="center"/>
          </w:tcPr>
          <w:p w14:paraId="1E5B18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p>
        </w:tc>
        <w:tc>
          <w:tcPr>
            <w:tcW w:w="1222" w:type="dxa"/>
            <w:vMerge w:val="continue"/>
            <w:tcBorders>
              <w:tl2br w:val="nil"/>
              <w:tr2bl w:val="nil"/>
            </w:tcBorders>
            <w:vAlign w:val="center"/>
          </w:tcPr>
          <w:p w14:paraId="576F28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p>
        </w:tc>
        <w:tc>
          <w:tcPr>
            <w:tcW w:w="1466" w:type="dxa"/>
            <w:tcBorders>
              <w:tl2br w:val="nil"/>
              <w:tr2bl w:val="nil"/>
            </w:tcBorders>
            <w:vAlign w:val="center"/>
          </w:tcPr>
          <w:p w14:paraId="1BF10C61">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经度</w:t>
            </w:r>
          </w:p>
        </w:tc>
        <w:tc>
          <w:tcPr>
            <w:tcW w:w="1266" w:type="dxa"/>
            <w:tcBorders>
              <w:tl2br w:val="nil"/>
              <w:tr2bl w:val="nil"/>
            </w:tcBorders>
            <w:vAlign w:val="center"/>
          </w:tcPr>
          <w:p w14:paraId="78665000">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纬度</w:t>
            </w:r>
          </w:p>
        </w:tc>
        <w:tc>
          <w:tcPr>
            <w:tcW w:w="1211" w:type="dxa"/>
            <w:vMerge w:val="continue"/>
            <w:tcBorders>
              <w:tl2br w:val="nil"/>
              <w:tr2bl w:val="nil"/>
            </w:tcBorders>
            <w:vAlign w:val="center"/>
          </w:tcPr>
          <w:p w14:paraId="4082FC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p>
        </w:tc>
        <w:tc>
          <w:tcPr>
            <w:tcW w:w="779" w:type="dxa"/>
            <w:vMerge w:val="continue"/>
            <w:tcBorders>
              <w:tl2br w:val="nil"/>
              <w:tr2bl w:val="nil"/>
            </w:tcBorders>
            <w:vAlign w:val="center"/>
          </w:tcPr>
          <w:p w14:paraId="4AA759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p>
        </w:tc>
        <w:tc>
          <w:tcPr>
            <w:tcW w:w="870" w:type="dxa"/>
            <w:vMerge w:val="continue"/>
            <w:tcBorders>
              <w:tl2br w:val="nil"/>
              <w:tr2bl w:val="nil"/>
            </w:tcBorders>
            <w:vAlign w:val="center"/>
          </w:tcPr>
          <w:p w14:paraId="7B1C09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p>
        </w:tc>
        <w:tc>
          <w:tcPr>
            <w:tcW w:w="1032" w:type="dxa"/>
            <w:vMerge w:val="continue"/>
            <w:tcBorders>
              <w:tl2br w:val="nil"/>
              <w:tr2bl w:val="nil"/>
            </w:tcBorders>
            <w:vAlign w:val="center"/>
          </w:tcPr>
          <w:p w14:paraId="7A41C2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p>
        </w:tc>
      </w:tr>
      <w:tr w14:paraId="102821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88" w:hRule="atLeast"/>
          <w:jc w:val="center"/>
        </w:trPr>
        <w:tc>
          <w:tcPr>
            <w:tcW w:w="652" w:type="dxa"/>
            <w:vMerge w:val="restart"/>
            <w:tcBorders>
              <w:tl2br w:val="nil"/>
              <w:tr2bl w:val="nil"/>
            </w:tcBorders>
            <w:vAlign w:val="center"/>
          </w:tcPr>
          <w:p w14:paraId="1F16A25E">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大气</w:t>
            </w:r>
            <w:r>
              <w:rPr>
                <w:rFonts w:hint="default" w:ascii="Times New Roman" w:hAnsi="Times New Roman" w:eastAsia="宋体" w:cs="Times New Roman"/>
                <w:spacing w:val="4"/>
                <w:sz w:val="21"/>
                <w:szCs w:val="21"/>
              </w:rPr>
              <w:t>环境</w:t>
            </w:r>
          </w:p>
        </w:tc>
        <w:tc>
          <w:tcPr>
            <w:tcW w:w="1222" w:type="dxa"/>
            <w:tcBorders>
              <w:tl2br w:val="nil"/>
              <w:tr2bl w:val="nil"/>
            </w:tcBorders>
            <w:vAlign w:val="center"/>
          </w:tcPr>
          <w:p w14:paraId="0A5CD09C">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西北农林</w:t>
            </w:r>
            <w:r>
              <w:rPr>
                <w:rFonts w:hint="default" w:ascii="Times New Roman" w:hAnsi="Times New Roman" w:eastAsia="宋体" w:cs="Times New Roman"/>
                <w:spacing w:val="7"/>
                <w:sz w:val="21"/>
                <w:szCs w:val="21"/>
              </w:rPr>
              <w:t>科技大学</w:t>
            </w:r>
          </w:p>
        </w:tc>
        <w:tc>
          <w:tcPr>
            <w:tcW w:w="1466" w:type="dxa"/>
            <w:tcBorders>
              <w:tl2br w:val="nil"/>
              <w:tr2bl w:val="nil"/>
            </w:tcBorders>
            <w:vAlign w:val="center"/>
          </w:tcPr>
          <w:p w14:paraId="3244FF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108°4′29.73″</w:t>
            </w:r>
          </w:p>
        </w:tc>
        <w:tc>
          <w:tcPr>
            <w:tcW w:w="1266" w:type="dxa"/>
            <w:tcBorders>
              <w:tl2br w:val="nil"/>
              <w:tr2bl w:val="nil"/>
            </w:tcBorders>
            <w:vAlign w:val="center"/>
          </w:tcPr>
          <w:p w14:paraId="4F36BF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34°15′21.03″</w:t>
            </w:r>
          </w:p>
        </w:tc>
        <w:tc>
          <w:tcPr>
            <w:tcW w:w="1211" w:type="dxa"/>
            <w:tcBorders>
              <w:tl2br w:val="nil"/>
              <w:tr2bl w:val="nil"/>
            </w:tcBorders>
            <w:vAlign w:val="center"/>
          </w:tcPr>
          <w:p w14:paraId="3B8FA824">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学校</w:t>
            </w:r>
          </w:p>
        </w:tc>
        <w:tc>
          <w:tcPr>
            <w:tcW w:w="779" w:type="dxa"/>
            <w:vMerge w:val="restart"/>
            <w:tcBorders>
              <w:tl2br w:val="nil"/>
              <w:tr2bl w:val="nil"/>
            </w:tcBorders>
            <w:vAlign w:val="center"/>
          </w:tcPr>
          <w:p w14:paraId="3FC40CC4">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二类区</w:t>
            </w:r>
          </w:p>
        </w:tc>
        <w:tc>
          <w:tcPr>
            <w:tcW w:w="870" w:type="dxa"/>
            <w:tcBorders>
              <w:tl2br w:val="nil"/>
              <w:tr2bl w:val="nil"/>
            </w:tcBorders>
            <w:vAlign w:val="center"/>
          </w:tcPr>
          <w:p w14:paraId="381C22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西侧</w:t>
            </w:r>
          </w:p>
        </w:tc>
        <w:tc>
          <w:tcPr>
            <w:tcW w:w="1032" w:type="dxa"/>
            <w:tcBorders>
              <w:tl2br w:val="nil"/>
              <w:tr2bl w:val="nil"/>
            </w:tcBorders>
            <w:vAlign w:val="center"/>
          </w:tcPr>
          <w:p w14:paraId="6F197D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pacing w:val="-3"/>
                <w:sz w:val="21"/>
                <w:szCs w:val="21"/>
                <w:lang w:val="en-US" w:eastAsia="zh-CN"/>
              </w:rPr>
              <w:t>60</w:t>
            </w:r>
            <w:r>
              <w:rPr>
                <w:rFonts w:hint="default" w:ascii="Times New Roman" w:hAnsi="Times New Roman" w:eastAsia="宋体" w:cs="Times New Roman"/>
                <w:spacing w:val="-3"/>
                <w:sz w:val="21"/>
                <w:szCs w:val="21"/>
              </w:rPr>
              <w:t>m</w:t>
            </w:r>
          </w:p>
        </w:tc>
      </w:tr>
      <w:tr w14:paraId="25CDA8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94" w:hRule="atLeast"/>
          <w:jc w:val="center"/>
        </w:trPr>
        <w:tc>
          <w:tcPr>
            <w:tcW w:w="652" w:type="dxa"/>
            <w:vMerge w:val="continue"/>
            <w:tcBorders>
              <w:tl2br w:val="nil"/>
              <w:tr2bl w:val="nil"/>
            </w:tcBorders>
            <w:vAlign w:val="center"/>
          </w:tcPr>
          <w:p w14:paraId="6C5172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p>
        </w:tc>
        <w:tc>
          <w:tcPr>
            <w:tcW w:w="1222" w:type="dxa"/>
            <w:tcBorders>
              <w:tl2br w:val="nil"/>
              <w:tr2bl w:val="nil"/>
            </w:tcBorders>
            <w:vAlign w:val="center"/>
          </w:tcPr>
          <w:p w14:paraId="6A5BBBA8">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锦逸国际城</w:t>
            </w:r>
          </w:p>
        </w:tc>
        <w:tc>
          <w:tcPr>
            <w:tcW w:w="1466" w:type="dxa"/>
            <w:tcBorders>
              <w:tl2br w:val="nil"/>
              <w:tr2bl w:val="nil"/>
            </w:tcBorders>
            <w:vAlign w:val="center"/>
          </w:tcPr>
          <w:p w14:paraId="7AC399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108°4′43.65″</w:t>
            </w:r>
          </w:p>
        </w:tc>
        <w:tc>
          <w:tcPr>
            <w:tcW w:w="1266" w:type="dxa"/>
            <w:tcBorders>
              <w:tl2br w:val="nil"/>
              <w:tr2bl w:val="nil"/>
            </w:tcBorders>
            <w:vAlign w:val="center"/>
          </w:tcPr>
          <w:p w14:paraId="59B80E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34°15′18.94″</w:t>
            </w:r>
          </w:p>
        </w:tc>
        <w:tc>
          <w:tcPr>
            <w:tcW w:w="1211" w:type="dxa"/>
            <w:tcBorders>
              <w:tl2br w:val="nil"/>
              <w:tr2bl w:val="nil"/>
            </w:tcBorders>
            <w:vAlign w:val="center"/>
          </w:tcPr>
          <w:p w14:paraId="78AE240A">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医院</w:t>
            </w:r>
          </w:p>
        </w:tc>
        <w:tc>
          <w:tcPr>
            <w:tcW w:w="779" w:type="dxa"/>
            <w:vMerge w:val="continue"/>
            <w:tcBorders>
              <w:tl2br w:val="nil"/>
              <w:tr2bl w:val="nil"/>
            </w:tcBorders>
            <w:vAlign w:val="center"/>
          </w:tcPr>
          <w:p w14:paraId="64DEFC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p>
        </w:tc>
        <w:tc>
          <w:tcPr>
            <w:tcW w:w="870" w:type="dxa"/>
            <w:tcBorders>
              <w:tl2br w:val="nil"/>
              <w:tr2bl w:val="nil"/>
            </w:tcBorders>
            <w:vAlign w:val="center"/>
          </w:tcPr>
          <w:p w14:paraId="59E372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东侧</w:t>
            </w:r>
          </w:p>
        </w:tc>
        <w:tc>
          <w:tcPr>
            <w:tcW w:w="1032" w:type="dxa"/>
            <w:tcBorders>
              <w:tl2br w:val="nil"/>
              <w:tr2bl w:val="nil"/>
            </w:tcBorders>
            <w:vAlign w:val="center"/>
          </w:tcPr>
          <w:p w14:paraId="79F121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pacing w:val="4"/>
                <w:sz w:val="21"/>
                <w:szCs w:val="21"/>
                <w:lang w:val="en-US" w:eastAsia="zh-CN"/>
              </w:rPr>
              <w:t>370</w:t>
            </w:r>
            <w:r>
              <w:rPr>
                <w:rFonts w:hint="default" w:ascii="Times New Roman" w:hAnsi="Times New Roman" w:eastAsia="宋体" w:cs="Times New Roman"/>
                <w:spacing w:val="4"/>
                <w:sz w:val="21"/>
                <w:szCs w:val="21"/>
              </w:rPr>
              <w:t>m</w:t>
            </w:r>
          </w:p>
        </w:tc>
      </w:tr>
      <w:tr w14:paraId="411F4D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51" w:hRule="atLeast"/>
          <w:jc w:val="center"/>
        </w:trPr>
        <w:tc>
          <w:tcPr>
            <w:tcW w:w="652" w:type="dxa"/>
            <w:vMerge w:val="continue"/>
            <w:tcBorders>
              <w:tl2br w:val="nil"/>
              <w:tr2bl w:val="nil"/>
            </w:tcBorders>
            <w:vAlign w:val="center"/>
          </w:tcPr>
          <w:p w14:paraId="285F1B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p>
        </w:tc>
        <w:tc>
          <w:tcPr>
            <w:tcW w:w="1222" w:type="dxa"/>
            <w:tcBorders>
              <w:tl2br w:val="nil"/>
              <w:tr2bl w:val="nil"/>
            </w:tcBorders>
            <w:vAlign w:val="center"/>
          </w:tcPr>
          <w:p w14:paraId="397BDA25">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pacing w:val="7"/>
                <w:sz w:val="21"/>
                <w:szCs w:val="21"/>
                <w:lang w:val="en-US" w:eastAsia="zh-CN"/>
              </w:rPr>
              <w:t>温</w:t>
            </w:r>
            <w:r>
              <w:rPr>
                <w:rFonts w:hint="default" w:ascii="Times New Roman" w:hAnsi="Times New Roman" w:eastAsia="宋体" w:cs="Times New Roman"/>
                <w:spacing w:val="7"/>
                <w:sz w:val="21"/>
                <w:szCs w:val="21"/>
              </w:rPr>
              <w:t>馨</w:t>
            </w:r>
            <w:r>
              <w:rPr>
                <w:rFonts w:hint="eastAsia" w:ascii="Times New Roman" w:hAnsi="Times New Roman" w:eastAsia="宋体" w:cs="Times New Roman"/>
                <w:spacing w:val="7"/>
                <w:sz w:val="21"/>
                <w:szCs w:val="21"/>
                <w:lang w:val="en-US" w:eastAsia="zh-CN"/>
              </w:rPr>
              <w:t>家园</w:t>
            </w:r>
          </w:p>
        </w:tc>
        <w:tc>
          <w:tcPr>
            <w:tcW w:w="1466" w:type="dxa"/>
            <w:tcBorders>
              <w:tl2br w:val="nil"/>
              <w:tr2bl w:val="nil"/>
            </w:tcBorders>
            <w:vAlign w:val="center"/>
          </w:tcPr>
          <w:p w14:paraId="590E53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108°4′40.89″</w:t>
            </w:r>
          </w:p>
        </w:tc>
        <w:tc>
          <w:tcPr>
            <w:tcW w:w="1266" w:type="dxa"/>
            <w:tcBorders>
              <w:tl2br w:val="nil"/>
              <w:tr2bl w:val="nil"/>
            </w:tcBorders>
            <w:vAlign w:val="center"/>
          </w:tcPr>
          <w:p w14:paraId="374612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34°15′23.30″</w:t>
            </w:r>
          </w:p>
        </w:tc>
        <w:tc>
          <w:tcPr>
            <w:tcW w:w="1211" w:type="dxa"/>
            <w:tcBorders>
              <w:tl2br w:val="nil"/>
              <w:tr2bl w:val="nil"/>
            </w:tcBorders>
            <w:vAlign w:val="center"/>
          </w:tcPr>
          <w:p w14:paraId="33B5BA97">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居民</w:t>
            </w:r>
          </w:p>
        </w:tc>
        <w:tc>
          <w:tcPr>
            <w:tcW w:w="779" w:type="dxa"/>
            <w:vMerge w:val="continue"/>
            <w:tcBorders>
              <w:tl2br w:val="nil"/>
              <w:tr2bl w:val="nil"/>
            </w:tcBorders>
            <w:vAlign w:val="center"/>
          </w:tcPr>
          <w:p w14:paraId="13D728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p>
        </w:tc>
        <w:tc>
          <w:tcPr>
            <w:tcW w:w="870" w:type="dxa"/>
            <w:tcBorders>
              <w:tl2br w:val="nil"/>
              <w:tr2bl w:val="nil"/>
            </w:tcBorders>
            <w:vAlign w:val="center"/>
          </w:tcPr>
          <w:p w14:paraId="0E6F62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东北</w:t>
            </w:r>
          </w:p>
        </w:tc>
        <w:tc>
          <w:tcPr>
            <w:tcW w:w="1032" w:type="dxa"/>
            <w:tcBorders>
              <w:tl2br w:val="nil"/>
              <w:tr2bl w:val="nil"/>
            </w:tcBorders>
            <w:vAlign w:val="center"/>
          </w:tcPr>
          <w:p w14:paraId="4DA909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pacing w:val="4"/>
                <w:sz w:val="21"/>
                <w:szCs w:val="21"/>
                <w:lang w:val="en-US" w:eastAsia="zh-CN"/>
              </w:rPr>
              <w:t>80</w:t>
            </w:r>
            <w:r>
              <w:rPr>
                <w:rFonts w:hint="default" w:ascii="Times New Roman" w:hAnsi="Times New Roman" w:eastAsia="宋体" w:cs="Times New Roman"/>
                <w:spacing w:val="4"/>
                <w:sz w:val="21"/>
                <w:szCs w:val="21"/>
              </w:rPr>
              <w:t>m</w:t>
            </w:r>
          </w:p>
        </w:tc>
      </w:tr>
      <w:tr w14:paraId="135A4E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88" w:hRule="atLeast"/>
          <w:jc w:val="center"/>
        </w:trPr>
        <w:tc>
          <w:tcPr>
            <w:tcW w:w="652" w:type="dxa"/>
            <w:vMerge w:val="continue"/>
            <w:tcBorders>
              <w:tl2br w:val="nil"/>
              <w:tr2bl w:val="nil"/>
            </w:tcBorders>
            <w:vAlign w:val="center"/>
          </w:tcPr>
          <w:p w14:paraId="2940FF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p>
        </w:tc>
        <w:tc>
          <w:tcPr>
            <w:tcW w:w="1222" w:type="dxa"/>
            <w:tcBorders>
              <w:tl2br w:val="nil"/>
              <w:tr2bl w:val="nil"/>
            </w:tcBorders>
            <w:vAlign w:val="center"/>
          </w:tcPr>
          <w:p w14:paraId="050F9C69">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pacing w:val="7"/>
                <w:sz w:val="21"/>
                <w:szCs w:val="21"/>
                <w:lang w:val="en-US" w:eastAsia="zh-CN"/>
              </w:rPr>
              <w:t>温馨社区居委会</w:t>
            </w:r>
          </w:p>
        </w:tc>
        <w:tc>
          <w:tcPr>
            <w:tcW w:w="1466" w:type="dxa"/>
            <w:tcBorders>
              <w:tl2br w:val="nil"/>
              <w:tr2bl w:val="nil"/>
            </w:tcBorders>
            <w:vAlign w:val="center"/>
          </w:tcPr>
          <w:p w14:paraId="7E7854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108°4′41.63″</w:t>
            </w:r>
          </w:p>
        </w:tc>
        <w:tc>
          <w:tcPr>
            <w:tcW w:w="1266" w:type="dxa"/>
            <w:tcBorders>
              <w:tl2br w:val="nil"/>
              <w:tr2bl w:val="nil"/>
            </w:tcBorders>
            <w:vAlign w:val="center"/>
          </w:tcPr>
          <w:p w14:paraId="1C7F2E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34°15′20.74″</w:t>
            </w:r>
          </w:p>
        </w:tc>
        <w:tc>
          <w:tcPr>
            <w:tcW w:w="1211" w:type="dxa"/>
            <w:tcBorders>
              <w:tl2br w:val="nil"/>
              <w:tr2bl w:val="nil"/>
            </w:tcBorders>
            <w:vAlign w:val="center"/>
          </w:tcPr>
          <w:p w14:paraId="27D7AB83">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居民</w:t>
            </w:r>
          </w:p>
        </w:tc>
        <w:tc>
          <w:tcPr>
            <w:tcW w:w="779" w:type="dxa"/>
            <w:vMerge w:val="continue"/>
            <w:tcBorders>
              <w:tl2br w:val="nil"/>
              <w:tr2bl w:val="nil"/>
            </w:tcBorders>
            <w:vAlign w:val="center"/>
          </w:tcPr>
          <w:p w14:paraId="66F3FE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p>
        </w:tc>
        <w:tc>
          <w:tcPr>
            <w:tcW w:w="870" w:type="dxa"/>
            <w:tcBorders>
              <w:tl2br w:val="nil"/>
              <w:tr2bl w:val="nil"/>
            </w:tcBorders>
            <w:vAlign w:val="center"/>
          </w:tcPr>
          <w:p w14:paraId="0910BA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东侧</w:t>
            </w:r>
          </w:p>
        </w:tc>
        <w:tc>
          <w:tcPr>
            <w:tcW w:w="1032" w:type="dxa"/>
            <w:tcBorders>
              <w:tl2br w:val="nil"/>
              <w:tr2bl w:val="nil"/>
            </w:tcBorders>
            <w:vAlign w:val="center"/>
          </w:tcPr>
          <w:p w14:paraId="7EFA98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pacing w:val="4"/>
                <w:sz w:val="21"/>
                <w:szCs w:val="21"/>
                <w:lang w:val="en-US" w:eastAsia="zh-CN"/>
              </w:rPr>
              <w:t>160</w:t>
            </w:r>
            <w:r>
              <w:rPr>
                <w:rFonts w:hint="default" w:ascii="Times New Roman" w:hAnsi="Times New Roman" w:eastAsia="宋体" w:cs="Times New Roman"/>
                <w:spacing w:val="4"/>
                <w:sz w:val="21"/>
                <w:szCs w:val="21"/>
              </w:rPr>
              <w:t>m</w:t>
            </w:r>
          </w:p>
        </w:tc>
      </w:tr>
      <w:tr w14:paraId="461867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652" w:type="dxa"/>
            <w:vMerge w:val="continue"/>
            <w:tcBorders>
              <w:tl2br w:val="nil"/>
              <w:tr2bl w:val="nil"/>
            </w:tcBorders>
            <w:vAlign w:val="center"/>
          </w:tcPr>
          <w:p w14:paraId="3D9119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p>
        </w:tc>
        <w:tc>
          <w:tcPr>
            <w:tcW w:w="1222" w:type="dxa"/>
            <w:tcBorders>
              <w:tl2br w:val="nil"/>
              <w:tr2bl w:val="nil"/>
            </w:tcBorders>
            <w:vAlign w:val="center"/>
          </w:tcPr>
          <w:p w14:paraId="393297D3">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pacing w:val="7"/>
                <w:sz w:val="21"/>
                <w:szCs w:val="21"/>
                <w:lang w:val="en-US" w:eastAsia="zh-CN"/>
              </w:rPr>
              <w:t>西苑幼儿园</w:t>
            </w:r>
          </w:p>
        </w:tc>
        <w:tc>
          <w:tcPr>
            <w:tcW w:w="1466" w:type="dxa"/>
            <w:tcBorders>
              <w:tl2br w:val="nil"/>
              <w:tr2bl w:val="nil"/>
            </w:tcBorders>
            <w:vAlign w:val="center"/>
          </w:tcPr>
          <w:p w14:paraId="0B834C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108°4′45.52″</w:t>
            </w:r>
          </w:p>
        </w:tc>
        <w:tc>
          <w:tcPr>
            <w:tcW w:w="1266" w:type="dxa"/>
            <w:tcBorders>
              <w:tl2br w:val="nil"/>
              <w:tr2bl w:val="nil"/>
            </w:tcBorders>
            <w:vAlign w:val="center"/>
          </w:tcPr>
          <w:p w14:paraId="10393C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34°15′33.51″</w:t>
            </w:r>
          </w:p>
        </w:tc>
        <w:tc>
          <w:tcPr>
            <w:tcW w:w="1211" w:type="dxa"/>
            <w:tcBorders>
              <w:tl2br w:val="nil"/>
              <w:tr2bl w:val="nil"/>
            </w:tcBorders>
            <w:vAlign w:val="center"/>
          </w:tcPr>
          <w:p w14:paraId="6E1EDD1F">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pacing w:val="3"/>
                <w:sz w:val="21"/>
                <w:szCs w:val="21"/>
                <w:lang w:val="en-US" w:eastAsia="zh-CN"/>
              </w:rPr>
              <w:t>学校</w:t>
            </w:r>
          </w:p>
        </w:tc>
        <w:tc>
          <w:tcPr>
            <w:tcW w:w="779" w:type="dxa"/>
            <w:vMerge w:val="continue"/>
            <w:tcBorders>
              <w:tl2br w:val="nil"/>
              <w:tr2bl w:val="nil"/>
            </w:tcBorders>
            <w:vAlign w:val="center"/>
          </w:tcPr>
          <w:p w14:paraId="1982BC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p>
        </w:tc>
        <w:tc>
          <w:tcPr>
            <w:tcW w:w="870" w:type="dxa"/>
            <w:tcBorders>
              <w:tl2br w:val="nil"/>
              <w:tr2bl w:val="nil"/>
            </w:tcBorders>
            <w:vAlign w:val="center"/>
          </w:tcPr>
          <w:p w14:paraId="7EA0BD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东北</w:t>
            </w:r>
          </w:p>
        </w:tc>
        <w:tc>
          <w:tcPr>
            <w:tcW w:w="1032" w:type="dxa"/>
            <w:tcBorders>
              <w:tl2br w:val="nil"/>
              <w:tr2bl w:val="nil"/>
            </w:tcBorders>
            <w:vAlign w:val="center"/>
          </w:tcPr>
          <w:p w14:paraId="24FE8E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4</w:t>
            </w:r>
            <w:r>
              <w:rPr>
                <w:rFonts w:hint="eastAsia" w:ascii="Times New Roman" w:hAnsi="Times New Roman" w:eastAsia="宋体" w:cs="Times New Roman"/>
                <w:spacing w:val="4"/>
                <w:sz w:val="21"/>
                <w:szCs w:val="21"/>
                <w:lang w:val="en-US" w:eastAsia="zh-CN"/>
              </w:rPr>
              <w:t>62</w:t>
            </w:r>
            <w:r>
              <w:rPr>
                <w:rFonts w:hint="default" w:ascii="Times New Roman" w:hAnsi="Times New Roman" w:eastAsia="宋体" w:cs="Times New Roman"/>
                <w:spacing w:val="4"/>
                <w:sz w:val="21"/>
                <w:szCs w:val="21"/>
              </w:rPr>
              <w:t>m</w:t>
            </w:r>
          </w:p>
        </w:tc>
      </w:tr>
      <w:tr w14:paraId="6E9B4E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88" w:hRule="atLeast"/>
          <w:jc w:val="center"/>
        </w:trPr>
        <w:tc>
          <w:tcPr>
            <w:tcW w:w="652" w:type="dxa"/>
            <w:vMerge w:val="continue"/>
            <w:tcBorders>
              <w:tl2br w:val="nil"/>
              <w:tr2bl w:val="nil"/>
            </w:tcBorders>
            <w:vAlign w:val="center"/>
          </w:tcPr>
          <w:p w14:paraId="382895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p>
        </w:tc>
        <w:tc>
          <w:tcPr>
            <w:tcW w:w="1222" w:type="dxa"/>
            <w:tcBorders>
              <w:tl2br w:val="nil"/>
              <w:tr2bl w:val="nil"/>
            </w:tcBorders>
            <w:vAlign w:val="center"/>
          </w:tcPr>
          <w:p w14:paraId="38E344A6">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pacing w:val="7"/>
                <w:sz w:val="21"/>
                <w:szCs w:val="21"/>
                <w:lang w:val="en-US" w:eastAsia="zh-CN"/>
              </w:rPr>
            </w:pPr>
            <w:r>
              <w:rPr>
                <w:rFonts w:hint="eastAsia" w:ascii="Times New Roman" w:hAnsi="Times New Roman" w:cs="Times New Roman"/>
                <w:spacing w:val="7"/>
                <w:sz w:val="21"/>
                <w:szCs w:val="21"/>
                <w:lang w:val="en-US" w:eastAsia="zh-CN"/>
              </w:rPr>
              <w:t>西农大实验幼儿园</w:t>
            </w:r>
          </w:p>
        </w:tc>
        <w:tc>
          <w:tcPr>
            <w:tcW w:w="1466" w:type="dxa"/>
            <w:tcBorders>
              <w:tl2br w:val="nil"/>
              <w:tr2bl w:val="nil"/>
            </w:tcBorders>
            <w:vAlign w:val="center"/>
          </w:tcPr>
          <w:p w14:paraId="62D10F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108°4′25.00″</w:t>
            </w:r>
          </w:p>
        </w:tc>
        <w:tc>
          <w:tcPr>
            <w:tcW w:w="1266" w:type="dxa"/>
            <w:tcBorders>
              <w:tl2br w:val="nil"/>
              <w:tr2bl w:val="nil"/>
            </w:tcBorders>
            <w:vAlign w:val="center"/>
          </w:tcPr>
          <w:p w14:paraId="1A434B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34°15′24.35″</w:t>
            </w:r>
          </w:p>
        </w:tc>
        <w:tc>
          <w:tcPr>
            <w:tcW w:w="1211" w:type="dxa"/>
            <w:tcBorders>
              <w:tl2br w:val="nil"/>
              <w:tr2bl w:val="nil"/>
            </w:tcBorders>
            <w:vAlign w:val="center"/>
          </w:tcPr>
          <w:p w14:paraId="4C1302E2">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spacing w:val="3"/>
                <w:sz w:val="21"/>
                <w:szCs w:val="21"/>
                <w:lang w:val="en-US" w:eastAsia="zh-CN"/>
              </w:rPr>
            </w:pPr>
            <w:r>
              <w:rPr>
                <w:rFonts w:hint="eastAsia" w:ascii="Times New Roman" w:hAnsi="Times New Roman" w:eastAsia="宋体" w:cs="Times New Roman"/>
                <w:spacing w:val="3"/>
                <w:sz w:val="21"/>
                <w:szCs w:val="21"/>
                <w:lang w:val="en-US" w:eastAsia="zh-CN"/>
              </w:rPr>
              <w:t>学校</w:t>
            </w:r>
          </w:p>
        </w:tc>
        <w:tc>
          <w:tcPr>
            <w:tcW w:w="779" w:type="dxa"/>
            <w:vMerge w:val="continue"/>
            <w:tcBorders>
              <w:tl2br w:val="nil"/>
              <w:tr2bl w:val="nil"/>
            </w:tcBorders>
            <w:vAlign w:val="center"/>
          </w:tcPr>
          <w:p w14:paraId="42A4A4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p>
        </w:tc>
        <w:tc>
          <w:tcPr>
            <w:tcW w:w="870" w:type="dxa"/>
            <w:tcBorders>
              <w:tl2br w:val="nil"/>
              <w:tr2bl w:val="nil"/>
            </w:tcBorders>
            <w:vAlign w:val="center"/>
          </w:tcPr>
          <w:p w14:paraId="31C4FF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西北</w:t>
            </w:r>
          </w:p>
        </w:tc>
        <w:tc>
          <w:tcPr>
            <w:tcW w:w="1032" w:type="dxa"/>
            <w:tcBorders>
              <w:tl2br w:val="nil"/>
              <w:tr2bl w:val="nil"/>
            </w:tcBorders>
            <w:vAlign w:val="center"/>
          </w:tcPr>
          <w:p w14:paraId="731001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pacing w:val="4"/>
                <w:sz w:val="21"/>
                <w:szCs w:val="21"/>
                <w:lang w:val="en-US" w:eastAsia="zh-CN"/>
              </w:rPr>
            </w:pPr>
            <w:r>
              <w:rPr>
                <w:rFonts w:hint="eastAsia" w:cs="Times New Roman"/>
                <w:spacing w:val="4"/>
                <w:sz w:val="21"/>
                <w:szCs w:val="21"/>
                <w:lang w:val="en-US" w:eastAsia="zh-CN"/>
              </w:rPr>
              <w:t>174m</w:t>
            </w:r>
          </w:p>
        </w:tc>
      </w:tr>
      <w:tr w14:paraId="52FC98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88" w:hRule="atLeast"/>
          <w:jc w:val="center"/>
        </w:trPr>
        <w:tc>
          <w:tcPr>
            <w:tcW w:w="652" w:type="dxa"/>
            <w:vMerge w:val="continue"/>
            <w:tcBorders>
              <w:tl2br w:val="nil"/>
              <w:tr2bl w:val="nil"/>
            </w:tcBorders>
            <w:vAlign w:val="center"/>
          </w:tcPr>
          <w:p w14:paraId="26A6E0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p>
        </w:tc>
        <w:tc>
          <w:tcPr>
            <w:tcW w:w="1222" w:type="dxa"/>
            <w:tcBorders>
              <w:tl2br w:val="nil"/>
              <w:tr2bl w:val="nil"/>
            </w:tcBorders>
            <w:vAlign w:val="center"/>
          </w:tcPr>
          <w:p w14:paraId="10575E44">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pacing w:val="7"/>
                <w:sz w:val="21"/>
                <w:szCs w:val="21"/>
                <w:lang w:val="en-US" w:eastAsia="zh-CN"/>
              </w:rPr>
              <w:t>锦绣花城北区</w:t>
            </w:r>
          </w:p>
        </w:tc>
        <w:tc>
          <w:tcPr>
            <w:tcW w:w="1466" w:type="dxa"/>
            <w:tcBorders>
              <w:tl2br w:val="nil"/>
              <w:tr2bl w:val="nil"/>
            </w:tcBorders>
            <w:vAlign w:val="center"/>
          </w:tcPr>
          <w:p w14:paraId="0079AD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108°4′49.86″</w:t>
            </w:r>
          </w:p>
        </w:tc>
        <w:tc>
          <w:tcPr>
            <w:tcW w:w="1266" w:type="dxa"/>
            <w:tcBorders>
              <w:tl2br w:val="nil"/>
              <w:tr2bl w:val="nil"/>
            </w:tcBorders>
            <w:vAlign w:val="center"/>
          </w:tcPr>
          <w:p w14:paraId="432917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34°15′3.96″</w:t>
            </w:r>
          </w:p>
        </w:tc>
        <w:tc>
          <w:tcPr>
            <w:tcW w:w="1211" w:type="dxa"/>
            <w:tcBorders>
              <w:tl2br w:val="nil"/>
              <w:tr2bl w:val="nil"/>
            </w:tcBorders>
            <w:vAlign w:val="center"/>
          </w:tcPr>
          <w:p w14:paraId="7F6AE5F4">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居民</w:t>
            </w:r>
          </w:p>
        </w:tc>
        <w:tc>
          <w:tcPr>
            <w:tcW w:w="779" w:type="dxa"/>
            <w:vMerge w:val="continue"/>
            <w:tcBorders>
              <w:tl2br w:val="nil"/>
              <w:tr2bl w:val="nil"/>
            </w:tcBorders>
            <w:vAlign w:val="center"/>
          </w:tcPr>
          <w:p w14:paraId="75368A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p>
        </w:tc>
        <w:tc>
          <w:tcPr>
            <w:tcW w:w="870" w:type="dxa"/>
            <w:tcBorders>
              <w:tl2br w:val="nil"/>
              <w:tr2bl w:val="nil"/>
            </w:tcBorders>
            <w:vAlign w:val="center"/>
          </w:tcPr>
          <w:p w14:paraId="2D6953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东南</w:t>
            </w:r>
          </w:p>
        </w:tc>
        <w:tc>
          <w:tcPr>
            <w:tcW w:w="1032" w:type="dxa"/>
            <w:tcBorders>
              <w:tl2br w:val="nil"/>
              <w:tr2bl w:val="nil"/>
            </w:tcBorders>
            <w:vAlign w:val="center"/>
          </w:tcPr>
          <w:p w14:paraId="523AD4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pacing w:val="3"/>
                <w:sz w:val="21"/>
                <w:szCs w:val="21"/>
                <w:lang w:val="en-US" w:eastAsia="zh-CN"/>
              </w:rPr>
              <w:t>490</w:t>
            </w:r>
            <w:r>
              <w:rPr>
                <w:rFonts w:hint="default" w:ascii="Times New Roman" w:hAnsi="Times New Roman" w:eastAsia="宋体" w:cs="Times New Roman"/>
                <w:spacing w:val="3"/>
                <w:sz w:val="21"/>
                <w:szCs w:val="21"/>
              </w:rPr>
              <w:t>m</w:t>
            </w:r>
          </w:p>
        </w:tc>
      </w:tr>
      <w:tr w14:paraId="2998AC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88" w:hRule="atLeast"/>
          <w:jc w:val="center"/>
        </w:trPr>
        <w:tc>
          <w:tcPr>
            <w:tcW w:w="652" w:type="dxa"/>
            <w:vMerge w:val="continue"/>
            <w:tcBorders>
              <w:tl2br w:val="nil"/>
              <w:tr2bl w:val="nil"/>
            </w:tcBorders>
            <w:vAlign w:val="center"/>
          </w:tcPr>
          <w:p w14:paraId="342A68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p>
        </w:tc>
        <w:tc>
          <w:tcPr>
            <w:tcW w:w="1222" w:type="dxa"/>
            <w:tcBorders>
              <w:tl2br w:val="nil"/>
              <w:tr2bl w:val="nil"/>
            </w:tcBorders>
            <w:vAlign w:val="center"/>
          </w:tcPr>
          <w:p w14:paraId="20390E5F">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pacing w:val="7"/>
                <w:sz w:val="21"/>
                <w:szCs w:val="21"/>
                <w:lang w:val="en-US" w:eastAsia="zh-CN"/>
              </w:rPr>
              <w:t>杨凌高新第四小学</w:t>
            </w:r>
          </w:p>
        </w:tc>
        <w:tc>
          <w:tcPr>
            <w:tcW w:w="1466" w:type="dxa"/>
            <w:tcBorders>
              <w:tl2br w:val="nil"/>
              <w:tr2bl w:val="nil"/>
            </w:tcBorders>
            <w:vAlign w:val="center"/>
          </w:tcPr>
          <w:p w14:paraId="68BD04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108°4′26.14″</w:t>
            </w:r>
          </w:p>
        </w:tc>
        <w:tc>
          <w:tcPr>
            <w:tcW w:w="1266" w:type="dxa"/>
            <w:tcBorders>
              <w:tl2br w:val="nil"/>
              <w:tr2bl w:val="nil"/>
            </w:tcBorders>
            <w:vAlign w:val="center"/>
          </w:tcPr>
          <w:p w14:paraId="64F082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34°15′2.26″</w:t>
            </w:r>
          </w:p>
        </w:tc>
        <w:tc>
          <w:tcPr>
            <w:tcW w:w="1211" w:type="dxa"/>
            <w:tcBorders>
              <w:tl2br w:val="nil"/>
              <w:tr2bl w:val="nil"/>
            </w:tcBorders>
            <w:vAlign w:val="center"/>
          </w:tcPr>
          <w:p w14:paraId="4F26A859">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pacing w:val="3"/>
                <w:sz w:val="21"/>
                <w:szCs w:val="21"/>
                <w:lang w:val="en-US" w:eastAsia="zh-CN"/>
              </w:rPr>
              <w:t>学校</w:t>
            </w:r>
          </w:p>
        </w:tc>
        <w:tc>
          <w:tcPr>
            <w:tcW w:w="779" w:type="dxa"/>
            <w:vMerge w:val="continue"/>
            <w:tcBorders>
              <w:tl2br w:val="nil"/>
              <w:tr2bl w:val="nil"/>
            </w:tcBorders>
            <w:vAlign w:val="center"/>
          </w:tcPr>
          <w:p w14:paraId="2A7B19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p>
        </w:tc>
        <w:tc>
          <w:tcPr>
            <w:tcW w:w="870" w:type="dxa"/>
            <w:tcBorders>
              <w:tl2br w:val="nil"/>
              <w:tr2bl w:val="nil"/>
            </w:tcBorders>
            <w:vAlign w:val="center"/>
          </w:tcPr>
          <w:p w14:paraId="104D1B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南侧</w:t>
            </w:r>
          </w:p>
        </w:tc>
        <w:tc>
          <w:tcPr>
            <w:tcW w:w="1032" w:type="dxa"/>
            <w:tcBorders>
              <w:tl2br w:val="nil"/>
              <w:tr2bl w:val="nil"/>
            </w:tcBorders>
            <w:vAlign w:val="center"/>
          </w:tcPr>
          <w:p w14:paraId="00A9DC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pacing w:val="4"/>
                <w:sz w:val="21"/>
                <w:szCs w:val="21"/>
                <w:lang w:val="en-US" w:eastAsia="zh-CN"/>
              </w:rPr>
              <w:t>490</w:t>
            </w:r>
            <w:r>
              <w:rPr>
                <w:rFonts w:hint="default" w:ascii="Times New Roman" w:hAnsi="Times New Roman" w:eastAsia="宋体" w:cs="Times New Roman"/>
                <w:spacing w:val="4"/>
                <w:sz w:val="21"/>
                <w:szCs w:val="21"/>
              </w:rPr>
              <w:t>m</w:t>
            </w:r>
          </w:p>
        </w:tc>
      </w:tr>
      <w:tr w14:paraId="6A2DC0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90" w:hRule="atLeast"/>
          <w:jc w:val="center"/>
        </w:trPr>
        <w:tc>
          <w:tcPr>
            <w:tcW w:w="652" w:type="dxa"/>
            <w:vMerge w:val="continue"/>
            <w:tcBorders>
              <w:tl2br w:val="nil"/>
              <w:tr2bl w:val="nil"/>
            </w:tcBorders>
            <w:vAlign w:val="center"/>
          </w:tcPr>
          <w:p w14:paraId="604F9B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p>
        </w:tc>
        <w:tc>
          <w:tcPr>
            <w:tcW w:w="1222" w:type="dxa"/>
            <w:tcBorders>
              <w:tl2br w:val="nil"/>
              <w:tr2bl w:val="nil"/>
            </w:tcBorders>
            <w:vAlign w:val="center"/>
          </w:tcPr>
          <w:p w14:paraId="71F3D3F9">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pacing w:val="7"/>
                <w:sz w:val="21"/>
                <w:szCs w:val="21"/>
                <w:lang w:val="en-US" w:eastAsia="zh-CN"/>
              </w:rPr>
            </w:pPr>
            <w:r>
              <w:rPr>
                <w:rFonts w:hint="eastAsia" w:ascii="Times New Roman" w:hAnsi="Times New Roman" w:eastAsia="宋体" w:cs="Times New Roman"/>
                <w:spacing w:val="7"/>
                <w:sz w:val="21"/>
                <w:szCs w:val="21"/>
                <w:lang w:val="en-US" w:eastAsia="zh-CN"/>
              </w:rPr>
              <w:t>李台村住户</w:t>
            </w:r>
          </w:p>
        </w:tc>
        <w:tc>
          <w:tcPr>
            <w:tcW w:w="1466" w:type="dxa"/>
            <w:tcBorders>
              <w:tl2br w:val="nil"/>
              <w:tr2bl w:val="nil"/>
            </w:tcBorders>
            <w:vAlign w:val="center"/>
          </w:tcPr>
          <w:p w14:paraId="7A65AB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pacing w:val="1"/>
                <w:sz w:val="21"/>
                <w:szCs w:val="21"/>
              </w:rPr>
            </w:pPr>
            <w:r>
              <w:rPr>
                <w:rFonts w:hint="default" w:ascii="Times New Roman" w:hAnsi="Times New Roman" w:eastAsia="宋体" w:cs="Times New Roman"/>
                <w:spacing w:val="1"/>
                <w:sz w:val="21"/>
                <w:szCs w:val="21"/>
              </w:rPr>
              <w:t>108°4′35.21″</w:t>
            </w:r>
          </w:p>
        </w:tc>
        <w:tc>
          <w:tcPr>
            <w:tcW w:w="1266" w:type="dxa"/>
            <w:tcBorders>
              <w:tl2br w:val="nil"/>
              <w:tr2bl w:val="nil"/>
            </w:tcBorders>
            <w:vAlign w:val="center"/>
          </w:tcPr>
          <w:p w14:paraId="253C3C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pacing w:val="-1"/>
                <w:sz w:val="21"/>
                <w:szCs w:val="21"/>
              </w:rPr>
            </w:pPr>
            <w:r>
              <w:rPr>
                <w:rFonts w:hint="default" w:ascii="Times New Roman" w:hAnsi="Times New Roman" w:eastAsia="宋体" w:cs="Times New Roman"/>
                <w:spacing w:val="1"/>
                <w:sz w:val="21"/>
                <w:szCs w:val="21"/>
              </w:rPr>
              <w:t>34°15′21.06″</w:t>
            </w:r>
          </w:p>
        </w:tc>
        <w:tc>
          <w:tcPr>
            <w:tcW w:w="1211" w:type="dxa"/>
            <w:tcBorders>
              <w:tl2br w:val="nil"/>
              <w:tr2bl w:val="nil"/>
            </w:tcBorders>
            <w:vAlign w:val="center"/>
          </w:tcPr>
          <w:p w14:paraId="51AA0B3E">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pacing w:val="3"/>
                <w:sz w:val="21"/>
                <w:szCs w:val="21"/>
              </w:rPr>
            </w:pPr>
            <w:r>
              <w:rPr>
                <w:rFonts w:hint="default" w:ascii="Times New Roman" w:hAnsi="Times New Roman" w:eastAsia="宋体" w:cs="Times New Roman"/>
                <w:spacing w:val="3"/>
                <w:sz w:val="21"/>
                <w:szCs w:val="21"/>
              </w:rPr>
              <w:t>居民</w:t>
            </w:r>
          </w:p>
        </w:tc>
        <w:tc>
          <w:tcPr>
            <w:tcW w:w="779" w:type="dxa"/>
            <w:vMerge w:val="continue"/>
            <w:tcBorders>
              <w:tl2br w:val="nil"/>
              <w:tr2bl w:val="nil"/>
            </w:tcBorders>
            <w:vAlign w:val="center"/>
          </w:tcPr>
          <w:p w14:paraId="0E4510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p>
        </w:tc>
        <w:tc>
          <w:tcPr>
            <w:tcW w:w="870" w:type="dxa"/>
            <w:tcBorders>
              <w:tl2br w:val="nil"/>
              <w:tr2bl w:val="nil"/>
            </w:tcBorders>
            <w:vAlign w:val="center"/>
          </w:tcPr>
          <w:p w14:paraId="2AF160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东侧</w:t>
            </w:r>
          </w:p>
        </w:tc>
        <w:tc>
          <w:tcPr>
            <w:tcW w:w="1032" w:type="dxa"/>
            <w:tcBorders>
              <w:tl2br w:val="nil"/>
              <w:tr2bl w:val="nil"/>
            </w:tcBorders>
            <w:vAlign w:val="center"/>
          </w:tcPr>
          <w:p w14:paraId="419D66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pacing w:val="4"/>
                <w:sz w:val="21"/>
                <w:szCs w:val="21"/>
                <w:lang w:val="en-US" w:eastAsia="zh-CN"/>
              </w:rPr>
            </w:pPr>
            <w:r>
              <w:rPr>
                <w:rFonts w:hint="eastAsia" w:ascii="Times New Roman" w:hAnsi="Times New Roman" w:eastAsia="宋体" w:cs="Times New Roman"/>
                <w:spacing w:val="4"/>
                <w:sz w:val="21"/>
                <w:szCs w:val="21"/>
                <w:lang w:val="en-US" w:eastAsia="zh-CN"/>
              </w:rPr>
              <w:t>5m</w:t>
            </w:r>
          </w:p>
        </w:tc>
      </w:tr>
      <w:tr w14:paraId="5B7722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8" w:hRule="atLeast"/>
          <w:jc w:val="center"/>
        </w:trPr>
        <w:tc>
          <w:tcPr>
            <w:tcW w:w="652" w:type="dxa"/>
            <w:vMerge w:val="continue"/>
            <w:tcBorders>
              <w:tl2br w:val="nil"/>
              <w:tr2bl w:val="nil"/>
            </w:tcBorders>
            <w:vAlign w:val="center"/>
          </w:tcPr>
          <w:p w14:paraId="36C246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p>
        </w:tc>
        <w:tc>
          <w:tcPr>
            <w:tcW w:w="1222" w:type="dxa"/>
            <w:tcBorders>
              <w:tl2br w:val="nil"/>
              <w:tr2bl w:val="nil"/>
            </w:tcBorders>
            <w:vAlign w:val="center"/>
          </w:tcPr>
          <w:p w14:paraId="7D92632E">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pacing w:val="7"/>
                <w:sz w:val="21"/>
                <w:szCs w:val="21"/>
                <w:lang w:val="en-US" w:eastAsia="zh-CN"/>
              </w:rPr>
            </w:pPr>
            <w:r>
              <w:rPr>
                <w:rFonts w:hint="eastAsia" w:ascii="Times New Roman" w:hAnsi="Times New Roman" w:eastAsia="宋体" w:cs="Times New Roman"/>
                <w:spacing w:val="7"/>
                <w:sz w:val="21"/>
                <w:szCs w:val="21"/>
                <w:lang w:val="en-US" w:eastAsia="zh-CN"/>
              </w:rPr>
              <w:t>杜家坡村</w:t>
            </w:r>
          </w:p>
        </w:tc>
        <w:tc>
          <w:tcPr>
            <w:tcW w:w="1466" w:type="dxa"/>
            <w:tcBorders>
              <w:tl2br w:val="nil"/>
              <w:tr2bl w:val="nil"/>
            </w:tcBorders>
            <w:vAlign w:val="center"/>
          </w:tcPr>
          <w:p w14:paraId="698FE1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pacing w:val="1"/>
                <w:sz w:val="21"/>
                <w:szCs w:val="21"/>
              </w:rPr>
            </w:pPr>
            <w:r>
              <w:rPr>
                <w:rFonts w:hint="default" w:ascii="Times New Roman" w:hAnsi="Times New Roman" w:eastAsia="宋体" w:cs="Times New Roman"/>
                <w:spacing w:val="1"/>
                <w:sz w:val="21"/>
                <w:szCs w:val="21"/>
              </w:rPr>
              <w:t>108°4′24.20″</w:t>
            </w:r>
          </w:p>
        </w:tc>
        <w:tc>
          <w:tcPr>
            <w:tcW w:w="1266" w:type="dxa"/>
            <w:tcBorders>
              <w:tl2br w:val="nil"/>
              <w:tr2bl w:val="nil"/>
            </w:tcBorders>
            <w:vAlign w:val="center"/>
          </w:tcPr>
          <w:p w14:paraId="18F50B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pacing w:val="-1"/>
                <w:sz w:val="21"/>
                <w:szCs w:val="21"/>
              </w:rPr>
            </w:pPr>
            <w:r>
              <w:rPr>
                <w:rFonts w:hint="default" w:ascii="Times New Roman" w:hAnsi="Times New Roman" w:eastAsia="宋体" w:cs="Times New Roman"/>
                <w:spacing w:val="1"/>
                <w:sz w:val="21"/>
                <w:szCs w:val="21"/>
              </w:rPr>
              <w:t>34°15′13.53″</w:t>
            </w:r>
          </w:p>
        </w:tc>
        <w:tc>
          <w:tcPr>
            <w:tcW w:w="1211" w:type="dxa"/>
            <w:tcBorders>
              <w:tl2br w:val="nil"/>
              <w:tr2bl w:val="nil"/>
            </w:tcBorders>
            <w:vAlign w:val="center"/>
          </w:tcPr>
          <w:p w14:paraId="3271BA47">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pacing w:val="3"/>
                <w:sz w:val="21"/>
                <w:szCs w:val="21"/>
              </w:rPr>
            </w:pPr>
            <w:r>
              <w:rPr>
                <w:rFonts w:hint="default" w:ascii="Times New Roman" w:hAnsi="Times New Roman" w:eastAsia="宋体" w:cs="Times New Roman"/>
                <w:spacing w:val="3"/>
                <w:sz w:val="21"/>
                <w:szCs w:val="21"/>
              </w:rPr>
              <w:t>居民</w:t>
            </w:r>
          </w:p>
        </w:tc>
        <w:tc>
          <w:tcPr>
            <w:tcW w:w="779" w:type="dxa"/>
            <w:vMerge w:val="continue"/>
            <w:tcBorders>
              <w:tl2br w:val="nil"/>
              <w:tr2bl w:val="nil"/>
            </w:tcBorders>
            <w:vAlign w:val="center"/>
          </w:tcPr>
          <w:p w14:paraId="5CF616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p>
        </w:tc>
        <w:tc>
          <w:tcPr>
            <w:tcW w:w="870" w:type="dxa"/>
            <w:tcBorders>
              <w:tl2br w:val="nil"/>
              <w:tr2bl w:val="nil"/>
            </w:tcBorders>
            <w:vAlign w:val="center"/>
          </w:tcPr>
          <w:p w14:paraId="653D13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西南</w:t>
            </w:r>
          </w:p>
        </w:tc>
        <w:tc>
          <w:tcPr>
            <w:tcW w:w="1032" w:type="dxa"/>
            <w:tcBorders>
              <w:tl2br w:val="nil"/>
              <w:tr2bl w:val="nil"/>
            </w:tcBorders>
            <w:vAlign w:val="center"/>
          </w:tcPr>
          <w:p w14:paraId="1F4C6E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pacing w:val="4"/>
                <w:sz w:val="21"/>
                <w:szCs w:val="21"/>
                <w:lang w:val="en-US" w:eastAsia="zh-CN"/>
              </w:rPr>
            </w:pPr>
            <w:r>
              <w:rPr>
                <w:rFonts w:hint="eastAsia" w:ascii="Times New Roman" w:hAnsi="Times New Roman" w:eastAsia="宋体" w:cs="Times New Roman"/>
                <w:spacing w:val="4"/>
                <w:sz w:val="21"/>
                <w:szCs w:val="21"/>
                <w:lang w:val="en-US" w:eastAsia="zh-CN"/>
              </w:rPr>
              <w:t>366m</w:t>
            </w:r>
          </w:p>
        </w:tc>
      </w:tr>
      <w:tr w14:paraId="0860DF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652" w:type="dxa"/>
            <w:vMerge w:val="continue"/>
            <w:tcBorders>
              <w:tl2br w:val="nil"/>
              <w:tr2bl w:val="nil"/>
            </w:tcBorders>
            <w:vAlign w:val="center"/>
          </w:tcPr>
          <w:p w14:paraId="4BC1BA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p>
        </w:tc>
        <w:tc>
          <w:tcPr>
            <w:tcW w:w="1222" w:type="dxa"/>
            <w:tcBorders>
              <w:tl2br w:val="nil"/>
              <w:tr2bl w:val="nil"/>
            </w:tcBorders>
            <w:vAlign w:val="center"/>
          </w:tcPr>
          <w:p w14:paraId="237CE531">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pacing w:val="7"/>
                <w:sz w:val="21"/>
                <w:szCs w:val="21"/>
                <w:lang w:val="en-US" w:eastAsia="zh-CN"/>
              </w:rPr>
            </w:pPr>
            <w:r>
              <w:rPr>
                <w:rFonts w:hint="eastAsia" w:ascii="Times New Roman" w:hAnsi="Times New Roman" w:eastAsia="宋体" w:cs="Times New Roman"/>
                <w:spacing w:val="7"/>
                <w:sz w:val="21"/>
                <w:szCs w:val="21"/>
                <w:lang w:val="en-US" w:eastAsia="zh-CN"/>
              </w:rPr>
              <w:t>邰城新村</w:t>
            </w:r>
          </w:p>
        </w:tc>
        <w:tc>
          <w:tcPr>
            <w:tcW w:w="1466" w:type="dxa"/>
            <w:tcBorders>
              <w:tl2br w:val="nil"/>
              <w:tr2bl w:val="nil"/>
            </w:tcBorders>
            <w:vAlign w:val="center"/>
          </w:tcPr>
          <w:p w14:paraId="19E7D5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pacing w:val="1"/>
                <w:sz w:val="21"/>
                <w:szCs w:val="21"/>
              </w:rPr>
            </w:pPr>
            <w:r>
              <w:rPr>
                <w:rFonts w:hint="default" w:ascii="Times New Roman" w:hAnsi="Times New Roman" w:eastAsia="宋体" w:cs="Times New Roman"/>
                <w:spacing w:val="1"/>
                <w:sz w:val="21"/>
                <w:szCs w:val="21"/>
              </w:rPr>
              <w:t>108°4′53.92″</w:t>
            </w:r>
          </w:p>
        </w:tc>
        <w:tc>
          <w:tcPr>
            <w:tcW w:w="1266" w:type="dxa"/>
            <w:tcBorders>
              <w:tl2br w:val="nil"/>
              <w:tr2bl w:val="nil"/>
            </w:tcBorders>
            <w:vAlign w:val="center"/>
          </w:tcPr>
          <w:p w14:paraId="7B4E4E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pacing w:val="-1"/>
                <w:sz w:val="21"/>
                <w:szCs w:val="21"/>
              </w:rPr>
            </w:pPr>
            <w:r>
              <w:rPr>
                <w:rFonts w:hint="default" w:ascii="Times New Roman" w:hAnsi="Times New Roman" w:eastAsia="宋体" w:cs="Times New Roman"/>
                <w:spacing w:val="1"/>
                <w:sz w:val="21"/>
                <w:szCs w:val="21"/>
              </w:rPr>
              <w:t>34°15′25.78″</w:t>
            </w:r>
          </w:p>
        </w:tc>
        <w:tc>
          <w:tcPr>
            <w:tcW w:w="1211" w:type="dxa"/>
            <w:tcBorders>
              <w:tl2br w:val="nil"/>
              <w:tr2bl w:val="nil"/>
            </w:tcBorders>
            <w:vAlign w:val="center"/>
          </w:tcPr>
          <w:p w14:paraId="778AF379">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pacing w:val="3"/>
                <w:sz w:val="21"/>
                <w:szCs w:val="21"/>
              </w:rPr>
            </w:pPr>
            <w:r>
              <w:rPr>
                <w:rFonts w:hint="default" w:ascii="Times New Roman" w:hAnsi="Times New Roman" w:eastAsia="宋体" w:cs="Times New Roman"/>
                <w:spacing w:val="3"/>
                <w:sz w:val="21"/>
                <w:szCs w:val="21"/>
              </w:rPr>
              <w:t>居民</w:t>
            </w:r>
          </w:p>
        </w:tc>
        <w:tc>
          <w:tcPr>
            <w:tcW w:w="779" w:type="dxa"/>
            <w:vMerge w:val="continue"/>
            <w:tcBorders>
              <w:tl2br w:val="nil"/>
              <w:tr2bl w:val="nil"/>
            </w:tcBorders>
            <w:vAlign w:val="center"/>
          </w:tcPr>
          <w:p w14:paraId="4DC6C4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p>
        </w:tc>
        <w:tc>
          <w:tcPr>
            <w:tcW w:w="870" w:type="dxa"/>
            <w:tcBorders>
              <w:tl2br w:val="nil"/>
              <w:tr2bl w:val="nil"/>
            </w:tcBorders>
            <w:vAlign w:val="center"/>
          </w:tcPr>
          <w:p w14:paraId="2D3270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东北</w:t>
            </w:r>
          </w:p>
        </w:tc>
        <w:tc>
          <w:tcPr>
            <w:tcW w:w="1032" w:type="dxa"/>
            <w:tcBorders>
              <w:tl2br w:val="nil"/>
              <w:tr2bl w:val="nil"/>
            </w:tcBorders>
            <w:vAlign w:val="center"/>
          </w:tcPr>
          <w:p w14:paraId="2CD22C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pacing w:val="4"/>
                <w:sz w:val="21"/>
                <w:szCs w:val="21"/>
                <w:lang w:val="en-US"/>
              </w:rPr>
            </w:pPr>
            <w:r>
              <w:rPr>
                <w:rFonts w:hint="eastAsia" w:ascii="Times New Roman" w:hAnsi="Times New Roman" w:eastAsia="宋体" w:cs="Times New Roman"/>
                <w:spacing w:val="8"/>
                <w:sz w:val="21"/>
                <w:szCs w:val="21"/>
                <w:lang w:val="en-US" w:eastAsia="zh-CN"/>
              </w:rPr>
              <w:t>386m</w:t>
            </w:r>
          </w:p>
        </w:tc>
      </w:tr>
      <w:tr w14:paraId="3A37B3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7" w:hRule="atLeast"/>
          <w:jc w:val="center"/>
        </w:trPr>
        <w:tc>
          <w:tcPr>
            <w:tcW w:w="652" w:type="dxa"/>
            <w:vMerge w:val="continue"/>
            <w:tcBorders>
              <w:tl2br w:val="nil"/>
              <w:tr2bl w:val="nil"/>
            </w:tcBorders>
            <w:vAlign w:val="center"/>
          </w:tcPr>
          <w:p w14:paraId="2D8F02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p>
        </w:tc>
        <w:tc>
          <w:tcPr>
            <w:tcW w:w="1222" w:type="dxa"/>
            <w:tcBorders>
              <w:tl2br w:val="nil"/>
              <w:tr2bl w:val="nil"/>
            </w:tcBorders>
            <w:vAlign w:val="center"/>
          </w:tcPr>
          <w:p w14:paraId="180D20C1">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pacing w:val="7"/>
                <w:sz w:val="21"/>
                <w:szCs w:val="21"/>
                <w:lang w:val="en-US" w:eastAsia="zh-CN"/>
              </w:rPr>
            </w:pPr>
            <w:r>
              <w:rPr>
                <w:rFonts w:hint="eastAsia" w:ascii="Times New Roman" w:hAnsi="Times New Roman" w:eastAsia="宋体" w:cs="Times New Roman"/>
                <w:spacing w:val="7"/>
                <w:sz w:val="21"/>
                <w:szCs w:val="21"/>
                <w:lang w:val="en-US" w:eastAsia="zh-CN"/>
              </w:rPr>
              <w:t>徐家湾村</w:t>
            </w:r>
          </w:p>
        </w:tc>
        <w:tc>
          <w:tcPr>
            <w:tcW w:w="1466" w:type="dxa"/>
            <w:tcBorders>
              <w:tl2br w:val="nil"/>
              <w:tr2bl w:val="nil"/>
            </w:tcBorders>
            <w:vAlign w:val="center"/>
          </w:tcPr>
          <w:p w14:paraId="28260F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pacing w:val="1"/>
                <w:sz w:val="21"/>
                <w:szCs w:val="21"/>
              </w:rPr>
            </w:pPr>
            <w:r>
              <w:rPr>
                <w:rFonts w:hint="default" w:ascii="Times New Roman" w:hAnsi="Times New Roman" w:eastAsia="宋体" w:cs="Times New Roman"/>
                <w:spacing w:val="1"/>
                <w:sz w:val="21"/>
                <w:szCs w:val="21"/>
              </w:rPr>
              <w:t>108°4′50.52″</w:t>
            </w:r>
          </w:p>
        </w:tc>
        <w:tc>
          <w:tcPr>
            <w:tcW w:w="1266" w:type="dxa"/>
            <w:tcBorders>
              <w:tl2br w:val="nil"/>
              <w:tr2bl w:val="nil"/>
            </w:tcBorders>
            <w:vAlign w:val="center"/>
          </w:tcPr>
          <w:p w14:paraId="23C05C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pacing w:val="-1"/>
                <w:sz w:val="21"/>
                <w:szCs w:val="21"/>
              </w:rPr>
            </w:pPr>
            <w:r>
              <w:rPr>
                <w:rFonts w:hint="default" w:ascii="Times New Roman" w:hAnsi="Times New Roman" w:eastAsia="宋体" w:cs="Times New Roman"/>
                <w:spacing w:val="1"/>
                <w:sz w:val="21"/>
                <w:szCs w:val="21"/>
              </w:rPr>
              <w:t>34°15′32.03″</w:t>
            </w:r>
          </w:p>
        </w:tc>
        <w:tc>
          <w:tcPr>
            <w:tcW w:w="1211" w:type="dxa"/>
            <w:tcBorders>
              <w:tl2br w:val="nil"/>
              <w:tr2bl w:val="nil"/>
            </w:tcBorders>
            <w:vAlign w:val="center"/>
          </w:tcPr>
          <w:p w14:paraId="0F60107A">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pacing w:val="3"/>
                <w:sz w:val="21"/>
                <w:szCs w:val="21"/>
              </w:rPr>
            </w:pPr>
            <w:r>
              <w:rPr>
                <w:rFonts w:hint="default" w:ascii="Times New Roman" w:hAnsi="Times New Roman" w:eastAsia="宋体" w:cs="Times New Roman"/>
                <w:spacing w:val="3"/>
                <w:sz w:val="21"/>
                <w:szCs w:val="21"/>
              </w:rPr>
              <w:t>居民</w:t>
            </w:r>
          </w:p>
        </w:tc>
        <w:tc>
          <w:tcPr>
            <w:tcW w:w="779" w:type="dxa"/>
            <w:vMerge w:val="continue"/>
            <w:tcBorders>
              <w:tl2br w:val="nil"/>
              <w:tr2bl w:val="nil"/>
            </w:tcBorders>
            <w:vAlign w:val="center"/>
          </w:tcPr>
          <w:p w14:paraId="496AB3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p>
        </w:tc>
        <w:tc>
          <w:tcPr>
            <w:tcW w:w="870" w:type="dxa"/>
            <w:tcBorders>
              <w:tl2br w:val="nil"/>
              <w:tr2bl w:val="nil"/>
            </w:tcBorders>
            <w:vAlign w:val="center"/>
          </w:tcPr>
          <w:p w14:paraId="4B4EDC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pacing w:val="8"/>
                <w:sz w:val="21"/>
                <w:szCs w:val="21"/>
              </w:rPr>
            </w:pPr>
            <w:r>
              <w:rPr>
                <w:rFonts w:hint="eastAsia" w:ascii="Times New Roman" w:hAnsi="Times New Roman" w:eastAsia="宋体" w:cs="Times New Roman"/>
                <w:spacing w:val="8"/>
                <w:sz w:val="21"/>
                <w:szCs w:val="21"/>
                <w:lang w:val="en-US" w:eastAsia="zh-CN"/>
              </w:rPr>
              <w:t>东北</w:t>
            </w:r>
          </w:p>
        </w:tc>
        <w:tc>
          <w:tcPr>
            <w:tcW w:w="1032" w:type="dxa"/>
            <w:tcBorders>
              <w:tl2br w:val="nil"/>
              <w:tr2bl w:val="nil"/>
            </w:tcBorders>
            <w:vAlign w:val="center"/>
          </w:tcPr>
          <w:p w14:paraId="3241ED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pacing w:val="4"/>
                <w:sz w:val="21"/>
                <w:szCs w:val="21"/>
                <w:lang w:val="en-US" w:eastAsia="zh-CN"/>
              </w:rPr>
            </w:pPr>
            <w:r>
              <w:rPr>
                <w:rFonts w:hint="eastAsia" w:ascii="Times New Roman" w:hAnsi="Times New Roman" w:eastAsia="宋体" w:cs="Times New Roman"/>
                <w:spacing w:val="4"/>
                <w:sz w:val="21"/>
                <w:szCs w:val="21"/>
                <w:lang w:val="en-US" w:eastAsia="zh-CN"/>
              </w:rPr>
              <w:t>486m</w:t>
            </w:r>
          </w:p>
        </w:tc>
      </w:tr>
      <w:tr w14:paraId="45EEF4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0" w:hRule="atLeast"/>
          <w:jc w:val="center"/>
        </w:trPr>
        <w:tc>
          <w:tcPr>
            <w:tcW w:w="652" w:type="dxa"/>
            <w:tcBorders>
              <w:tl2br w:val="nil"/>
              <w:tr2bl w:val="nil"/>
            </w:tcBorders>
            <w:vAlign w:val="center"/>
          </w:tcPr>
          <w:p w14:paraId="4B853C0D">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声环</w:t>
            </w:r>
            <w:r>
              <w:rPr>
                <w:rFonts w:hint="default" w:ascii="Times New Roman" w:hAnsi="Times New Roman" w:eastAsia="宋体" w:cs="Times New Roman"/>
                <w:sz w:val="21"/>
                <w:szCs w:val="21"/>
              </w:rPr>
              <w:t xml:space="preserve"> 境</w:t>
            </w:r>
          </w:p>
        </w:tc>
        <w:tc>
          <w:tcPr>
            <w:tcW w:w="1222" w:type="dxa"/>
            <w:tcBorders>
              <w:tl2br w:val="nil"/>
              <w:tr2bl w:val="nil"/>
            </w:tcBorders>
            <w:vAlign w:val="center"/>
          </w:tcPr>
          <w:p w14:paraId="79A135B5">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pacing w:val="7"/>
                <w:sz w:val="21"/>
                <w:szCs w:val="21"/>
                <w:lang w:val="en-US" w:eastAsia="zh-CN"/>
              </w:rPr>
              <w:t>李台村住户</w:t>
            </w:r>
          </w:p>
        </w:tc>
        <w:tc>
          <w:tcPr>
            <w:tcW w:w="1466" w:type="dxa"/>
            <w:tcBorders>
              <w:tl2br w:val="nil"/>
              <w:tr2bl w:val="nil"/>
            </w:tcBorders>
            <w:vAlign w:val="center"/>
          </w:tcPr>
          <w:p w14:paraId="3276C8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108°4′35.21″</w:t>
            </w:r>
          </w:p>
        </w:tc>
        <w:tc>
          <w:tcPr>
            <w:tcW w:w="1266" w:type="dxa"/>
            <w:tcBorders>
              <w:tl2br w:val="nil"/>
              <w:tr2bl w:val="nil"/>
            </w:tcBorders>
            <w:vAlign w:val="center"/>
          </w:tcPr>
          <w:p w14:paraId="736FA6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34°15′21.06″</w:t>
            </w:r>
          </w:p>
        </w:tc>
        <w:tc>
          <w:tcPr>
            <w:tcW w:w="1211" w:type="dxa"/>
            <w:tcBorders>
              <w:tl2br w:val="nil"/>
              <w:tr2bl w:val="nil"/>
            </w:tcBorders>
            <w:vAlign w:val="center"/>
          </w:tcPr>
          <w:p w14:paraId="349F28AB">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居民</w:t>
            </w:r>
          </w:p>
        </w:tc>
        <w:tc>
          <w:tcPr>
            <w:tcW w:w="779" w:type="dxa"/>
            <w:tcBorders>
              <w:tl2br w:val="nil"/>
              <w:tr2bl w:val="nil"/>
            </w:tcBorders>
            <w:vAlign w:val="center"/>
          </w:tcPr>
          <w:p w14:paraId="6D864E50">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二类区</w:t>
            </w:r>
          </w:p>
        </w:tc>
        <w:tc>
          <w:tcPr>
            <w:tcW w:w="870" w:type="dxa"/>
            <w:tcBorders>
              <w:tl2br w:val="nil"/>
              <w:tr2bl w:val="nil"/>
            </w:tcBorders>
            <w:vAlign w:val="center"/>
          </w:tcPr>
          <w:p w14:paraId="757B7B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pacing w:val="8"/>
                <w:sz w:val="21"/>
                <w:szCs w:val="21"/>
                <w:lang w:val="en-US" w:eastAsia="zh-CN"/>
              </w:rPr>
              <w:t>东侧</w:t>
            </w:r>
          </w:p>
        </w:tc>
        <w:tc>
          <w:tcPr>
            <w:tcW w:w="1032" w:type="dxa"/>
            <w:tcBorders>
              <w:tl2br w:val="nil"/>
              <w:tr2bl w:val="nil"/>
            </w:tcBorders>
            <w:vAlign w:val="center"/>
          </w:tcPr>
          <w:p w14:paraId="373D00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pacing w:val="4"/>
                <w:sz w:val="21"/>
                <w:szCs w:val="21"/>
                <w:lang w:val="en-US" w:eastAsia="zh-CN"/>
              </w:rPr>
              <w:t>5</w:t>
            </w:r>
            <w:r>
              <w:rPr>
                <w:rFonts w:hint="default" w:ascii="Times New Roman" w:hAnsi="Times New Roman" w:eastAsia="宋体" w:cs="Times New Roman"/>
                <w:spacing w:val="4"/>
                <w:sz w:val="21"/>
                <w:szCs w:val="21"/>
              </w:rPr>
              <w:t>m</w:t>
            </w:r>
          </w:p>
        </w:tc>
      </w:tr>
    </w:tbl>
    <w:p w14:paraId="1A4AFC84">
      <w:pPr>
        <w:spacing w:before="156" w:beforeLines="50" w:line="360" w:lineRule="auto"/>
        <w:rPr>
          <w:rFonts w:ascii="Times New Roman"/>
          <w:b/>
          <w:sz w:val="24"/>
          <w:szCs w:val="24"/>
        </w:rPr>
      </w:pPr>
      <w:r>
        <w:rPr>
          <w:rFonts w:ascii="Times New Roman"/>
          <w:b/>
          <w:sz w:val="24"/>
          <w:szCs w:val="24"/>
        </w:rPr>
        <w:t>三、主要环境影响及污染防治措施</w:t>
      </w:r>
    </w:p>
    <w:p w14:paraId="724F1577">
      <w:pPr>
        <w:adjustRightInd w:val="0"/>
        <w:snapToGrid w:val="0"/>
        <w:spacing w:line="360" w:lineRule="auto"/>
        <w:ind w:left="420" w:leftChars="200"/>
        <w:jc w:val="left"/>
        <w:rPr>
          <w:rFonts w:ascii="Times New Roman"/>
          <w:sz w:val="24"/>
          <w:szCs w:val="24"/>
        </w:rPr>
      </w:pPr>
      <w:r>
        <w:rPr>
          <w:rFonts w:ascii="Times New Roman"/>
          <w:sz w:val="24"/>
          <w:szCs w:val="24"/>
        </w:rPr>
        <w:t>1、施工期污染防治措施</w:t>
      </w:r>
    </w:p>
    <w:p w14:paraId="140E3C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default" w:ascii="Times New Roman" w:hAnsi="Times New Roman" w:cs="Times New Roman"/>
          <w:b/>
          <w:bCs/>
          <w:snapToGrid w:val="0"/>
          <w:color w:val="000000" w:themeColor="text1"/>
          <w:sz w:val="24"/>
          <w:u w:val="none" w:color="auto"/>
          <w14:textFill>
            <w14:solidFill>
              <w14:schemeClr w14:val="tx1"/>
            </w14:solidFill>
          </w14:textFill>
        </w:rPr>
      </w:pPr>
      <w:r>
        <w:rPr>
          <w:rFonts w:hint="eastAsia" w:ascii="Times New Roman" w:hAnsi="Times New Roman" w:cs="Times New Roman"/>
          <w:b/>
          <w:bCs/>
          <w:snapToGrid w:val="0"/>
          <w:color w:val="000000" w:themeColor="text1"/>
          <w:sz w:val="24"/>
          <w:u w:val="none" w:color="auto"/>
          <w:lang w:eastAsia="zh-CN"/>
          <w14:textFill>
            <w14:solidFill>
              <w14:schemeClr w14:val="tx1"/>
            </w14:solidFill>
          </w14:textFill>
        </w:rPr>
        <w:t>（</w:t>
      </w:r>
      <w:r>
        <w:rPr>
          <w:rFonts w:hint="eastAsia" w:ascii="Times New Roman" w:hAnsi="Times New Roman" w:cs="Times New Roman"/>
          <w:b/>
          <w:bCs/>
          <w:snapToGrid w:val="0"/>
          <w:color w:val="000000" w:themeColor="text1"/>
          <w:sz w:val="24"/>
          <w:u w:val="none" w:color="auto"/>
          <w:lang w:val="en-US" w:eastAsia="zh-CN"/>
          <w14:textFill>
            <w14:solidFill>
              <w14:schemeClr w14:val="tx1"/>
            </w14:solidFill>
          </w14:textFill>
        </w:rPr>
        <w:t>1</w:t>
      </w:r>
      <w:r>
        <w:rPr>
          <w:rFonts w:hint="eastAsia" w:ascii="Times New Roman" w:hAnsi="Times New Roman" w:cs="Times New Roman"/>
          <w:b/>
          <w:bCs/>
          <w:snapToGrid w:val="0"/>
          <w:color w:val="000000" w:themeColor="text1"/>
          <w:sz w:val="24"/>
          <w:u w:val="none" w:color="auto"/>
          <w:lang w:eastAsia="zh-CN"/>
          <w14:textFill>
            <w14:solidFill>
              <w14:schemeClr w14:val="tx1"/>
            </w14:solidFill>
          </w14:textFill>
        </w:rPr>
        <w:t>）</w:t>
      </w:r>
      <w:r>
        <w:rPr>
          <w:rFonts w:hint="default" w:ascii="Times New Roman" w:hAnsi="Times New Roman" w:cs="Times New Roman"/>
          <w:b/>
          <w:bCs/>
          <w:snapToGrid w:val="0"/>
          <w:color w:val="000000" w:themeColor="text1"/>
          <w:sz w:val="24"/>
          <w:u w:val="none" w:color="auto"/>
          <w14:textFill>
            <w14:solidFill>
              <w14:schemeClr w14:val="tx1"/>
            </w14:solidFill>
          </w14:textFill>
        </w:rPr>
        <w:t>施工期大气环境影响和保护措施</w:t>
      </w:r>
    </w:p>
    <w:p w14:paraId="5ABDA315">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jc w:val="left"/>
        <w:textAlignment w:val="auto"/>
        <w:rPr>
          <w:rFonts w:hint="default" w:ascii="Times New Roman" w:hAnsi="Times New Roman" w:cs="Times New Roman"/>
          <w:snapToGrid w:val="0"/>
          <w:color w:val="000000" w:themeColor="text1"/>
          <w:sz w:val="24"/>
          <w:u w:val="none" w:color="auto"/>
          <w14:textFill>
            <w14:solidFill>
              <w14:schemeClr w14:val="tx1"/>
            </w14:solidFill>
          </w14:textFill>
        </w:rPr>
      </w:pPr>
      <w:r>
        <w:rPr>
          <w:rFonts w:hint="eastAsia" w:ascii="Times New Roman" w:hAnsi="Times New Roman" w:cs="Times New Roman"/>
          <w:snapToGrid w:val="0"/>
          <w:color w:val="000000" w:themeColor="text1"/>
          <w:sz w:val="24"/>
          <w:u w:val="none" w:color="auto"/>
          <w:lang w:val="en-US" w:eastAsia="zh-CN"/>
          <w14:textFill>
            <w14:solidFill>
              <w14:schemeClr w14:val="tx1"/>
            </w14:solidFill>
          </w14:textFill>
        </w:rPr>
        <w:t>本项目</w:t>
      </w:r>
      <w:r>
        <w:rPr>
          <w:rFonts w:hint="default" w:ascii="Times New Roman" w:hAnsi="Times New Roman" w:cs="Times New Roman"/>
          <w:snapToGrid w:val="0"/>
          <w:color w:val="000000" w:themeColor="text1"/>
          <w:sz w:val="24"/>
          <w:u w:val="none" w:color="auto"/>
          <w14:textFill>
            <w14:solidFill>
              <w14:schemeClr w14:val="tx1"/>
            </w14:solidFill>
          </w14:textFill>
        </w:rPr>
        <w:t>施工期大气污染物主要有施工扬尘、施工车辆及施工机械排放的尾气和装修油漆挥发废气，其中以</w:t>
      </w:r>
      <w:r>
        <w:rPr>
          <w:rFonts w:hint="eastAsia" w:ascii="Times New Roman" w:hAnsi="Times New Roman" w:cs="Times New Roman"/>
          <w:snapToGrid w:val="0"/>
          <w:color w:val="000000" w:themeColor="text1"/>
          <w:sz w:val="24"/>
          <w:u w:val="none" w:color="auto"/>
          <w:lang w:val="en-US" w:eastAsia="zh-CN"/>
          <w14:textFill>
            <w14:solidFill>
              <w14:schemeClr w14:val="tx1"/>
            </w14:solidFill>
          </w14:textFill>
        </w:rPr>
        <w:t>施工扬尘</w:t>
      </w:r>
      <w:r>
        <w:rPr>
          <w:rFonts w:hint="default" w:ascii="Times New Roman" w:hAnsi="Times New Roman" w:cs="Times New Roman"/>
          <w:snapToGrid w:val="0"/>
          <w:color w:val="000000" w:themeColor="text1"/>
          <w:sz w:val="24"/>
          <w:u w:val="none" w:color="auto"/>
          <w14:textFill>
            <w14:solidFill>
              <w14:schemeClr w14:val="tx1"/>
            </w14:solidFill>
          </w14:textFill>
        </w:rPr>
        <w:t>最为严重。</w:t>
      </w:r>
    </w:p>
    <w:p w14:paraId="75E4039B">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jc w:val="left"/>
        <w:textAlignment w:val="auto"/>
        <w:rPr>
          <w:rFonts w:hint="default" w:ascii="Times New Roman" w:hAnsi="Times New Roman" w:cs="Times New Roman"/>
          <w:snapToGrid w:val="0"/>
          <w:color w:val="000000" w:themeColor="text1"/>
          <w:sz w:val="24"/>
          <w:u w:val="none" w:color="auto"/>
          <w14:textFill>
            <w14:solidFill>
              <w14:schemeClr w14:val="tx1"/>
            </w14:solidFill>
          </w14:textFill>
        </w:rPr>
      </w:pPr>
      <w:r>
        <w:rPr>
          <w:rFonts w:hint="eastAsia" w:ascii="Times New Roman" w:hAnsi="Times New Roman" w:cs="Times New Roman"/>
          <w:snapToGrid w:val="0"/>
          <w:color w:val="000000" w:themeColor="text1"/>
          <w:sz w:val="24"/>
          <w:u w:val="none" w:color="auto"/>
          <w:lang w:val="en-US" w:eastAsia="zh-CN"/>
          <w14:textFill>
            <w14:solidFill>
              <w14:schemeClr w14:val="tx1"/>
            </w14:solidFill>
          </w14:textFill>
        </w:rPr>
        <w:t>①</w:t>
      </w:r>
      <w:r>
        <w:rPr>
          <w:rFonts w:hint="default" w:ascii="Times New Roman" w:hAnsi="Times New Roman" w:cs="Times New Roman"/>
          <w:snapToGrid w:val="0"/>
          <w:color w:val="000000" w:themeColor="text1"/>
          <w:sz w:val="24"/>
          <w:u w:val="none" w:color="auto"/>
          <w14:textFill>
            <w14:solidFill>
              <w14:schemeClr w14:val="tx1"/>
            </w14:solidFill>
          </w14:textFill>
        </w:rPr>
        <w:t>施工扬尘：按起尘的原因可分为风力起尘和动力起尘，其中风力起尘主要是由于露天堆放的建材（如黄沙、水泥等）及裸露的施工区表层浮尘由于天气干燥及大风，产生风力扬尘；而动力起尘，主要是在建材的装卸、搅拌过程中，由于外力而产生的尘粒再悬浮而造成，其中施工及装卸车辆造成的扬尘最为严重。</w:t>
      </w:r>
    </w:p>
    <w:p w14:paraId="0A10822F">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jc w:val="left"/>
        <w:textAlignment w:val="auto"/>
        <w:rPr>
          <w:rFonts w:hint="default" w:ascii="Times New Roman" w:hAnsi="Times New Roman" w:cs="Times New Roman"/>
          <w:snapToGrid w:val="0"/>
          <w:color w:val="000000" w:themeColor="text1"/>
          <w:sz w:val="24"/>
          <w:u w:val="none" w:color="auto"/>
          <w14:textFill>
            <w14:solidFill>
              <w14:schemeClr w14:val="tx1"/>
            </w14:solidFill>
          </w14:textFill>
        </w:rPr>
      </w:pPr>
      <w:r>
        <w:rPr>
          <w:rFonts w:hint="eastAsia" w:ascii="Times New Roman" w:hAnsi="Times New Roman" w:cs="Times New Roman"/>
          <w:snapToGrid w:val="0"/>
          <w:color w:val="000000" w:themeColor="text1"/>
          <w:sz w:val="24"/>
          <w:u w:val="none" w:color="auto"/>
          <w:lang w:val="en-US" w:eastAsia="zh-CN"/>
          <w14:textFill>
            <w14:solidFill>
              <w14:schemeClr w14:val="tx1"/>
            </w14:solidFill>
          </w14:textFill>
        </w:rPr>
        <w:t>②</w:t>
      </w:r>
      <w:r>
        <w:rPr>
          <w:rFonts w:hint="default" w:ascii="Times New Roman" w:hAnsi="Times New Roman" w:cs="Times New Roman"/>
          <w:snapToGrid w:val="0"/>
          <w:color w:val="000000" w:themeColor="text1"/>
          <w:sz w:val="24"/>
          <w:u w:val="none" w:color="auto"/>
          <w14:textFill>
            <w14:solidFill>
              <w14:schemeClr w14:val="tx1"/>
            </w14:solidFill>
          </w14:textFill>
        </w:rPr>
        <w:t>汽车尾气和施工机械排放的尾气主要污染物有CO、NO</w:t>
      </w:r>
      <w:r>
        <w:rPr>
          <w:rFonts w:hint="default" w:ascii="Times New Roman" w:hAnsi="Times New Roman" w:cs="Times New Roman"/>
          <w:snapToGrid w:val="0"/>
          <w:color w:val="000000" w:themeColor="text1"/>
          <w:sz w:val="24"/>
          <w:u w:val="none" w:color="auto"/>
          <w:vertAlign w:val="subscript"/>
          <w14:textFill>
            <w14:solidFill>
              <w14:schemeClr w14:val="tx1"/>
            </w14:solidFill>
          </w14:textFill>
        </w:rPr>
        <w:t>X</w:t>
      </w:r>
      <w:r>
        <w:rPr>
          <w:rFonts w:hint="default" w:ascii="Times New Roman" w:hAnsi="Times New Roman" w:cs="Times New Roman"/>
          <w:snapToGrid w:val="0"/>
          <w:color w:val="000000" w:themeColor="text1"/>
          <w:sz w:val="24"/>
          <w:u w:val="none" w:color="auto"/>
          <w14:textFill>
            <w14:solidFill>
              <w14:schemeClr w14:val="tx1"/>
            </w14:solidFill>
          </w14:textFill>
        </w:rPr>
        <w:t>、HC等，可能导致施工场地局部范围内空气质量下降，这些气体扩散后其浓度会迅速降低，影响范围小，由于工程施工高峰期空气污染物的排放强度较低，因此，工程施工</w:t>
      </w:r>
      <w:r>
        <w:rPr>
          <w:rFonts w:hint="eastAsia" w:ascii="Times New Roman" w:hAnsi="Times New Roman" w:cs="Times New Roman"/>
          <w:snapToGrid w:val="0"/>
          <w:color w:val="000000" w:themeColor="text1"/>
          <w:sz w:val="24"/>
          <w:u w:val="none" w:color="auto"/>
          <w:lang w:val="en-US" w:eastAsia="zh-CN"/>
          <w14:textFill>
            <w14:solidFill>
              <w14:schemeClr w14:val="tx1"/>
            </w14:solidFill>
          </w14:textFill>
        </w:rPr>
        <w:t>阶段汽车尾气和施工机械尾气排放</w:t>
      </w:r>
      <w:r>
        <w:rPr>
          <w:rFonts w:hint="default" w:ascii="Times New Roman" w:hAnsi="Times New Roman" w:cs="Times New Roman"/>
          <w:snapToGrid w:val="0"/>
          <w:color w:val="000000" w:themeColor="text1"/>
          <w:sz w:val="24"/>
          <w:u w:val="none" w:color="auto"/>
          <w14:textFill>
            <w14:solidFill>
              <w14:schemeClr w14:val="tx1"/>
            </w14:solidFill>
          </w14:textFill>
        </w:rPr>
        <w:t>大气污染物对周边空气环境影响较小。</w:t>
      </w:r>
    </w:p>
    <w:p w14:paraId="4E8B0F82">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jc w:val="left"/>
        <w:textAlignment w:val="auto"/>
        <w:rPr>
          <w:rFonts w:hint="default" w:ascii="Times New Roman" w:hAnsi="Times New Roman" w:cs="Times New Roman"/>
          <w:snapToGrid w:val="0"/>
          <w:color w:val="000000" w:themeColor="text1"/>
          <w:sz w:val="24"/>
          <w:u w:val="none" w:color="auto"/>
          <w14:textFill>
            <w14:solidFill>
              <w14:schemeClr w14:val="tx1"/>
            </w14:solidFill>
          </w14:textFill>
        </w:rPr>
      </w:pPr>
      <w:r>
        <w:rPr>
          <w:rFonts w:hint="eastAsia" w:ascii="Times New Roman" w:hAnsi="Times New Roman" w:cs="Times New Roman"/>
          <w:snapToGrid w:val="0"/>
          <w:color w:val="000000" w:themeColor="text1"/>
          <w:sz w:val="24"/>
          <w:u w:val="none" w:color="auto"/>
          <w:lang w:val="en-US" w:eastAsia="zh-CN"/>
          <w14:textFill>
            <w14:solidFill>
              <w14:schemeClr w14:val="tx1"/>
            </w14:solidFill>
          </w14:textFill>
        </w:rPr>
        <w:t>③</w:t>
      </w:r>
      <w:r>
        <w:rPr>
          <w:rFonts w:hint="default" w:ascii="Times New Roman" w:hAnsi="Times New Roman" w:cs="Times New Roman"/>
          <w:snapToGrid w:val="0"/>
          <w:color w:val="000000" w:themeColor="text1"/>
          <w:sz w:val="24"/>
          <w:u w:val="none" w:color="auto"/>
          <w14:textFill>
            <w14:solidFill>
              <w14:schemeClr w14:val="tx1"/>
            </w14:solidFill>
          </w14:textFill>
        </w:rPr>
        <w:t>装修阶段产生的废气主要是从油漆中挥发出的有机物，这些有机物排放周期短，且作业点分散。因此，在</w:t>
      </w:r>
      <w:r>
        <w:rPr>
          <w:rFonts w:hint="eastAsia" w:ascii="Times New Roman" w:hAnsi="Times New Roman" w:cs="Times New Roman"/>
          <w:snapToGrid w:val="0"/>
          <w:color w:val="000000" w:themeColor="text1"/>
          <w:sz w:val="24"/>
          <w:u w:val="none" w:color="auto"/>
          <w:lang w:val="en-US" w:eastAsia="zh-CN"/>
          <w14:textFill>
            <w14:solidFill>
              <w14:schemeClr w14:val="tx1"/>
            </w14:solidFill>
          </w14:textFill>
        </w:rPr>
        <w:t>站房</w:t>
      </w:r>
      <w:r>
        <w:rPr>
          <w:rFonts w:hint="default" w:ascii="Times New Roman" w:hAnsi="Times New Roman" w:cs="Times New Roman"/>
          <w:snapToGrid w:val="0"/>
          <w:color w:val="000000" w:themeColor="text1"/>
          <w:sz w:val="24"/>
          <w:u w:val="none" w:color="auto"/>
          <w14:textFill>
            <w14:solidFill>
              <w14:schemeClr w14:val="tx1"/>
            </w14:solidFill>
          </w14:textFill>
        </w:rPr>
        <w:t>装修期间，</w:t>
      </w:r>
      <w:r>
        <w:rPr>
          <w:rFonts w:hint="eastAsia" w:ascii="Times New Roman" w:hAnsi="Times New Roman" w:cs="Times New Roman"/>
          <w:snapToGrid w:val="0"/>
          <w:color w:val="000000" w:themeColor="text1"/>
          <w:sz w:val="24"/>
          <w:u w:val="none" w:color="auto"/>
          <w:lang w:val="en-US" w:eastAsia="zh-CN"/>
          <w14:textFill>
            <w14:solidFill>
              <w14:schemeClr w14:val="tx1"/>
            </w14:solidFill>
          </w14:textFill>
        </w:rPr>
        <w:t>装修油漆挥发有机废气对周边环境影响较小</w:t>
      </w:r>
      <w:r>
        <w:rPr>
          <w:rFonts w:hint="default" w:ascii="Times New Roman" w:hAnsi="Times New Roman" w:cs="Times New Roman"/>
          <w:snapToGrid w:val="0"/>
          <w:color w:val="000000" w:themeColor="text1"/>
          <w:sz w:val="24"/>
          <w:u w:val="none" w:color="auto"/>
          <w14:textFill>
            <w14:solidFill>
              <w14:schemeClr w14:val="tx1"/>
            </w14:solidFill>
          </w14:textFill>
        </w:rPr>
        <w:t>。</w:t>
      </w:r>
    </w:p>
    <w:p w14:paraId="0DE69D11">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jc w:val="left"/>
        <w:textAlignment w:val="auto"/>
        <w:rPr>
          <w:rFonts w:hint="default" w:ascii="Times New Roman" w:hAnsi="Times New Roman" w:cs="Times New Roman"/>
          <w:snapToGrid w:val="0"/>
          <w:color w:val="000000" w:themeColor="text1"/>
          <w:sz w:val="24"/>
          <w:u w:val="none" w:color="auto"/>
          <w14:textFill>
            <w14:solidFill>
              <w14:schemeClr w14:val="tx1"/>
            </w14:solidFill>
          </w14:textFill>
        </w:rPr>
      </w:pPr>
      <w:r>
        <w:rPr>
          <w:rFonts w:hint="eastAsia" w:ascii="Times New Roman" w:hAnsi="Times New Roman" w:cs="Times New Roman"/>
          <w:snapToGrid w:val="0"/>
          <w:color w:val="000000" w:themeColor="text1"/>
          <w:sz w:val="24"/>
          <w:u w:val="none" w:color="auto"/>
          <w:lang w:val="en-US" w:eastAsia="zh-CN"/>
          <w14:textFill>
            <w14:solidFill>
              <w14:schemeClr w14:val="tx1"/>
            </w14:solidFill>
          </w14:textFill>
        </w:rPr>
        <w:t>本项目施工期较短，工程规模不大，且施工阶段现场已进行合理化管理、采取包括运输车辆/现场进行遮盖、洒水抑尘、施工现场设置围挡、选用合格环保的施工机械、错峰施工等措施，项目</w:t>
      </w:r>
      <w:r>
        <w:rPr>
          <w:rFonts w:hint="default" w:ascii="Times New Roman" w:hAnsi="Times New Roman" w:cs="Times New Roman"/>
          <w:snapToGrid w:val="0"/>
          <w:color w:val="000000" w:themeColor="text1"/>
          <w:sz w:val="24"/>
          <w:u w:val="none" w:color="auto"/>
          <w14:textFill>
            <w14:solidFill>
              <w14:schemeClr w14:val="tx1"/>
            </w14:solidFill>
          </w14:textFill>
        </w:rPr>
        <w:t>施工期产生废气对周围大气环境影响较小。</w:t>
      </w:r>
    </w:p>
    <w:p w14:paraId="36EBE9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default" w:ascii="Times New Roman" w:hAnsi="Times New Roman" w:cs="Times New Roman"/>
          <w:b/>
          <w:bCs/>
          <w:snapToGrid w:val="0"/>
          <w:color w:val="000000" w:themeColor="text1"/>
          <w:sz w:val="24"/>
          <w:u w:val="none" w:color="auto"/>
          <w14:textFill>
            <w14:solidFill>
              <w14:schemeClr w14:val="tx1"/>
            </w14:solidFill>
          </w14:textFill>
        </w:rPr>
      </w:pPr>
      <w:r>
        <w:rPr>
          <w:rFonts w:hint="eastAsia" w:ascii="Times New Roman" w:hAnsi="Times New Roman" w:cs="Times New Roman"/>
          <w:b/>
          <w:bCs/>
          <w:snapToGrid w:val="0"/>
          <w:color w:val="000000" w:themeColor="text1"/>
          <w:sz w:val="24"/>
          <w:u w:val="none" w:color="auto"/>
          <w:lang w:eastAsia="zh-CN"/>
          <w14:textFill>
            <w14:solidFill>
              <w14:schemeClr w14:val="tx1"/>
            </w14:solidFill>
          </w14:textFill>
        </w:rPr>
        <w:t>（</w:t>
      </w:r>
      <w:r>
        <w:rPr>
          <w:rFonts w:hint="eastAsia" w:ascii="Times New Roman" w:hAnsi="Times New Roman" w:cs="Times New Roman"/>
          <w:b/>
          <w:bCs/>
          <w:snapToGrid w:val="0"/>
          <w:color w:val="000000" w:themeColor="text1"/>
          <w:sz w:val="24"/>
          <w:u w:val="none" w:color="auto"/>
          <w:lang w:val="en-US" w:eastAsia="zh-CN"/>
          <w14:textFill>
            <w14:solidFill>
              <w14:schemeClr w14:val="tx1"/>
            </w14:solidFill>
          </w14:textFill>
        </w:rPr>
        <w:t>2</w:t>
      </w:r>
      <w:r>
        <w:rPr>
          <w:rFonts w:hint="eastAsia" w:ascii="Times New Roman" w:hAnsi="Times New Roman" w:cs="Times New Roman"/>
          <w:b/>
          <w:bCs/>
          <w:snapToGrid w:val="0"/>
          <w:color w:val="000000" w:themeColor="text1"/>
          <w:sz w:val="24"/>
          <w:u w:val="none" w:color="auto"/>
          <w:lang w:eastAsia="zh-CN"/>
          <w14:textFill>
            <w14:solidFill>
              <w14:schemeClr w14:val="tx1"/>
            </w14:solidFill>
          </w14:textFill>
        </w:rPr>
        <w:t>）</w:t>
      </w:r>
      <w:r>
        <w:rPr>
          <w:rFonts w:hint="default" w:ascii="Times New Roman" w:hAnsi="Times New Roman" w:cs="Times New Roman"/>
          <w:b/>
          <w:bCs/>
          <w:snapToGrid w:val="0"/>
          <w:color w:val="000000" w:themeColor="text1"/>
          <w:sz w:val="24"/>
          <w:u w:val="none" w:color="auto"/>
          <w14:textFill>
            <w14:solidFill>
              <w14:schemeClr w14:val="tx1"/>
            </w14:solidFill>
          </w14:textFill>
        </w:rPr>
        <w:t>施工期水环境影响和保护措施</w:t>
      </w:r>
    </w:p>
    <w:p w14:paraId="2C7FDB70">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jc w:val="left"/>
        <w:textAlignment w:val="auto"/>
        <w:rPr>
          <w:rFonts w:hint="default" w:ascii="Times New Roman" w:hAnsi="Times New Roman" w:cs="Times New Roman"/>
          <w:snapToGrid w:val="0"/>
          <w:color w:val="000000" w:themeColor="text1"/>
          <w:sz w:val="24"/>
          <w:u w:val="none" w:color="auto"/>
          <w14:textFill>
            <w14:solidFill>
              <w14:schemeClr w14:val="tx1"/>
            </w14:solidFill>
          </w14:textFill>
        </w:rPr>
      </w:pPr>
      <w:r>
        <w:rPr>
          <w:rFonts w:hint="eastAsia" w:ascii="Times New Roman" w:hAnsi="Times New Roman" w:cs="Times New Roman"/>
          <w:snapToGrid w:val="0"/>
          <w:color w:val="000000" w:themeColor="text1"/>
          <w:sz w:val="24"/>
          <w:u w:val="none" w:color="auto"/>
          <w:lang w:val="en-US" w:eastAsia="zh-CN"/>
          <w14:textFill>
            <w14:solidFill>
              <w14:schemeClr w14:val="tx1"/>
            </w14:solidFill>
          </w14:textFill>
        </w:rPr>
        <w:t>本</w:t>
      </w:r>
      <w:r>
        <w:rPr>
          <w:rFonts w:hint="default" w:ascii="Times New Roman" w:hAnsi="Times New Roman" w:cs="Times New Roman"/>
          <w:snapToGrid w:val="0"/>
          <w:color w:val="000000" w:themeColor="text1"/>
          <w:sz w:val="24"/>
          <w:u w:val="none" w:color="auto"/>
          <w14:textFill>
            <w14:solidFill>
              <w14:schemeClr w14:val="tx1"/>
            </w14:solidFill>
          </w14:textFill>
        </w:rPr>
        <w:t>项目</w:t>
      </w:r>
      <w:r>
        <w:rPr>
          <w:rFonts w:hint="eastAsia" w:ascii="Times New Roman" w:hAnsi="Times New Roman" w:cs="Times New Roman"/>
          <w:snapToGrid w:val="0"/>
          <w:color w:val="000000" w:themeColor="text1"/>
          <w:sz w:val="24"/>
          <w:u w:val="none" w:color="auto"/>
          <w:lang w:val="en-US" w:eastAsia="zh-CN"/>
          <w14:textFill>
            <w14:solidFill>
              <w14:schemeClr w14:val="tx1"/>
            </w14:solidFill>
          </w14:textFill>
        </w:rPr>
        <w:t>不设施工营地，因此</w:t>
      </w:r>
      <w:r>
        <w:rPr>
          <w:rFonts w:hint="default" w:ascii="Times New Roman" w:hAnsi="Times New Roman" w:cs="Times New Roman"/>
          <w:snapToGrid w:val="0"/>
          <w:color w:val="000000" w:themeColor="text1"/>
          <w:sz w:val="24"/>
          <w:u w:val="none" w:color="auto"/>
          <w14:textFill>
            <w14:solidFill>
              <w14:schemeClr w14:val="tx1"/>
            </w14:solidFill>
          </w14:textFill>
        </w:rPr>
        <w:t>施工期产生废水主要包括</w:t>
      </w:r>
      <w:r>
        <w:rPr>
          <w:rFonts w:hint="eastAsia" w:ascii="Times New Roman" w:hAnsi="Times New Roman" w:cs="Times New Roman"/>
          <w:snapToGrid w:val="0"/>
          <w:color w:val="000000" w:themeColor="text1"/>
          <w:sz w:val="24"/>
          <w:u w:val="none" w:color="auto"/>
          <w:lang w:val="en-US" w:eastAsia="zh-CN"/>
          <w14:textFill>
            <w14:solidFill>
              <w14:schemeClr w14:val="tx1"/>
            </w14:solidFill>
          </w14:textFill>
        </w:rPr>
        <w:t>少量</w:t>
      </w:r>
      <w:r>
        <w:rPr>
          <w:rFonts w:hint="default" w:ascii="Times New Roman" w:hAnsi="Times New Roman" w:cs="Times New Roman"/>
          <w:snapToGrid w:val="0"/>
          <w:color w:val="000000" w:themeColor="text1"/>
          <w:sz w:val="24"/>
          <w:u w:val="none" w:color="auto"/>
          <w14:textFill>
            <w14:solidFill>
              <w14:schemeClr w14:val="tx1"/>
            </w14:solidFill>
          </w14:textFill>
        </w:rPr>
        <w:t>建筑工人生活用水</w:t>
      </w:r>
      <w:r>
        <w:rPr>
          <w:rFonts w:hint="eastAsia" w:ascii="Times New Roman" w:hAnsi="Times New Roman" w:cs="Times New Roman"/>
          <w:snapToGrid w:val="0"/>
          <w:color w:val="000000" w:themeColor="text1"/>
          <w:sz w:val="24"/>
          <w:u w:val="none" w:color="auto"/>
          <w:lang w:eastAsia="zh-CN"/>
          <w14:textFill>
            <w14:solidFill>
              <w14:schemeClr w14:val="tx1"/>
            </w14:solidFill>
          </w14:textFill>
        </w:rPr>
        <w:t>、</w:t>
      </w:r>
      <w:r>
        <w:rPr>
          <w:rFonts w:hint="eastAsia" w:ascii="Times New Roman" w:hAnsi="Times New Roman" w:cs="Times New Roman"/>
          <w:snapToGrid w:val="0"/>
          <w:color w:val="000000" w:themeColor="text1"/>
          <w:sz w:val="24"/>
          <w:u w:val="none" w:color="auto"/>
          <w:lang w:val="en-US" w:eastAsia="zh-CN"/>
          <w14:textFill>
            <w14:solidFill>
              <w14:schemeClr w14:val="tx1"/>
            </w14:solidFill>
          </w14:textFill>
        </w:rPr>
        <w:t>现场</w:t>
      </w:r>
      <w:r>
        <w:rPr>
          <w:rFonts w:hint="default" w:ascii="Times New Roman" w:hAnsi="Times New Roman" w:cs="Times New Roman"/>
          <w:snapToGrid w:val="0"/>
          <w:color w:val="000000" w:themeColor="text1"/>
          <w:sz w:val="24"/>
          <w:u w:val="none" w:color="auto"/>
          <w14:textFill>
            <w14:solidFill>
              <w14:schemeClr w14:val="tx1"/>
            </w14:solidFill>
          </w14:textFill>
        </w:rPr>
        <w:t>施工机械设备</w:t>
      </w:r>
      <w:r>
        <w:rPr>
          <w:rFonts w:hint="eastAsia" w:ascii="Times New Roman" w:hAnsi="Times New Roman" w:cs="Times New Roman"/>
          <w:snapToGrid w:val="0"/>
          <w:color w:val="000000" w:themeColor="text1"/>
          <w:sz w:val="24"/>
          <w:u w:val="none" w:color="auto"/>
          <w:lang w:val="en-US" w:eastAsia="zh-CN"/>
          <w14:textFill>
            <w14:solidFill>
              <w14:schemeClr w14:val="tx1"/>
            </w14:solidFill>
          </w14:textFill>
        </w:rPr>
        <w:t>清洗</w:t>
      </w:r>
      <w:r>
        <w:rPr>
          <w:rFonts w:hint="default" w:ascii="Times New Roman" w:hAnsi="Times New Roman" w:cs="Times New Roman"/>
          <w:snapToGrid w:val="0"/>
          <w:color w:val="000000" w:themeColor="text1"/>
          <w:sz w:val="24"/>
          <w:u w:val="none" w:color="auto"/>
          <w14:textFill>
            <w14:solidFill>
              <w14:schemeClr w14:val="tx1"/>
            </w14:solidFill>
          </w14:textFill>
        </w:rPr>
        <w:t>用水</w:t>
      </w:r>
      <w:r>
        <w:rPr>
          <w:rFonts w:hint="eastAsia" w:ascii="Times New Roman" w:hAnsi="Times New Roman" w:cs="Times New Roman"/>
          <w:snapToGrid w:val="0"/>
          <w:color w:val="000000" w:themeColor="text1"/>
          <w:sz w:val="24"/>
          <w:u w:val="none" w:color="auto"/>
          <w:lang w:val="en-US" w:eastAsia="zh-CN"/>
          <w14:textFill>
            <w14:solidFill>
              <w14:schemeClr w14:val="tx1"/>
            </w14:solidFill>
          </w14:textFill>
        </w:rPr>
        <w:t>和</w:t>
      </w:r>
      <w:r>
        <w:rPr>
          <w:rFonts w:hint="default" w:ascii="Times New Roman" w:hAnsi="Times New Roman" w:cs="Times New Roman"/>
          <w:snapToGrid w:val="0"/>
          <w:color w:val="000000" w:themeColor="text1"/>
          <w:sz w:val="24"/>
          <w:u w:val="none" w:color="auto"/>
          <w14:textFill>
            <w14:solidFill>
              <w14:schemeClr w14:val="tx1"/>
            </w14:solidFill>
          </w14:textFill>
        </w:rPr>
        <w:t>现场的清洗、混凝土养护废水。</w:t>
      </w:r>
      <w:r>
        <w:rPr>
          <w:rFonts w:hint="eastAsia" w:ascii="Times New Roman" w:hAnsi="Times New Roman" w:cs="Times New Roman"/>
          <w:snapToGrid w:val="0"/>
          <w:color w:val="000000" w:themeColor="text1"/>
          <w:sz w:val="24"/>
          <w:u w:val="none" w:color="auto"/>
          <w:lang w:val="en-US" w:eastAsia="zh-CN"/>
          <w14:textFill>
            <w14:solidFill>
              <w14:schemeClr w14:val="tx1"/>
            </w14:solidFill>
          </w14:textFill>
        </w:rPr>
        <w:t>施工阶段建设单位通过严格施工现场管理，</w:t>
      </w:r>
      <w:r>
        <w:rPr>
          <w:rFonts w:hint="default" w:ascii="Times New Roman" w:hAnsi="Times New Roman" w:cs="Times New Roman"/>
          <w:snapToGrid w:val="0"/>
          <w:color w:val="000000" w:themeColor="text1"/>
          <w:sz w:val="24"/>
          <w:u w:val="none" w:color="auto"/>
          <w14:textFill>
            <w14:solidFill>
              <w14:schemeClr w14:val="tx1"/>
            </w14:solidFill>
          </w14:textFill>
        </w:rPr>
        <w:t>减少物料流失、散落和溢流，减少废水产生量；</w:t>
      </w:r>
      <w:r>
        <w:rPr>
          <w:rFonts w:hint="eastAsia" w:ascii="Times New Roman" w:hAnsi="Times New Roman" w:cs="Times New Roman"/>
          <w:snapToGrid w:val="0"/>
          <w:color w:val="000000" w:themeColor="text1"/>
          <w:sz w:val="24"/>
          <w:u w:val="none" w:color="auto"/>
          <w:lang w:val="en-US" w:eastAsia="zh-CN"/>
          <w14:textFill>
            <w14:solidFill>
              <w14:schemeClr w14:val="tx1"/>
            </w14:solidFill>
          </w14:textFill>
        </w:rPr>
        <w:t>建设临时沉淀</w:t>
      </w:r>
      <w:r>
        <w:rPr>
          <w:rFonts w:hint="default" w:ascii="Times New Roman" w:hAnsi="Times New Roman" w:cs="Times New Roman"/>
          <w:snapToGrid w:val="0"/>
          <w:color w:val="000000" w:themeColor="text1"/>
          <w:sz w:val="24"/>
          <w:u w:val="none" w:color="auto"/>
          <w14:textFill>
            <w14:solidFill>
              <w14:schemeClr w14:val="tx1"/>
            </w14:solidFill>
          </w14:textFill>
        </w:rPr>
        <w:t>池、排水沟等</w:t>
      </w:r>
      <w:r>
        <w:rPr>
          <w:rFonts w:hint="eastAsia" w:ascii="Times New Roman" w:hAnsi="Times New Roman" w:cs="Times New Roman"/>
          <w:snapToGrid w:val="0"/>
          <w:color w:val="000000" w:themeColor="text1"/>
          <w:sz w:val="24"/>
          <w:u w:val="none" w:color="auto"/>
          <w:lang w:val="en-US" w:eastAsia="zh-CN"/>
          <w14:textFill>
            <w14:solidFill>
              <w14:schemeClr w14:val="tx1"/>
            </w14:solidFill>
          </w14:textFill>
        </w:rPr>
        <w:t>设施，收集</w:t>
      </w:r>
      <w:r>
        <w:rPr>
          <w:rFonts w:hint="default" w:ascii="Times New Roman" w:hAnsi="Times New Roman" w:cs="Times New Roman"/>
          <w:snapToGrid w:val="0"/>
          <w:color w:val="000000" w:themeColor="text1"/>
          <w:sz w:val="24"/>
          <w:u w:val="none" w:color="auto"/>
          <w14:textFill>
            <w14:solidFill>
              <w14:schemeClr w14:val="tx1"/>
            </w14:solidFill>
          </w14:textFill>
        </w:rPr>
        <w:t>施工废水处理后回用于场地洒水降尘</w:t>
      </w:r>
      <w:r>
        <w:rPr>
          <w:rFonts w:hint="eastAsia" w:ascii="Times New Roman" w:hAnsi="Times New Roman" w:cs="Times New Roman"/>
          <w:snapToGrid w:val="0"/>
          <w:color w:val="000000" w:themeColor="text1"/>
          <w:sz w:val="24"/>
          <w:u w:val="none" w:color="auto"/>
          <w:lang w:eastAsia="zh-CN"/>
          <w14:textFill>
            <w14:solidFill>
              <w14:schemeClr w14:val="tx1"/>
            </w14:solidFill>
          </w14:textFill>
        </w:rPr>
        <w:t>；</w:t>
      </w:r>
      <w:r>
        <w:rPr>
          <w:rFonts w:hint="eastAsia" w:ascii="Times New Roman" w:hAnsi="Times New Roman" w:cs="Times New Roman"/>
          <w:snapToGrid w:val="0"/>
          <w:color w:val="000000" w:themeColor="text1"/>
          <w:sz w:val="24"/>
          <w:u w:val="none" w:color="auto"/>
          <w:lang w:val="en-US" w:eastAsia="zh-CN"/>
          <w14:textFill>
            <w14:solidFill>
              <w14:schemeClr w14:val="tx1"/>
            </w14:solidFill>
          </w14:textFill>
        </w:rPr>
        <w:t>建设化粪池处理施工人员生活污水，清掏后回用</w:t>
      </w:r>
      <w:r>
        <w:rPr>
          <w:rFonts w:hint="default" w:ascii="Times New Roman" w:hAnsi="Times New Roman" w:cs="Times New Roman"/>
          <w:snapToGrid w:val="0"/>
          <w:color w:val="000000" w:themeColor="text1"/>
          <w:sz w:val="24"/>
          <w:u w:val="none" w:color="auto"/>
          <w14:textFill>
            <w14:solidFill>
              <w14:schemeClr w14:val="tx1"/>
            </w14:solidFill>
          </w14:textFill>
        </w:rPr>
        <w:t>周边绿化等。</w:t>
      </w:r>
      <w:r>
        <w:rPr>
          <w:rFonts w:hint="eastAsia" w:ascii="Times New Roman" w:hAnsi="Times New Roman" w:cs="Times New Roman"/>
          <w:snapToGrid w:val="0"/>
          <w:color w:val="000000" w:themeColor="text1"/>
          <w:sz w:val="24"/>
          <w:u w:val="none" w:color="auto"/>
          <w:lang w:val="en-US" w:eastAsia="zh-CN"/>
          <w14:textFill>
            <w14:solidFill>
              <w14:schemeClr w14:val="tx1"/>
            </w14:solidFill>
          </w14:textFill>
        </w:rPr>
        <w:t>本</w:t>
      </w:r>
      <w:r>
        <w:rPr>
          <w:rFonts w:hint="default" w:ascii="Times New Roman" w:hAnsi="Times New Roman" w:cs="Times New Roman"/>
          <w:snapToGrid w:val="0"/>
          <w:color w:val="000000" w:themeColor="text1"/>
          <w:sz w:val="24"/>
          <w:u w:val="none" w:color="auto"/>
          <w14:textFill>
            <w14:solidFill>
              <w14:schemeClr w14:val="tx1"/>
            </w14:solidFill>
          </w14:textFill>
        </w:rPr>
        <w:t>项目工程规模不大，废水产生量有限，</w:t>
      </w:r>
      <w:r>
        <w:rPr>
          <w:rFonts w:hint="eastAsia" w:ascii="Times New Roman" w:hAnsi="Times New Roman" w:cs="Times New Roman"/>
          <w:snapToGrid w:val="0"/>
          <w:color w:val="000000" w:themeColor="text1"/>
          <w:sz w:val="24"/>
          <w:u w:val="none" w:color="auto"/>
          <w:lang w:val="en-US" w:eastAsia="zh-CN"/>
          <w14:textFill>
            <w14:solidFill>
              <w14:schemeClr w14:val="tx1"/>
            </w14:solidFill>
          </w14:textFill>
        </w:rPr>
        <w:t>施工期已</w:t>
      </w:r>
      <w:r>
        <w:rPr>
          <w:rFonts w:hint="default" w:ascii="Times New Roman" w:hAnsi="Times New Roman" w:cs="Times New Roman"/>
          <w:snapToGrid w:val="0"/>
          <w:color w:val="000000" w:themeColor="text1"/>
          <w:sz w:val="24"/>
          <w:u w:val="none" w:color="auto"/>
          <w14:textFill>
            <w14:solidFill>
              <w14:schemeClr w14:val="tx1"/>
            </w14:solidFill>
          </w14:textFill>
        </w:rPr>
        <w:t>采取有效的污染防治措施，</w:t>
      </w:r>
      <w:r>
        <w:rPr>
          <w:rFonts w:hint="eastAsia" w:ascii="Times New Roman" w:hAnsi="Times New Roman" w:cs="Times New Roman"/>
          <w:snapToGrid w:val="0"/>
          <w:color w:val="000000" w:themeColor="text1"/>
          <w:sz w:val="24"/>
          <w:u w:val="none" w:color="auto"/>
          <w:lang w:val="en-US" w:eastAsia="zh-CN"/>
          <w14:textFill>
            <w14:solidFill>
              <w14:schemeClr w14:val="tx1"/>
            </w14:solidFill>
          </w14:textFill>
        </w:rPr>
        <w:t>因此施工期</w:t>
      </w:r>
      <w:r>
        <w:rPr>
          <w:rFonts w:hint="default" w:ascii="Times New Roman" w:hAnsi="Times New Roman" w:cs="Times New Roman"/>
          <w:snapToGrid w:val="0"/>
          <w:color w:val="000000" w:themeColor="text1"/>
          <w:sz w:val="24"/>
          <w:u w:val="none" w:color="auto"/>
          <w14:textFill>
            <w14:solidFill>
              <w14:schemeClr w14:val="tx1"/>
            </w14:solidFill>
          </w14:textFill>
        </w:rPr>
        <w:t>废水对周边的水环境影响较小。</w:t>
      </w:r>
    </w:p>
    <w:p w14:paraId="696067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default" w:ascii="Times New Roman" w:hAnsi="Times New Roman" w:cs="Times New Roman"/>
          <w:b/>
          <w:bCs/>
          <w:snapToGrid w:val="0"/>
          <w:color w:val="000000" w:themeColor="text1"/>
          <w:sz w:val="24"/>
          <w:u w:val="none" w:color="auto"/>
          <w14:textFill>
            <w14:solidFill>
              <w14:schemeClr w14:val="tx1"/>
            </w14:solidFill>
          </w14:textFill>
        </w:rPr>
      </w:pPr>
      <w:r>
        <w:rPr>
          <w:rFonts w:hint="eastAsia" w:ascii="Times New Roman" w:hAnsi="Times New Roman" w:cs="Times New Roman"/>
          <w:b/>
          <w:bCs/>
          <w:snapToGrid w:val="0"/>
          <w:color w:val="000000" w:themeColor="text1"/>
          <w:sz w:val="24"/>
          <w:u w:val="none" w:color="auto"/>
          <w:lang w:val="en-US" w:eastAsia="zh-CN"/>
          <w14:textFill>
            <w14:solidFill>
              <w14:schemeClr w14:val="tx1"/>
            </w14:solidFill>
          </w14:textFill>
        </w:rPr>
        <w:t>（3）</w:t>
      </w:r>
      <w:r>
        <w:rPr>
          <w:rFonts w:hint="default" w:ascii="Times New Roman" w:hAnsi="Times New Roman" w:cs="Times New Roman"/>
          <w:b/>
          <w:bCs/>
          <w:snapToGrid w:val="0"/>
          <w:color w:val="000000" w:themeColor="text1"/>
          <w:sz w:val="24"/>
          <w:u w:val="none" w:color="auto"/>
          <w14:textFill>
            <w14:solidFill>
              <w14:schemeClr w14:val="tx1"/>
            </w14:solidFill>
          </w14:textFill>
        </w:rPr>
        <w:t>施工期噪声环境影响和保护措施</w:t>
      </w:r>
    </w:p>
    <w:p w14:paraId="0A326185">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jc w:val="left"/>
        <w:textAlignment w:val="auto"/>
        <w:rPr>
          <w:rFonts w:hint="default" w:ascii="Times New Roman" w:hAnsi="Times New Roman" w:cs="Times New Roman"/>
          <w:snapToGrid w:val="0"/>
          <w:color w:val="000000" w:themeColor="text1"/>
          <w:sz w:val="24"/>
          <w:u w:val="none" w:color="auto"/>
          <w14:textFill>
            <w14:solidFill>
              <w14:schemeClr w14:val="tx1"/>
            </w14:solidFill>
          </w14:textFill>
        </w:rPr>
      </w:pPr>
      <w:r>
        <w:rPr>
          <w:rFonts w:hint="eastAsia" w:ascii="Times New Roman" w:hAnsi="Times New Roman" w:cs="Times New Roman"/>
          <w:snapToGrid w:val="0"/>
          <w:color w:val="000000" w:themeColor="text1"/>
          <w:sz w:val="24"/>
          <w:u w:val="none" w:color="auto"/>
          <w:lang w:val="en-US" w:eastAsia="zh-CN"/>
          <w14:textFill>
            <w14:solidFill>
              <w14:schemeClr w14:val="tx1"/>
            </w14:solidFill>
          </w14:textFill>
        </w:rPr>
        <w:t>本项目</w:t>
      </w:r>
      <w:r>
        <w:rPr>
          <w:rFonts w:hint="default" w:ascii="Times New Roman" w:hAnsi="Times New Roman" w:cs="Times New Roman"/>
          <w:snapToGrid w:val="0"/>
          <w:color w:val="000000" w:themeColor="text1"/>
          <w:sz w:val="24"/>
          <w:u w:val="none" w:color="auto"/>
          <w14:textFill>
            <w14:solidFill>
              <w14:schemeClr w14:val="tx1"/>
            </w14:solidFill>
          </w14:textFill>
        </w:rPr>
        <w:t>施工期噪声主要为施工机械设备运行时产生的机械噪声，如使用挖掘机、推土机等多种施工机械。</w:t>
      </w:r>
      <w:r>
        <w:rPr>
          <w:rFonts w:hint="eastAsia" w:ascii="Times New Roman" w:hAnsi="Times New Roman" w:cs="Times New Roman"/>
          <w:snapToGrid w:val="0"/>
          <w:color w:val="000000" w:themeColor="text1"/>
          <w:sz w:val="24"/>
          <w:u w:val="none" w:color="auto"/>
          <w:lang w:val="en-US" w:eastAsia="zh-CN"/>
          <w14:textFill>
            <w14:solidFill>
              <w14:schemeClr w14:val="tx1"/>
            </w14:solidFill>
          </w14:textFill>
        </w:rPr>
        <w:t>建设单位施工期通过采取</w:t>
      </w:r>
      <w:r>
        <w:rPr>
          <w:rFonts w:hint="default" w:ascii="Times New Roman" w:hAnsi="Times New Roman" w:cs="Times New Roman"/>
          <w:snapToGrid w:val="0"/>
          <w:color w:val="000000" w:themeColor="text1"/>
          <w:sz w:val="24"/>
          <w:u w:val="none" w:color="auto"/>
          <w14:textFill>
            <w14:solidFill>
              <w14:schemeClr w14:val="tx1"/>
            </w14:solidFill>
          </w14:textFill>
        </w:rPr>
        <w:t>合理选择</w:t>
      </w:r>
      <w:r>
        <w:rPr>
          <w:rFonts w:hint="eastAsia" w:ascii="Times New Roman" w:hAnsi="Times New Roman" w:cs="Times New Roman"/>
          <w:snapToGrid w:val="0"/>
          <w:color w:val="000000" w:themeColor="text1"/>
          <w:sz w:val="24"/>
          <w:u w:val="none" w:color="auto"/>
          <w:lang w:val="en-US" w:eastAsia="zh-CN"/>
          <w14:textFill>
            <w14:solidFill>
              <w14:schemeClr w14:val="tx1"/>
            </w14:solidFill>
          </w14:textFill>
        </w:rPr>
        <w:t>低噪声</w:t>
      </w:r>
      <w:r>
        <w:rPr>
          <w:rFonts w:hint="default" w:ascii="Times New Roman" w:hAnsi="Times New Roman" w:cs="Times New Roman"/>
          <w:snapToGrid w:val="0"/>
          <w:color w:val="000000" w:themeColor="text1"/>
          <w:sz w:val="24"/>
          <w:u w:val="none" w:color="auto"/>
          <w14:textFill>
            <w14:solidFill>
              <w14:schemeClr w14:val="tx1"/>
            </w14:solidFill>
          </w14:textFill>
        </w:rPr>
        <w:t>施工机械</w:t>
      </w:r>
      <w:r>
        <w:rPr>
          <w:rFonts w:hint="eastAsia" w:ascii="Times New Roman" w:hAnsi="Times New Roman" w:cs="Times New Roman"/>
          <w:snapToGrid w:val="0"/>
          <w:color w:val="000000" w:themeColor="text1"/>
          <w:sz w:val="24"/>
          <w:u w:val="none" w:color="auto"/>
          <w:lang w:eastAsia="zh-CN"/>
          <w14:textFill>
            <w14:solidFill>
              <w14:schemeClr w14:val="tx1"/>
            </w14:solidFill>
          </w14:textFill>
        </w:rPr>
        <w:t>、</w:t>
      </w:r>
      <w:r>
        <w:rPr>
          <w:rFonts w:hint="default" w:ascii="Times New Roman" w:hAnsi="Times New Roman" w:cs="Times New Roman"/>
          <w:snapToGrid w:val="0"/>
          <w:color w:val="000000" w:themeColor="text1"/>
          <w:sz w:val="24"/>
          <w:u w:val="none" w:color="auto"/>
          <w14:textFill>
            <w14:solidFill>
              <w14:schemeClr w14:val="tx1"/>
            </w14:solidFill>
          </w14:textFill>
        </w:rPr>
        <w:t>安装减震垫</w:t>
      </w:r>
      <w:r>
        <w:rPr>
          <w:rFonts w:hint="eastAsia" w:ascii="Times New Roman" w:hAnsi="Times New Roman" w:cs="Times New Roman"/>
          <w:snapToGrid w:val="0"/>
          <w:color w:val="000000" w:themeColor="text1"/>
          <w:sz w:val="24"/>
          <w:u w:val="none" w:color="auto"/>
          <w:lang w:eastAsia="zh-CN"/>
          <w14:textFill>
            <w14:solidFill>
              <w14:schemeClr w14:val="tx1"/>
            </w14:solidFill>
          </w14:textFill>
        </w:rPr>
        <w:t>、</w:t>
      </w:r>
      <w:r>
        <w:rPr>
          <w:rFonts w:hint="default" w:ascii="Times New Roman" w:hAnsi="Times New Roman" w:cs="Times New Roman"/>
          <w:snapToGrid w:val="0"/>
          <w:color w:val="000000" w:themeColor="text1"/>
          <w:sz w:val="24"/>
          <w:u w:val="none" w:color="auto"/>
          <w14:textFill>
            <w14:solidFill>
              <w14:schemeClr w14:val="tx1"/>
            </w14:solidFill>
          </w14:textFill>
        </w:rPr>
        <w:t>噪声设备</w:t>
      </w:r>
      <w:r>
        <w:rPr>
          <w:rFonts w:hint="eastAsia" w:ascii="Times New Roman" w:hAnsi="Times New Roman" w:cs="Times New Roman"/>
          <w:snapToGrid w:val="0"/>
          <w:color w:val="000000" w:themeColor="text1"/>
          <w:sz w:val="24"/>
          <w:u w:val="none" w:color="auto"/>
          <w:lang w:val="en-US" w:eastAsia="zh-CN"/>
          <w14:textFill>
            <w14:solidFill>
              <w14:schemeClr w14:val="tx1"/>
            </w14:solidFill>
          </w14:textFill>
        </w:rPr>
        <w:t>尽量</w:t>
      </w:r>
      <w:r>
        <w:rPr>
          <w:rFonts w:hint="default" w:ascii="Times New Roman" w:hAnsi="Times New Roman" w:cs="Times New Roman"/>
          <w:snapToGrid w:val="0"/>
          <w:color w:val="000000" w:themeColor="text1"/>
          <w:sz w:val="24"/>
          <w:u w:val="none" w:color="auto"/>
          <w14:textFill>
            <w14:solidFill>
              <w14:schemeClr w14:val="tx1"/>
            </w14:solidFill>
          </w14:textFill>
        </w:rPr>
        <w:t>布置在远离</w:t>
      </w:r>
      <w:r>
        <w:rPr>
          <w:rFonts w:hint="eastAsia" w:ascii="Times New Roman" w:hAnsi="Times New Roman" w:cs="Times New Roman"/>
          <w:snapToGrid w:val="0"/>
          <w:color w:val="000000" w:themeColor="text1"/>
          <w:sz w:val="24"/>
          <w:u w:val="none" w:color="auto"/>
          <w:lang w:val="en-US" w:eastAsia="zh-CN"/>
          <w14:textFill>
            <w14:solidFill>
              <w14:schemeClr w14:val="tx1"/>
            </w14:solidFill>
          </w14:textFill>
        </w:rPr>
        <w:t>附近居民敏感点区域、</w:t>
      </w:r>
      <w:r>
        <w:rPr>
          <w:rFonts w:hint="default" w:ascii="Times New Roman" w:hAnsi="Times New Roman" w:cs="Times New Roman"/>
          <w:snapToGrid w:val="0"/>
          <w:color w:val="000000" w:themeColor="text1"/>
          <w:sz w:val="24"/>
          <w:u w:val="none" w:color="auto"/>
          <w14:textFill>
            <w14:solidFill>
              <w14:schemeClr w14:val="tx1"/>
            </w14:solidFill>
          </w14:textFill>
        </w:rPr>
        <w:t>合理安排施工时间</w:t>
      </w:r>
      <w:r>
        <w:rPr>
          <w:rFonts w:hint="eastAsia" w:ascii="Times New Roman" w:hAnsi="Times New Roman" w:cs="Times New Roman"/>
          <w:snapToGrid w:val="0"/>
          <w:color w:val="000000" w:themeColor="text1"/>
          <w:sz w:val="24"/>
          <w:u w:val="none" w:color="auto"/>
          <w:lang w:eastAsia="zh-CN"/>
          <w14:textFill>
            <w14:solidFill>
              <w14:schemeClr w14:val="tx1"/>
            </w14:solidFill>
          </w14:textFill>
        </w:rPr>
        <w:t>、</w:t>
      </w:r>
      <w:r>
        <w:rPr>
          <w:rFonts w:hint="eastAsia" w:ascii="Times New Roman" w:hAnsi="Times New Roman" w:cs="Times New Roman"/>
          <w:snapToGrid w:val="0"/>
          <w:color w:val="000000" w:themeColor="text1"/>
          <w:sz w:val="24"/>
          <w:u w:val="none" w:color="auto"/>
          <w:lang w:val="en-US" w:eastAsia="zh-CN"/>
          <w14:textFill>
            <w14:solidFill>
              <w14:schemeClr w14:val="tx1"/>
            </w14:solidFill>
          </w14:textFill>
        </w:rPr>
        <w:t>施工现场</w:t>
      </w:r>
      <w:r>
        <w:rPr>
          <w:rFonts w:hint="default" w:ascii="Times New Roman" w:hAnsi="Times New Roman" w:cs="Times New Roman"/>
          <w:snapToGrid w:val="0"/>
          <w:color w:val="000000" w:themeColor="text1"/>
          <w:sz w:val="24"/>
          <w:u w:val="none" w:color="auto"/>
          <w14:textFill>
            <w14:solidFill>
              <w14:schemeClr w14:val="tx1"/>
            </w14:solidFill>
          </w14:textFill>
        </w:rPr>
        <w:t>运输车辆减速缓行、禁止鸣笛等措施，减小</w:t>
      </w:r>
      <w:r>
        <w:rPr>
          <w:rFonts w:hint="eastAsia" w:ascii="Times New Roman" w:hAnsi="Times New Roman" w:cs="Times New Roman"/>
          <w:snapToGrid w:val="0"/>
          <w:color w:val="000000" w:themeColor="text1"/>
          <w:sz w:val="24"/>
          <w:u w:val="none" w:color="auto"/>
          <w:lang w:val="en-US" w:eastAsia="zh-CN"/>
          <w14:textFill>
            <w14:solidFill>
              <w14:schemeClr w14:val="tx1"/>
            </w14:solidFill>
          </w14:textFill>
        </w:rPr>
        <w:t>施工</w:t>
      </w:r>
      <w:r>
        <w:rPr>
          <w:rFonts w:hint="default" w:ascii="Times New Roman" w:hAnsi="Times New Roman" w:cs="Times New Roman"/>
          <w:snapToGrid w:val="0"/>
          <w:color w:val="000000" w:themeColor="text1"/>
          <w:sz w:val="24"/>
          <w:u w:val="none" w:color="auto"/>
          <w14:textFill>
            <w14:solidFill>
              <w14:schemeClr w14:val="tx1"/>
            </w14:solidFill>
          </w14:textFill>
        </w:rPr>
        <w:t>噪声对</w:t>
      </w:r>
      <w:r>
        <w:rPr>
          <w:rFonts w:hint="eastAsia" w:ascii="Times New Roman" w:hAnsi="Times New Roman" w:cs="Times New Roman"/>
          <w:snapToGrid w:val="0"/>
          <w:color w:val="000000" w:themeColor="text1"/>
          <w:sz w:val="24"/>
          <w:u w:val="none" w:color="auto"/>
          <w:lang w:val="en-US" w:eastAsia="zh-CN"/>
          <w14:textFill>
            <w14:solidFill>
              <w14:schemeClr w14:val="tx1"/>
            </w14:solidFill>
          </w14:textFill>
        </w:rPr>
        <w:t>地块周边</w:t>
      </w:r>
      <w:r>
        <w:rPr>
          <w:rFonts w:hint="default" w:ascii="Times New Roman" w:hAnsi="Times New Roman" w:cs="Times New Roman"/>
          <w:snapToGrid w:val="0"/>
          <w:color w:val="000000" w:themeColor="text1"/>
          <w:sz w:val="24"/>
          <w:u w:val="none" w:color="auto"/>
          <w14:textFill>
            <w14:solidFill>
              <w14:schemeClr w14:val="tx1"/>
            </w14:solidFill>
          </w14:textFill>
        </w:rPr>
        <w:t>居民的影响。</w:t>
      </w:r>
      <w:r>
        <w:rPr>
          <w:rFonts w:hint="eastAsia" w:ascii="Times New Roman" w:hAnsi="Times New Roman" w:cs="Times New Roman"/>
          <w:snapToGrid w:val="0"/>
          <w:color w:val="000000" w:themeColor="text1"/>
          <w:sz w:val="24"/>
          <w:u w:val="none" w:color="auto"/>
          <w:lang w:val="en-US" w:eastAsia="zh-CN"/>
          <w14:textFill>
            <w14:solidFill>
              <w14:schemeClr w14:val="tx1"/>
            </w14:solidFill>
          </w14:textFill>
        </w:rPr>
        <w:t>本项目施工期各项噪声污染防治措施落实到位，因此</w:t>
      </w:r>
      <w:r>
        <w:rPr>
          <w:rFonts w:hint="default" w:ascii="Times New Roman" w:hAnsi="Times New Roman" w:cs="Times New Roman"/>
          <w:snapToGrid w:val="0"/>
          <w:color w:val="000000" w:themeColor="text1"/>
          <w:sz w:val="24"/>
          <w:u w:val="none" w:color="auto"/>
          <w14:textFill>
            <w14:solidFill>
              <w14:schemeClr w14:val="tx1"/>
            </w14:solidFill>
          </w14:textFill>
        </w:rPr>
        <w:t>施工噪声</w:t>
      </w:r>
      <w:r>
        <w:rPr>
          <w:rFonts w:hint="eastAsia" w:ascii="Times New Roman" w:hAnsi="Times New Roman" w:cs="Times New Roman"/>
          <w:snapToGrid w:val="0"/>
          <w:color w:val="000000" w:themeColor="text1"/>
          <w:sz w:val="24"/>
          <w:u w:val="none" w:color="auto"/>
          <w:lang w:val="en-US" w:eastAsia="zh-CN"/>
          <w14:textFill>
            <w14:solidFill>
              <w14:schemeClr w14:val="tx1"/>
            </w14:solidFill>
          </w14:textFill>
        </w:rPr>
        <w:t>对</w:t>
      </w:r>
      <w:r>
        <w:rPr>
          <w:rFonts w:hint="default" w:ascii="Times New Roman" w:hAnsi="Times New Roman" w:cs="Times New Roman"/>
          <w:snapToGrid w:val="0"/>
          <w:color w:val="000000" w:themeColor="text1"/>
          <w:sz w:val="24"/>
          <w:u w:val="none" w:color="auto"/>
          <w14:textFill>
            <w14:solidFill>
              <w14:schemeClr w14:val="tx1"/>
            </w14:solidFill>
          </w14:textFill>
        </w:rPr>
        <w:t>周围环境</w:t>
      </w:r>
      <w:r>
        <w:rPr>
          <w:rFonts w:hint="eastAsia" w:ascii="Times New Roman" w:hAnsi="Times New Roman" w:cs="Times New Roman"/>
          <w:snapToGrid w:val="0"/>
          <w:color w:val="000000" w:themeColor="text1"/>
          <w:sz w:val="24"/>
          <w:u w:val="none" w:color="auto"/>
          <w:lang w:val="en-US" w:eastAsia="zh-CN"/>
          <w14:textFill>
            <w14:solidFill>
              <w14:schemeClr w14:val="tx1"/>
            </w14:solidFill>
          </w14:textFill>
        </w:rPr>
        <w:t>产生影响较小</w:t>
      </w:r>
      <w:r>
        <w:rPr>
          <w:rFonts w:hint="default" w:ascii="Times New Roman" w:hAnsi="Times New Roman" w:cs="Times New Roman"/>
          <w:snapToGrid w:val="0"/>
          <w:color w:val="000000" w:themeColor="text1"/>
          <w:sz w:val="24"/>
          <w:u w:val="none" w:color="auto"/>
          <w14:textFill>
            <w14:solidFill>
              <w14:schemeClr w14:val="tx1"/>
            </w14:solidFill>
          </w14:textFill>
        </w:rPr>
        <w:t>。</w:t>
      </w:r>
    </w:p>
    <w:p w14:paraId="2F0630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default" w:ascii="Times New Roman" w:hAnsi="Times New Roman" w:cs="Times New Roman"/>
          <w:b/>
          <w:bCs/>
          <w:snapToGrid w:val="0"/>
          <w:color w:val="000000" w:themeColor="text1"/>
          <w:sz w:val="24"/>
          <w:u w:val="none" w:color="auto"/>
          <w14:textFill>
            <w14:solidFill>
              <w14:schemeClr w14:val="tx1"/>
            </w14:solidFill>
          </w14:textFill>
        </w:rPr>
      </w:pPr>
      <w:r>
        <w:rPr>
          <w:rFonts w:hint="eastAsia" w:ascii="Times New Roman" w:hAnsi="Times New Roman" w:cs="Times New Roman"/>
          <w:b/>
          <w:bCs/>
          <w:snapToGrid w:val="0"/>
          <w:color w:val="000000" w:themeColor="text1"/>
          <w:sz w:val="24"/>
          <w:u w:val="none" w:color="auto"/>
          <w:lang w:eastAsia="zh-CN"/>
          <w14:textFill>
            <w14:solidFill>
              <w14:schemeClr w14:val="tx1"/>
            </w14:solidFill>
          </w14:textFill>
        </w:rPr>
        <w:t>（</w:t>
      </w:r>
      <w:r>
        <w:rPr>
          <w:rFonts w:hint="eastAsia" w:ascii="Times New Roman" w:hAnsi="Times New Roman" w:cs="Times New Roman"/>
          <w:b/>
          <w:bCs/>
          <w:snapToGrid w:val="0"/>
          <w:color w:val="000000" w:themeColor="text1"/>
          <w:sz w:val="24"/>
          <w:u w:val="none" w:color="auto"/>
          <w:lang w:val="en-US" w:eastAsia="zh-CN"/>
          <w14:textFill>
            <w14:solidFill>
              <w14:schemeClr w14:val="tx1"/>
            </w14:solidFill>
          </w14:textFill>
        </w:rPr>
        <w:t>4</w:t>
      </w:r>
      <w:r>
        <w:rPr>
          <w:rFonts w:hint="eastAsia" w:ascii="Times New Roman" w:hAnsi="Times New Roman" w:cs="Times New Roman"/>
          <w:b/>
          <w:bCs/>
          <w:snapToGrid w:val="0"/>
          <w:color w:val="000000" w:themeColor="text1"/>
          <w:sz w:val="24"/>
          <w:u w:val="none" w:color="auto"/>
          <w:lang w:eastAsia="zh-CN"/>
          <w14:textFill>
            <w14:solidFill>
              <w14:schemeClr w14:val="tx1"/>
            </w14:solidFill>
          </w14:textFill>
        </w:rPr>
        <w:t>）</w:t>
      </w:r>
      <w:r>
        <w:rPr>
          <w:rFonts w:hint="default" w:ascii="Times New Roman" w:hAnsi="Times New Roman" w:cs="Times New Roman"/>
          <w:b/>
          <w:bCs/>
          <w:snapToGrid w:val="0"/>
          <w:color w:val="000000" w:themeColor="text1"/>
          <w:sz w:val="24"/>
          <w:u w:val="none" w:color="auto"/>
          <w14:textFill>
            <w14:solidFill>
              <w14:schemeClr w14:val="tx1"/>
            </w14:solidFill>
          </w14:textFill>
        </w:rPr>
        <w:t>固体废物环境的影响分析</w:t>
      </w:r>
    </w:p>
    <w:p w14:paraId="4E199FB4">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jc w:val="left"/>
        <w:textAlignment w:val="auto"/>
        <w:rPr>
          <w:rFonts w:hint="default" w:ascii="Times New Roman" w:hAnsi="Times New Roman" w:cs="Times New Roman"/>
          <w:snapToGrid w:val="0"/>
          <w:color w:val="000000" w:themeColor="text1"/>
          <w:sz w:val="24"/>
          <w:u w:val="none" w:color="auto"/>
          <w:lang w:val="en-US" w:eastAsia="zh-CN"/>
          <w14:textFill>
            <w14:solidFill>
              <w14:schemeClr w14:val="tx1"/>
            </w14:solidFill>
          </w14:textFill>
        </w:rPr>
      </w:pPr>
      <w:r>
        <w:rPr>
          <w:rFonts w:hint="eastAsia" w:ascii="Times New Roman" w:hAnsi="Times New Roman" w:cs="Times New Roman"/>
          <w:snapToGrid w:val="0"/>
          <w:color w:val="000000" w:themeColor="text1"/>
          <w:sz w:val="24"/>
          <w:u w:val="none" w:color="auto"/>
          <w:lang w:val="en-US" w:eastAsia="zh-CN"/>
          <w14:textFill>
            <w14:solidFill>
              <w14:schemeClr w14:val="tx1"/>
            </w14:solidFill>
          </w14:textFill>
        </w:rPr>
        <w:t>建筑垃圾本项目建筑垃圾主要为原有建筑物拆除的建筑垃圾。施工过程中产生的废弃的建材、包装材料等，施工产生的废料首先考虑废料的回收利用，对钢筋、钢板、木材等</w:t>
      </w:r>
      <w:r>
        <w:rPr>
          <w:rFonts w:hint="eastAsia" w:cs="Times New Roman"/>
          <w:snapToGrid w:val="0"/>
          <w:color w:val="000000" w:themeColor="text1"/>
          <w:sz w:val="24"/>
          <w:u w:val="none" w:color="auto"/>
          <w:lang w:val="en-US" w:eastAsia="zh-CN"/>
          <w14:textFill>
            <w14:solidFill>
              <w14:schemeClr w14:val="tx1"/>
            </w14:solidFill>
          </w14:textFill>
        </w:rPr>
        <w:t>边角</w:t>
      </w:r>
      <w:r>
        <w:rPr>
          <w:rFonts w:hint="eastAsia" w:ascii="Times New Roman" w:hAnsi="Times New Roman" w:cs="Times New Roman"/>
          <w:snapToGrid w:val="0"/>
          <w:color w:val="000000" w:themeColor="text1"/>
          <w:sz w:val="24"/>
          <w:u w:val="none" w:color="auto"/>
          <w:lang w:val="en-US" w:eastAsia="zh-CN"/>
          <w14:textFill>
            <w14:solidFill>
              <w14:schemeClr w14:val="tx1"/>
            </w14:solidFill>
          </w14:textFill>
        </w:rPr>
        <w:t>料可分类回收，交废物收购站处理；对不能回收的建筑垃圾，如混凝土废料、含砖、石、砂的杂土等应集中堆放，定时清运到建筑垃圾填埋场处置。本项目施工期</w:t>
      </w:r>
      <w:r>
        <w:rPr>
          <w:rFonts w:hint="default" w:ascii="Times New Roman" w:hAnsi="Times New Roman" w:cs="Times New Roman"/>
          <w:snapToGrid w:val="0"/>
          <w:color w:val="000000" w:themeColor="text1"/>
          <w:sz w:val="24"/>
          <w:u w:val="none" w:color="auto"/>
          <w:lang w:val="en-US" w:eastAsia="zh-CN"/>
          <w14:textFill>
            <w14:solidFill>
              <w14:schemeClr w14:val="tx1"/>
            </w14:solidFill>
          </w14:textFill>
        </w:rPr>
        <w:t>产生的固废</w:t>
      </w:r>
      <w:r>
        <w:rPr>
          <w:rFonts w:hint="eastAsia" w:ascii="Times New Roman" w:hAnsi="Times New Roman" w:cs="Times New Roman"/>
          <w:snapToGrid w:val="0"/>
          <w:color w:val="000000" w:themeColor="text1"/>
          <w:sz w:val="24"/>
          <w:u w:val="none" w:color="auto"/>
          <w:lang w:val="en-US" w:eastAsia="zh-CN"/>
          <w14:textFill>
            <w14:solidFill>
              <w14:schemeClr w14:val="tx1"/>
            </w14:solidFill>
          </w14:textFill>
        </w:rPr>
        <w:t>均已</w:t>
      </w:r>
      <w:r>
        <w:rPr>
          <w:rFonts w:hint="default" w:ascii="Times New Roman" w:hAnsi="Times New Roman" w:cs="Times New Roman"/>
          <w:snapToGrid w:val="0"/>
          <w:color w:val="000000" w:themeColor="text1"/>
          <w:sz w:val="24"/>
          <w:u w:val="none" w:color="auto"/>
          <w:lang w:val="en-US" w:eastAsia="zh-CN"/>
          <w14:textFill>
            <w14:solidFill>
              <w14:schemeClr w14:val="tx1"/>
            </w14:solidFill>
          </w14:textFill>
        </w:rPr>
        <w:t>得到有效的处置，对周围环境影响较小。</w:t>
      </w:r>
    </w:p>
    <w:p w14:paraId="7CACC4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default" w:ascii="Times New Roman" w:hAnsi="Times New Roman" w:cs="Times New Roman"/>
          <w:b/>
          <w:bCs/>
          <w:snapToGrid w:val="0"/>
          <w:color w:val="000000" w:themeColor="text1"/>
          <w:sz w:val="24"/>
          <w:u w:val="none" w:color="auto"/>
          <w14:textFill>
            <w14:solidFill>
              <w14:schemeClr w14:val="tx1"/>
            </w14:solidFill>
          </w14:textFill>
        </w:rPr>
      </w:pPr>
      <w:r>
        <w:rPr>
          <w:rFonts w:hint="eastAsia" w:ascii="Times New Roman" w:hAnsi="Times New Roman" w:cs="Times New Roman"/>
          <w:b/>
          <w:bCs/>
          <w:snapToGrid w:val="0"/>
          <w:color w:val="000000" w:themeColor="text1"/>
          <w:sz w:val="24"/>
          <w:u w:val="none" w:color="auto"/>
          <w:lang w:val="en-US" w:eastAsia="zh-CN"/>
          <w14:textFill>
            <w14:solidFill>
              <w14:schemeClr w14:val="tx1"/>
            </w14:solidFill>
          </w14:textFill>
        </w:rPr>
        <w:t>（5）</w:t>
      </w:r>
      <w:r>
        <w:rPr>
          <w:rFonts w:hint="default" w:ascii="Times New Roman" w:hAnsi="Times New Roman" w:cs="Times New Roman"/>
          <w:b/>
          <w:bCs/>
          <w:snapToGrid w:val="0"/>
          <w:color w:val="000000" w:themeColor="text1"/>
          <w:sz w:val="24"/>
          <w:u w:val="none" w:color="auto"/>
          <w14:textFill>
            <w14:solidFill>
              <w14:schemeClr w14:val="tx1"/>
            </w14:solidFill>
          </w14:textFill>
        </w:rPr>
        <w:t>施工期生态环境影响和保护措施</w:t>
      </w:r>
    </w:p>
    <w:p w14:paraId="119A6AAC">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jc w:val="left"/>
        <w:textAlignment w:val="auto"/>
        <w:rPr>
          <w:rFonts w:hint="default" w:ascii="Times New Roman" w:hAnsi="Times New Roman" w:cs="Times New Roman"/>
          <w:snapToGrid w:val="0"/>
          <w:color w:val="000000" w:themeColor="text1"/>
          <w:sz w:val="24"/>
          <w:u w:val="none" w:color="auto"/>
          <w14:textFill>
            <w14:solidFill>
              <w14:schemeClr w14:val="tx1"/>
            </w14:solidFill>
          </w14:textFill>
        </w:rPr>
      </w:pPr>
      <w:r>
        <w:rPr>
          <w:rFonts w:hint="eastAsia" w:ascii="Times New Roman" w:hAnsi="Times New Roman" w:cs="Times New Roman"/>
          <w:snapToGrid w:val="0"/>
          <w:color w:val="000000" w:themeColor="text1"/>
          <w:sz w:val="24"/>
          <w:u w:val="none" w:color="auto"/>
          <w:lang w:val="en-US" w:eastAsia="zh-CN"/>
          <w14:textFill>
            <w14:solidFill>
              <w14:schemeClr w14:val="tx1"/>
            </w14:solidFill>
          </w14:textFill>
        </w:rPr>
        <w:t>本</w:t>
      </w:r>
      <w:r>
        <w:rPr>
          <w:rFonts w:hint="default" w:ascii="Times New Roman" w:hAnsi="Times New Roman" w:cs="Times New Roman"/>
          <w:snapToGrid w:val="0"/>
          <w:color w:val="000000" w:themeColor="text1"/>
          <w:sz w:val="24"/>
          <w:u w:val="none" w:color="auto"/>
          <w14:textFill>
            <w14:solidFill>
              <w14:schemeClr w14:val="tx1"/>
            </w14:solidFill>
          </w14:textFill>
        </w:rPr>
        <w:t>项目施工期由于项目施工、土石开挖等原因，破坏了工程范围内原有地貌和植被，扰动了表土结构，致使土体抗蚀能力降低，土壤侵蚀加剧，</w:t>
      </w:r>
      <w:r>
        <w:rPr>
          <w:rFonts w:hint="eastAsia" w:ascii="Times New Roman" w:hAnsi="Times New Roman" w:cs="Times New Roman"/>
          <w:snapToGrid w:val="0"/>
          <w:color w:val="000000" w:themeColor="text1"/>
          <w:sz w:val="24"/>
          <w:u w:val="none" w:color="auto"/>
          <w:lang w:val="en-US" w:eastAsia="zh-CN"/>
          <w14:textFill>
            <w14:solidFill>
              <w14:schemeClr w14:val="tx1"/>
            </w14:solidFill>
          </w14:textFill>
        </w:rPr>
        <w:t>会导致场地及周边范围内生态环境破坏及水土流失</w:t>
      </w:r>
      <w:r>
        <w:rPr>
          <w:rFonts w:hint="default" w:ascii="Times New Roman" w:hAnsi="Times New Roman" w:cs="Times New Roman"/>
          <w:snapToGrid w:val="0"/>
          <w:color w:val="000000" w:themeColor="text1"/>
          <w:sz w:val="24"/>
          <w:u w:val="none" w:color="auto"/>
          <w14:textFill>
            <w14:solidFill>
              <w14:schemeClr w14:val="tx1"/>
            </w14:solidFill>
          </w14:textFill>
        </w:rPr>
        <w:t>。</w:t>
      </w:r>
    </w:p>
    <w:p w14:paraId="7AABFCE9">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snapToGrid w:val="0"/>
          <w:color w:val="000000" w:themeColor="text1"/>
          <w:sz w:val="24"/>
          <w:u w:val="none" w:color="auto"/>
          <w:lang w:val="en-US" w:eastAsia="zh-CN"/>
          <w14:textFill>
            <w14:solidFill>
              <w14:schemeClr w14:val="tx1"/>
            </w14:solidFill>
          </w14:textFill>
        </w:rPr>
      </w:pPr>
      <w:r>
        <w:rPr>
          <w:rFonts w:hint="eastAsia" w:ascii="Times New Roman" w:hAnsi="Times New Roman" w:eastAsia="宋体" w:cs="Times New Roman"/>
          <w:snapToGrid w:val="0"/>
          <w:color w:val="000000" w:themeColor="text1"/>
          <w:sz w:val="24"/>
          <w:u w:val="none" w:color="auto"/>
          <w:lang w:val="en-US" w:eastAsia="zh-CN"/>
          <w14:textFill>
            <w14:solidFill>
              <w14:schemeClr w14:val="tx1"/>
            </w14:solidFill>
          </w14:textFill>
        </w:rPr>
        <w:t>建设单位通过</w:t>
      </w:r>
      <w:r>
        <w:rPr>
          <w:rFonts w:hint="default" w:ascii="Times New Roman" w:hAnsi="Times New Roman" w:eastAsia="宋体" w:cs="Times New Roman"/>
          <w:snapToGrid w:val="0"/>
          <w:color w:val="000000" w:themeColor="text1"/>
          <w:sz w:val="24"/>
          <w:u w:val="none" w:color="auto"/>
          <w:lang w:val="en-US" w:eastAsia="zh-CN"/>
          <w14:textFill>
            <w14:solidFill>
              <w14:schemeClr w14:val="tx1"/>
            </w14:solidFill>
          </w14:textFill>
        </w:rPr>
        <w:t>合理安排施工时间</w:t>
      </w:r>
      <w:r>
        <w:rPr>
          <w:rFonts w:hint="eastAsia" w:ascii="Times New Roman" w:hAnsi="Times New Roman" w:eastAsia="宋体" w:cs="Times New Roman"/>
          <w:snapToGrid w:val="0"/>
          <w:color w:val="000000" w:themeColor="text1"/>
          <w:sz w:val="24"/>
          <w:u w:val="none" w:color="auto"/>
          <w:lang w:val="en-US" w:eastAsia="zh-CN"/>
          <w14:textFill>
            <w14:solidFill>
              <w14:schemeClr w14:val="tx1"/>
            </w14:solidFill>
          </w14:textFill>
        </w:rPr>
        <w:t>、</w:t>
      </w:r>
      <w:r>
        <w:rPr>
          <w:rFonts w:hint="default" w:ascii="Times New Roman" w:hAnsi="Times New Roman" w:eastAsia="宋体" w:cs="Times New Roman"/>
          <w:snapToGrid w:val="0"/>
          <w:color w:val="000000" w:themeColor="text1"/>
          <w:sz w:val="24"/>
          <w:u w:val="none" w:color="auto"/>
          <w:lang w:val="en-US" w:eastAsia="zh-CN"/>
          <w14:textFill>
            <w14:solidFill>
              <w14:schemeClr w14:val="tx1"/>
            </w14:solidFill>
          </w14:textFill>
        </w:rPr>
        <w:t>减少开挖面积以及减少施工面的裸露时间，对裸露地表的松土及时压实</w:t>
      </w:r>
      <w:r>
        <w:rPr>
          <w:rFonts w:hint="eastAsia" w:ascii="Times New Roman" w:hAnsi="Times New Roman" w:eastAsia="宋体" w:cs="Times New Roman"/>
          <w:snapToGrid w:val="0"/>
          <w:color w:val="000000" w:themeColor="text1"/>
          <w:sz w:val="24"/>
          <w:u w:val="none" w:color="auto"/>
          <w:lang w:val="en-US" w:eastAsia="zh-CN"/>
          <w14:textFill>
            <w14:solidFill>
              <w14:schemeClr w14:val="tx1"/>
            </w14:solidFill>
          </w14:textFill>
        </w:rPr>
        <w:t>、根据施工进度</w:t>
      </w:r>
      <w:r>
        <w:rPr>
          <w:rFonts w:hint="default" w:ascii="Times New Roman" w:hAnsi="Times New Roman" w:eastAsia="宋体" w:cs="Times New Roman"/>
          <w:snapToGrid w:val="0"/>
          <w:color w:val="000000" w:themeColor="text1"/>
          <w:sz w:val="24"/>
          <w:u w:val="none" w:color="auto"/>
          <w:lang w:val="en-US" w:eastAsia="zh-CN"/>
          <w14:textFill>
            <w14:solidFill>
              <w14:schemeClr w14:val="tx1"/>
            </w14:solidFill>
          </w14:textFill>
        </w:rPr>
        <w:t>及时进行</w:t>
      </w:r>
      <w:r>
        <w:rPr>
          <w:rFonts w:hint="eastAsia" w:ascii="Times New Roman" w:hAnsi="Times New Roman" w:eastAsia="宋体" w:cs="Times New Roman"/>
          <w:snapToGrid w:val="0"/>
          <w:color w:val="000000" w:themeColor="text1"/>
          <w:sz w:val="24"/>
          <w:u w:val="none" w:color="auto"/>
          <w:lang w:val="en-US" w:eastAsia="zh-CN"/>
          <w14:textFill>
            <w14:solidFill>
              <w14:schemeClr w14:val="tx1"/>
            </w14:solidFill>
          </w14:textFill>
        </w:rPr>
        <w:t>覆绿、</w:t>
      </w:r>
      <w:r>
        <w:rPr>
          <w:rFonts w:hint="default" w:ascii="Times New Roman" w:hAnsi="Times New Roman" w:eastAsia="宋体" w:cs="Times New Roman"/>
          <w:snapToGrid w:val="0"/>
          <w:color w:val="000000" w:themeColor="text1"/>
          <w:sz w:val="24"/>
          <w:u w:val="none" w:color="auto"/>
          <w:lang w:val="en-US" w:eastAsia="zh-CN"/>
          <w14:textFill>
            <w14:solidFill>
              <w14:schemeClr w14:val="tx1"/>
            </w14:solidFill>
          </w14:textFill>
        </w:rPr>
        <w:t>建设环绕施工场地的临时排水沟</w:t>
      </w:r>
      <w:r>
        <w:rPr>
          <w:rFonts w:hint="eastAsia" w:ascii="Times New Roman" w:hAnsi="Times New Roman" w:eastAsia="宋体" w:cs="Times New Roman"/>
          <w:snapToGrid w:val="0"/>
          <w:color w:val="000000" w:themeColor="text1"/>
          <w:sz w:val="24"/>
          <w:u w:val="none" w:color="auto"/>
          <w:lang w:val="en-US" w:eastAsia="zh-CN"/>
          <w14:textFill>
            <w14:solidFill>
              <w14:schemeClr w14:val="tx1"/>
            </w14:solidFill>
          </w14:textFill>
        </w:rPr>
        <w:t>、临时沉淀</w:t>
      </w:r>
      <w:r>
        <w:rPr>
          <w:rFonts w:hint="default" w:ascii="Times New Roman" w:hAnsi="Times New Roman" w:eastAsia="宋体" w:cs="Times New Roman"/>
          <w:snapToGrid w:val="0"/>
          <w:color w:val="000000" w:themeColor="text1"/>
          <w:sz w:val="24"/>
          <w:u w:val="none" w:color="auto"/>
          <w:lang w:val="en-US" w:eastAsia="zh-CN"/>
          <w14:textFill>
            <w14:solidFill>
              <w14:schemeClr w14:val="tx1"/>
            </w14:solidFill>
          </w14:textFill>
        </w:rPr>
        <w:t>池</w:t>
      </w:r>
      <w:r>
        <w:rPr>
          <w:rFonts w:hint="eastAsia" w:ascii="Times New Roman" w:hAnsi="Times New Roman" w:eastAsia="宋体" w:cs="Times New Roman"/>
          <w:snapToGrid w:val="0"/>
          <w:color w:val="000000" w:themeColor="text1"/>
          <w:sz w:val="24"/>
          <w:u w:val="none" w:color="auto"/>
          <w:lang w:val="en-US" w:eastAsia="zh-CN"/>
          <w14:textFill>
            <w14:solidFill>
              <w14:schemeClr w14:val="tx1"/>
            </w14:solidFill>
          </w14:textFill>
        </w:rPr>
        <w:t>等措施</w:t>
      </w:r>
      <w:r>
        <w:rPr>
          <w:rFonts w:hint="default" w:ascii="Times New Roman" w:hAnsi="Times New Roman" w:eastAsia="宋体" w:cs="Times New Roman"/>
          <w:snapToGrid w:val="0"/>
          <w:color w:val="000000" w:themeColor="text1"/>
          <w:sz w:val="24"/>
          <w:u w:val="none" w:color="auto"/>
          <w:lang w:val="en-US" w:eastAsia="zh-CN"/>
          <w14:textFill>
            <w14:solidFill>
              <w14:schemeClr w14:val="tx1"/>
            </w14:solidFill>
          </w14:textFill>
        </w:rPr>
        <w:t>，</w:t>
      </w:r>
      <w:r>
        <w:rPr>
          <w:rFonts w:hint="eastAsia" w:ascii="Times New Roman" w:hAnsi="Times New Roman" w:eastAsia="宋体" w:cs="Times New Roman"/>
          <w:snapToGrid w:val="0"/>
          <w:color w:val="000000" w:themeColor="text1"/>
          <w:sz w:val="24"/>
          <w:u w:val="none" w:color="auto"/>
          <w:lang w:val="en-US" w:eastAsia="zh-CN"/>
          <w14:textFill>
            <w14:solidFill>
              <w14:schemeClr w14:val="tx1"/>
            </w14:solidFill>
          </w14:textFill>
        </w:rPr>
        <w:t>使</w:t>
      </w:r>
      <w:r>
        <w:rPr>
          <w:rFonts w:hint="default" w:ascii="Times New Roman" w:hAnsi="Times New Roman" w:eastAsia="宋体" w:cs="Times New Roman"/>
          <w:snapToGrid w:val="0"/>
          <w:color w:val="000000" w:themeColor="text1"/>
          <w:sz w:val="24"/>
          <w:u w:val="none" w:color="auto"/>
          <w:lang w:val="en-US" w:eastAsia="zh-CN"/>
          <w14:textFill>
            <w14:solidFill>
              <w14:schemeClr w14:val="tx1"/>
            </w14:solidFill>
          </w14:textFill>
        </w:rPr>
        <w:t>施工</w:t>
      </w:r>
      <w:r>
        <w:rPr>
          <w:rFonts w:hint="eastAsia" w:ascii="Times New Roman" w:hAnsi="Times New Roman" w:eastAsia="宋体" w:cs="Times New Roman"/>
          <w:snapToGrid w:val="0"/>
          <w:color w:val="000000" w:themeColor="text1"/>
          <w:sz w:val="24"/>
          <w:u w:val="none" w:color="auto"/>
          <w:lang w:val="en-US" w:eastAsia="zh-CN"/>
          <w14:textFill>
            <w14:solidFill>
              <w14:schemeClr w14:val="tx1"/>
            </w14:solidFill>
          </w14:textFill>
        </w:rPr>
        <w:t>阶段生态破坏及</w:t>
      </w:r>
      <w:r>
        <w:rPr>
          <w:rFonts w:hint="default" w:ascii="Times New Roman" w:hAnsi="Times New Roman" w:eastAsia="宋体" w:cs="Times New Roman"/>
          <w:snapToGrid w:val="0"/>
          <w:color w:val="000000" w:themeColor="text1"/>
          <w:sz w:val="24"/>
          <w:u w:val="none" w:color="auto"/>
          <w:lang w:val="en-US" w:eastAsia="zh-CN"/>
          <w14:textFill>
            <w14:solidFill>
              <w14:schemeClr w14:val="tx1"/>
            </w14:solidFill>
          </w14:textFill>
        </w:rPr>
        <w:t>水土流失防治</w:t>
      </w:r>
      <w:r>
        <w:rPr>
          <w:rFonts w:hint="eastAsia" w:ascii="Times New Roman" w:hAnsi="Times New Roman" w:eastAsia="宋体" w:cs="Times New Roman"/>
          <w:snapToGrid w:val="0"/>
          <w:color w:val="000000" w:themeColor="text1"/>
          <w:sz w:val="24"/>
          <w:u w:val="none" w:color="auto"/>
          <w:lang w:val="en-US" w:eastAsia="zh-CN"/>
          <w14:textFill>
            <w14:solidFill>
              <w14:schemeClr w14:val="tx1"/>
            </w14:solidFill>
          </w14:textFill>
        </w:rPr>
        <w:t>得到有效控制</w:t>
      </w:r>
      <w:r>
        <w:rPr>
          <w:rFonts w:hint="default" w:ascii="Times New Roman" w:hAnsi="Times New Roman" w:eastAsia="宋体" w:cs="Times New Roman"/>
          <w:snapToGrid w:val="0"/>
          <w:color w:val="000000" w:themeColor="text1"/>
          <w:sz w:val="24"/>
          <w:u w:val="none" w:color="auto"/>
          <w:lang w:val="en-US" w:eastAsia="zh-CN"/>
          <w14:textFill>
            <w14:solidFill>
              <w14:schemeClr w14:val="tx1"/>
            </w14:solidFill>
          </w14:textFill>
        </w:rPr>
        <w:t>，</w:t>
      </w:r>
      <w:r>
        <w:rPr>
          <w:rFonts w:hint="eastAsia" w:ascii="Times New Roman" w:hAnsi="Times New Roman" w:eastAsia="宋体" w:cs="Times New Roman"/>
          <w:snapToGrid w:val="0"/>
          <w:color w:val="000000" w:themeColor="text1"/>
          <w:sz w:val="24"/>
          <w:u w:val="none" w:color="auto"/>
          <w:lang w:val="en-US" w:eastAsia="zh-CN"/>
          <w14:textFill>
            <w14:solidFill>
              <w14:schemeClr w14:val="tx1"/>
            </w14:solidFill>
          </w14:textFill>
        </w:rPr>
        <w:t>同时建设单位已在当地生态环境主管部门缴纳生态补偿费用，用于区域生态资源恢复。本项目施工期生态破坏及</w:t>
      </w:r>
      <w:r>
        <w:rPr>
          <w:rFonts w:hint="default" w:ascii="Times New Roman" w:hAnsi="Times New Roman" w:eastAsia="宋体" w:cs="Times New Roman"/>
          <w:snapToGrid w:val="0"/>
          <w:color w:val="000000" w:themeColor="text1"/>
          <w:sz w:val="24"/>
          <w:u w:val="none" w:color="auto"/>
          <w:lang w:val="en-US" w:eastAsia="zh-CN"/>
          <w14:textFill>
            <w14:solidFill>
              <w14:schemeClr w14:val="tx1"/>
            </w14:solidFill>
          </w14:textFill>
        </w:rPr>
        <w:t>水土流失</w:t>
      </w:r>
      <w:r>
        <w:rPr>
          <w:rFonts w:hint="eastAsia" w:ascii="Times New Roman" w:hAnsi="Times New Roman" w:eastAsia="宋体" w:cs="Times New Roman"/>
          <w:snapToGrid w:val="0"/>
          <w:color w:val="000000" w:themeColor="text1"/>
          <w:sz w:val="24"/>
          <w:u w:val="none" w:color="auto"/>
          <w:lang w:val="en-US" w:eastAsia="zh-CN"/>
          <w14:textFill>
            <w14:solidFill>
              <w14:schemeClr w14:val="tx1"/>
            </w14:solidFill>
          </w14:textFill>
        </w:rPr>
        <w:t>均已</w:t>
      </w:r>
      <w:r>
        <w:rPr>
          <w:rFonts w:hint="default" w:ascii="Times New Roman" w:hAnsi="Times New Roman" w:eastAsia="宋体" w:cs="Times New Roman"/>
          <w:snapToGrid w:val="0"/>
          <w:color w:val="000000" w:themeColor="text1"/>
          <w:sz w:val="24"/>
          <w:u w:val="none" w:color="auto"/>
          <w:lang w:val="en-US" w:eastAsia="zh-CN"/>
          <w14:textFill>
            <w14:solidFill>
              <w14:schemeClr w14:val="tx1"/>
            </w14:solidFill>
          </w14:textFill>
        </w:rPr>
        <w:t>得到有效控制，</w:t>
      </w:r>
      <w:r>
        <w:rPr>
          <w:rFonts w:hint="eastAsia" w:ascii="Times New Roman" w:hAnsi="Times New Roman" w:eastAsia="宋体" w:cs="Times New Roman"/>
          <w:snapToGrid w:val="0"/>
          <w:color w:val="000000" w:themeColor="text1"/>
          <w:sz w:val="24"/>
          <w:u w:val="none" w:color="auto"/>
          <w:lang w:val="en-US" w:eastAsia="zh-CN"/>
          <w14:textFill>
            <w14:solidFill>
              <w14:schemeClr w14:val="tx1"/>
            </w14:solidFill>
          </w14:textFill>
        </w:rPr>
        <w:t>对项目场地及</w:t>
      </w:r>
      <w:r>
        <w:rPr>
          <w:rFonts w:hint="default" w:ascii="Times New Roman" w:hAnsi="Times New Roman" w:eastAsia="宋体" w:cs="Times New Roman"/>
          <w:snapToGrid w:val="0"/>
          <w:color w:val="000000" w:themeColor="text1"/>
          <w:sz w:val="24"/>
          <w:u w:val="none" w:color="auto"/>
          <w:lang w:val="en-US" w:eastAsia="zh-CN"/>
          <w14:textFill>
            <w14:solidFill>
              <w14:schemeClr w14:val="tx1"/>
            </w14:solidFill>
          </w14:textFill>
        </w:rPr>
        <w:t>周边</w:t>
      </w:r>
      <w:r>
        <w:rPr>
          <w:rFonts w:hint="eastAsia" w:ascii="Times New Roman" w:hAnsi="Times New Roman" w:eastAsia="宋体" w:cs="Times New Roman"/>
          <w:snapToGrid w:val="0"/>
          <w:color w:val="000000" w:themeColor="text1"/>
          <w:sz w:val="24"/>
          <w:u w:val="none" w:color="auto"/>
          <w:lang w:val="en-US" w:eastAsia="zh-CN"/>
          <w14:textFill>
            <w14:solidFill>
              <w14:schemeClr w14:val="tx1"/>
            </w14:solidFill>
          </w14:textFill>
        </w:rPr>
        <w:t>生态</w:t>
      </w:r>
      <w:r>
        <w:rPr>
          <w:rFonts w:hint="default" w:ascii="Times New Roman" w:hAnsi="Times New Roman" w:eastAsia="宋体" w:cs="Times New Roman"/>
          <w:snapToGrid w:val="0"/>
          <w:color w:val="000000" w:themeColor="text1"/>
          <w:sz w:val="24"/>
          <w:u w:val="none" w:color="auto"/>
          <w:lang w:val="en-US" w:eastAsia="zh-CN"/>
          <w14:textFill>
            <w14:solidFill>
              <w14:schemeClr w14:val="tx1"/>
            </w14:solidFill>
          </w14:textFill>
        </w:rPr>
        <w:t>环境</w:t>
      </w:r>
      <w:r>
        <w:rPr>
          <w:rFonts w:hint="eastAsia" w:ascii="Times New Roman" w:hAnsi="Times New Roman" w:eastAsia="宋体" w:cs="Times New Roman"/>
          <w:snapToGrid w:val="0"/>
          <w:color w:val="000000" w:themeColor="text1"/>
          <w:sz w:val="24"/>
          <w:u w:val="none" w:color="auto"/>
          <w:lang w:val="en-US" w:eastAsia="zh-CN"/>
          <w14:textFill>
            <w14:solidFill>
              <w14:schemeClr w14:val="tx1"/>
            </w14:solidFill>
          </w14:textFill>
        </w:rPr>
        <w:t>影响较小</w:t>
      </w:r>
      <w:r>
        <w:rPr>
          <w:rFonts w:hint="default" w:ascii="Times New Roman" w:hAnsi="Times New Roman" w:eastAsia="宋体" w:cs="Times New Roman"/>
          <w:snapToGrid w:val="0"/>
          <w:color w:val="000000" w:themeColor="text1"/>
          <w:sz w:val="24"/>
          <w:u w:val="none" w:color="auto"/>
          <w:lang w:val="en-US" w:eastAsia="zh-CN"/>
          <w14:textFill>
            <w14:solidFill>
              <w14:schemeClr w14:val="tx1"/>
            </w14:solidFill>
          </w14:textFill>
        </w:rPr>
        <w:t>。</w:t>
      </w:r>
    </w:p>
    <w:p w14:paraId="3529559B">
      <w:pPr>
        <w:pStyle w:val="46"/>
        <w:rPr>
          <w:rFonts w:ascii="Times New Roman"/>
          <w:bCs/>
        </w:rPr>
      </w:pPr>
      <w:r>
        <w:rPr>
          <w:rFonts w:hint="eastAsia" w:ascii="Times New Roman" w:hAnsi="Times New Roman" w:eastAsia="宋体" w:cs="Times New Roman"/>
          <w:snapToGrid w:val="0"/>
          <w:color w:val="000000" w:themeColor="text1"/>
          <w:sz w:val="24"/>
          <w:u w:val="none" w:color="auto"/>
          <w:lang w:val="en-US" w:eastAsia="zh-CN"/>
          <w14:textFill>
            <w14:solidFill>
              <w14:schemeClr w14:val="tx1"/>
            </w14:solidFill>
          </w14:textFill>
        </w:rPr>
        <w:t>综上，由于本项目施工期较短，工程规模不大，施工期各项环保措施落实到位，因此施工期污染较小，对周边环境影响较小。目前项目施工期已结束，施工期间未收到周边居民投诉，未造成环境污染事故。</w:t>
      </w:r>
    </w:p>
    <w:p w14:paraId="73010DA2">
      <w:pPr>
        <w:pStyle w:val="46"/>
        <w:rPr>
          <w:rFonts w:ascii="Times New Roman"/>
          <w:bCs/>
        </w:rPr>
      </w:pPr>
      <w:r>
        <w:rPr>
          <w:rFonts w:ascii="Times New Roman"/>
          <w:bCs/>
        </w:rPr>
        <w:t>2、营运期环境影响</w:t>
      </w:r>
    </w:p>
    <w:p w14:paraId="0D7BD208">
      <w:pPr>
        <w:adjustRightInd w:val="0"/>
        <w:snapToGrid w:val="0"/>
        <w:spacing w:line="360" w:lineRule="auto"/>
        <w:ind w:firstLine="480" w:firstLineChars="200"/>
        <w:jc w:val="left"/>
        <w:rPr>
          <w:rFonts w:ascii="Times New Roman"/>
          <w:sz w:val="24"/>
          <w:szCs w:val="24"/>
        </w:rPr>
      </w:pPr>
      <w:r>
        <w:rPr>
          <w:rFonts w:ascii="Times New Roman"/>
          <w:sz w:val="24"/>
          <w:szCs w:val="24"/>
        </w:rPr>
        <w:t>（1）废气</w:t>
      </w:r>
    </w:p>
    <w:p w14:paraId="49937114">
      <w:pPr>
        <w:pStyle w:val="50"/>
        <w:keepNext w:val="0"/>
        <w:keepLines w:val="0"/>
        <w:widowControl/>
        <w:suppressLineNumbers w:val="0"/>
        <w:autoSpaceDE w:val="0"/>
        <w:autoSpaceDN/>
        <w:ind w:left="0" w:firstLine="480"/>
        <w:jc w:val="left"/>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kern w:val="2"/>
          <w:sz w:val="24"/>
          <w:szCs w:val="24"/>
          <w14:textFill>
            <w14:solidFill>
              <w14:schemeClr w14:val="tx1"/>
            </w14:solidFill>
          </w14:textFill>
        </w:rPr>
        <w:t>本项目</w:t>
      </w:r>
      <w:r>
        <w:rPr>
          <w:rFonts w:hint="default" w:ascii="Times New Roman" w:hAnsi="Times New Roman" w:eastAsia="宋体" w:cs="Times New Roman"/>
          <w:color w:val="000000" w:themeColor="text1"/>
          <w:spacing w:val="1"/>
          <w:sz w:val="24"/>
          <w:szCs w:val="24"/>
          <w14:textFill>
            <w14:solidFill>
              <w14:schemeClr w14:val="tx1"/>
            </w14:solidFill>
          </w14:textFill>
        </w:rPr>
        <w:t>加油站运行期非甲烷总烃产生量为</w:t>
      </w:r>
      <w:r>
        <w:rPr>
          <w:rFonts w:hint="eastAsia" w:ascii="Times New Roman" w:hAnsi="Times New Roman" w:eastAsia="宋体" w:cs="Times New Roman"/>
          <w:color w:val="000000" w:themeColor="text1"/>
          <w:spacing w:val="1"/>
          <w:sz w:val="24"/>
          <w:szCs w:val="24"/>
          <w:lang w:val="en-US" w:eastAsia="zh-CN"/>
          <w14:textFill>
            <w14:solidFill>
              <w14:schemeClr w14:val="tx1"/>
            </w14:solidFill>
          </w14:textFill>
        </w:rPr>
        <w:t>14.1108</w:t>
      </w:r>
      <w:r>
        <w:rPr>
          <w:rFonts w:hint="default" w:ascii="Times New Roman" w:hAnsi="Times New Roman" w:eastAsia="宋体" w:cs="Times New Roman"/>
          <w:color w:val="000000" w:themeColor="text1"/>
          <w:spacing w:val="1"/>
          <w:sz w:val="24"/>
          <w:szCs w:val="24"/>
          <w14:textFill>
            <w14:solidFill>
              <w14:schemeClr w14:val="tx1"/>
            </w14:solidFill>
          </w14:textFill>
        </w:rPr>
        <w:t>t/a</w:t>
      </w:r>
      <w:r>
        <w:rPr>
          <w:rFonts w:hint="default" w:ascii="Times New Roman" w:hAnsi="Times New Roman" w:eastAsia="宋体" w:cs="Times New Roman"/>
          <w:color w:val="000000" w:themeColor="text1"/>
          <w:sz w:val="24"/>
          <w:szCs w:val="24"/>
          <w14:textFill>
            <w14:solidFill>
              <w14:schemeClr w14:val="tx1"/>
            </w14:solidFill>
          </w14:textFill>
        </w:rPr>
        <w:t>，根据《加油站大气</w:t>
      </w:r>
      <w:r>
        <w:rPr>
          <w:rFonts w:hint="default" w:ascii="Times New Roman" w:hAnsi="Times New Roman" w:eastAsia="宋体" w:cs="Times New Roman"/>
          <w:color w:val="000000" w:themeColor="text1"/>
          <w:spacing w:val="-1"/>
          <w:sz w:val="24"/>
          <w:szCs w:val="24"/>
          <w14:textFill>
            <w14:solidFill>
              <w14:schemeClr w14:val="tx1"/>
            </w14:solidFill>
          </w14:textFill>
        </w:rPr>
        <w:t>污染物排放标准》中相关技术措施要求，本项目设置三次油气回收系统。油气回收系统主要由：卸油油气回收系统、加油油气回收系统、油罐呼吸口油气回收系</w:t>
      </w:r>
      <w:r>
        <w:rPr>
          <w:rFonts w:hint="default" w:ascii="Times New Roman" w:hAnsi="Times New Roman" w:eastAsia="宋体" w:cs="Times New Roman"/>
          <w:color w:val="000000" w:themeColor="text1"/>
          <w:spacing w:val="-3"/>
          <w:sz w:val="24"/>
          <w:szCs w:val="24"/>
          <w14:textFill>
            <w14:solidFill>
              <w14:schemeClr w14:val="tx1"/>
            </w14:solidFill>
          </w14:textFill>
        </w:rPr>
        <w:t>统组成。采取汽油油气回收措施（一次回收系统取99%，二次回收系统取95</w:t>
      </w:r>
      <w:r>
        <w:rPr>
          <w:rFonts w:hint="default" w:ascii="Times New Roman" w:hAnsi="Times New Roman" w:eastAsia="宋体" w:cs="Times New Roman"/>
          <w:color w:val="000000" w:themeColor="text1"/>
          <w:spacing w:val="-4"/>
          <w:sz w:val="24"/>
          <w:szCs w:val="24"/>
          <w14:textFill>
            <w14:solidFill>
              <w14:schemeClr w14:val="tx1"/>
            </w14:solidFill>
          </w14:textFill>
        </w:rPr>
        <w:t>%，</w:t>
      </w:r>
      <w:r>
        <w:rPr>
          <w:rFonts w:hint="default" w:ascii="Times New Roman" w:hAnsi="Times New Roman" w:eastAsia="宋体" w:cs="Times New Roman"/>
          <w:color w:val="000000" w:themeColor="text1"/>
          <w:spacing w:val="-1"/>
          <w:sz w:val="24"/>
          <w:szCs w:val="24"/>
          <w14:textFill>
            <w14:solidFill>
              <w14:schemeClr w14:val="tx1"/>
            </w14:solidFill>
          </w14:textFill>
        </w:rPr>
        <w:t>三次回收系统取90%）后，加油站运行期非甲烷总烃排放量为0.</w:t>
      </w:r>
      <w:r>
        <w:rPr>
          <w:rFonts w:hint="eastAsia" w:ascii="Times New Roman" w:hAnsi="Times New Roman" w:eastAsia="宋体" w:cs="Times New Roman"/>
          <w:color w:val="000000" w:themeColor="text1"/>
          <w:spacing w:val="-1"/>
          <w:sz w:val="24"/>
          <w:szCs w:val="24"/>
          <w:lang w:val="en-US" w:eastAsia="zh-CN"/>
          <w14:textFill>
            <w14:solidFill>
              <w14:schemeClr w14:val="tx1"/>
            </w14:solidFill>
          </w14:textFill>
        </w:rPr>
        <w:t>8545</w:t>
      </w:r>
      <w:r>
        <w:rPr>
          <w:rFonts w:hint="default" w:ascii="Times New Roman" w:hAnsi="Times New Roman" w:eastAsia="宋体" w:cs="Times New Roman"/>
          <w:color w:val="000000" w:themeColor="text1"/>
          <w:spacing w:val="-1"/>
          <w:sz w:val="24"/>
          <w:szCs w:val="24"/>
          <w14:textFill>
            <w14:solidFill>
              <w14:schemeClr w14:val="tx1"/>
            </w14:solidFill>
          </w14:textFill>
        </w:rPr>
        <w:t>t/a。</w:t>
      </w:r>
    </w:p>
    <w:p w14:paraId="2C101365">
      <w:pPr>
        <w:pStyle w:val="50"/>
        <w:keepNext w:val="0"/>
        <w:keepLines w:val="0"/>
        <w:widowControl/>
        <w:suppressLineNumbers w:val="0"/>
        <w:autoSpaceDE w:val="0"/>
        <w:autoSpaceDN/>
        <w:ind w:left="0" w:firstLine="480"/>
        <w:jc w:val="left"/>
        <w:rPr>
          <w:rFonts w:hint="eastAsia" w:ascii="Times New Roman" w:hAnsi="Times New Roman" w:eastAsia="宋体" w:cs="Times New Roman"/>
          <w:b/>
          <w:bCs/>
          <w:color w:val="000000"/>
          <w:kern w:val="2"/>
          <w:sz w:val="24"/>
          <w:szCs w:val="24"/>
        </w:rPr>
      </w:pPr>
      <w:r>
        <w:rPr>
          <w:rFonts w:hint="default" w:ascii="Times New Roman" w:hAnsi="Times New Roman" w:eastAsia="宋体" w:cs="Times New Roman"/>
          <w:b/>
          <w:bCs/>
          <w:color w:val="000000"/>
          <w:kern w:val="2"/>
          <w:sz w:val="24"/>
          <w:szCs w:val="24"/>
        </w:rPr>
        <w:t>1</w:t>
      </w:r>
      <w:r>
        <w:rPr>
          <w:rFonts w:hint="eastAsia" w:ascii="宋体" w:hAnsi="宋体" w:eastAsia="宋体" w:cs="宋体"/>
          <w:b/>
          <w:bCs/>
          <w:color w:val="000000"/>
          <w:kern w:val="2"/>
          <w:sz w:val="24"/>
          <w:szCs w:val="24"/>
        </w:rPr>
        <w:t>）油气防治措施</w:t>
      </w:r>
    </w:p>
    <w:p w14:paraId="35C58D2B">
      <w:pPr>
        <w:pStyle w:val="50"/>
        <w:keepNext w:val="0"/>
        <w:keepLines w:val="0"/>
        <w:widowControl/>
        <w:suppressLineNumbers w:val="0"/>
        <w:autoSpaceDE w:val="0"/>
        <w:autoSpaceDN/>
        <w:ind w:left="0" w:firstLine="480"/>
        <w:jc w:val="left"/>
        <w:rPr>
          <w:rFonts w:hint="eastAsia" w:ascii="Times New Roman" w:hAnsi="Times New Roman" w:eastAsia="宋体" w:cs="Times New Roman"/>
          <w:color w:val="000000"/>
          <w:kern w:val="2"/>
          <w:sz w:val="24"/>
          <w:szCs w:val="24"/>
        </w:rPr>
      </w:pPr>
      <w:r>
        <w:rPr>
          <w:rFonts w:hint="eastAsia" w:ascii="宋体" w:hAnsi="宋体" w:eastAsia="宋体" w:cs="宋体"/>
          <w:color w:val="000000"/>
          <w:kern w:val="2"/>
          <w:sz w:val="24"/>
          <w:szCs w:val="24"/>
        </w:rPr>
        <w:t>为保证空气质量达标建设单位采取以下措施：</w:t>
      </w:r>
    </w:p>
    <w:p w14:paraId="3E720E59">
      <w:pPr>
        <w:pStyle w:val="50"/>
        <w:widowControl/>
        <w:ind w:left="0" w:firstLine="480"/>
        <w:jc w:val="left"/>
        <w:rPr>
          <w:rFonts w:hint="eastAsia" w:ascii="Times New Roman" w:hAnsi="Times New Roman" w:eastAsia="宋体" w:cs="Times New Roman"/>
          <w:color w:val="000000"/>
          <w:kern w:val="2"/>
          <w:sz w:val="24"/>
          <w:szCs w:val="24"/>
        </w:rPr>
      </w:pPr>
      <w:r>
        <w:rPr>
          <w:rFonts w:hint="eastAsia" w:ascii="宋体" w:hAnsi="宋体" w:eastAsia="宋体" w:cs="宋体"/>
          <w:color w:val="000000"/>
          <w:kern w:val="2"/>
          <w:sz w:val="24"/>
          <w:szCs w:val="24"/>
        </w:rPr>
        <w:t>①加油站采用地埋式双层储油罐，由于该罐密闭性较好，储罐埋于地下，周围回填的沙子和细土</w:t>
      </w:r>
      <w:r>
        <w:rPr>
          <w:rFonts w:hint="eastAsia" w:ascii="宋体" w:hAnsi="宋体" w:cs="宋体"/>
          <w:color w:val="000000"/>
          <w:kern w:val="2"/>
          <w:sz w:val="24"/>
          <w:szCs w:val="24"/>
          <w:lang w:eastAsia="zh-CN"/>
        </w:rPr>
        <w:t>厚度</w:t>
      </w:r>
      <w:r>
        <w:rPr>
          <w:rFonts w:hint="eastAsia" w:ascii="宋体" w:hAnsi="宋体" w:eastAsia="宋体" w:cs="宋体"/>
          <w:color w:val="000000"/>
          <w:kern w:val="2"/>
          <w:sz w:val="24"/>
          <w:szCs w:val="24"/>
        </w:rPr>
        <w:t>不小于</w:t>
      </w:r>
      <w:r>
        <w:rPr>
          <w:rFonts w:hint="default" w:ascii="Times New Roman" w:hAnsi="Times New Roman" w:eastAsia="宋体" w:cs="Times New Roman"/>
          <w:color w:val="000000"/>
          <w:kern w:val="2"/>
          <w:sz w:val="24"/>
          <w:szCs w:val="24"/>
        </w:rPr>
        <w:t>0.3m</w:t>
      </w:r>
      <w:r>
        <w:rPr>
          <w:rFonts w:hint="eastAsia" w:ascii="宋体" w:hAnsi="宋体" w:eastAsia="宋体" w:cs="宋体"/>
          <w:color w:val="000000"/>
          <w:kern w:val="2"/>
          <w:sz w:val="24"/>
          <w:szCs w:val="24"/>
        </w:rPr>
        <w:t>，储油</w:t>
      </w:r>
      <w:r>
        <w:rPr>
          <w:rFonts w:hint="eastAsia" w:ascii="宋体" w:hAnsi="宋体" w:cs="宋体"/>
          <w:color w:val="000000"/>
          <w:kern w:val="2"/>
          <w:sz w:val="24"/>
          <w:szCs w:val="24"/>
          <w:lang w:eastAsia="zh-CN"/>
        </w:rPr>
        <w:t>罐</w:t>
      </w:r>
      <w:r>
        <w:rPr>
          <w:rFonts w:hint="eastAsia" w:ascii="宋体" w:hAnsi="宋体" w:eastAsia="宋体" w:cs="宋体"/>
          <w:color w:val="000000"/>
          <w:kern w:val="2"/>
          <w:sz w:val="24"/>
          <w:szCs w:val="24"/>
        </w:rPr>
        <w:t>室内气温比较稳定，受大气环境稳定影响较小，可减少油罐小呼吸蒸发损耗，延缓油品变质。对挥发量大的汽油罐选用内浮顶储罐，气温高时，储罐容积随油气膨胀而增大，另增设呼吸阀挡板，以减少油罐大、小呼吸损耗。</w:t>
      </w:r>
    </w:p>
    <w:p w14:paraId="028FE710">
      <w:pPr>
        <w:pStyle w:val="50"/>
        <w:widowControl/>
        <w:ind w:left="0" w:firstLine="480"/>
        <w:jc w:val="left"/>
        <w:rPr>
          <w:rFonts w:hint="eastAsia" w:ascii="Times New Roman" w:hAnsi="Times New Roman" w:eastAsia="宋体" w:cs="Times New Roman"/>
          <w:color w:val="000000"/>
          <w:kern w:val="2"/>
          <w:sz w:val="24"/>
          <w:szCs w:val="24"/>
        </w:rPr>
      </w:pPr>
      <w:r>
        <w:rPr>
          <w:rFonts w:hint="eastAsia" w:ascii="宋体" w:hAnsi="宋体" w:eastAsia="宋体" w:cs="宋体"/>
          <w:color w:val="000000"/>
          <w:kern w:val="2"/>
          <w:sz w:val="24"/>
          <w:szCs w:val="24"/>
        </w:rPr>
        <w:t>②为了减少加油站大气污染物对周围环境的影响，本项目加油站设置三次油气回收系统，满足《加油站大气污染物排放标准》（</w:t>
      </w:r>
      <w:r>
        <w:rPr>
          <w:rFonts w:hint="default" w:ascii="Times New Roman" w:hAnsi="Times New Roman" w:eastAsia="宋体" w:cs="Times New Roman"/>
          <w:color w:val="000000"/>
          <w:kern w:val="2"/>
          <w:sz w:val="24"/>
          <w:szCs w:val="24"/>
        </w:rPr>
        <w:t>GB20952-2020</w:t>
      </w:r>
      <w:r>
        <w:rPr>
          <w:rFonts w:hint="eastAsia" w:ascii="宋体" w:hAnsi="宋体" w:eastAsia="宋体" w:cs="宋体"/>
          <w:color w:val="000000"/>
          <w:kern w:val="2"/>
          <w:sz w:val="24"/>
          <w:szCs w:val="24"/>
        </w:rPr>
        <w:t>）对卸油油气、储油油气和加油油气采取排放控制措施标准，各部位控制措施如下：</w:t>
      </w:r>
    </w:p>
    <w:p w14:paraId="606E8C21">
      <w:pPr>
        <w:pStyle w:val="50"/>
        <w:widowControl/>
        <w:ind w:left="0" w:firstLine="480"/>
        <w:jc w:val="left"/>
        <w:rPr>
          <w:rFonts w:hint="eastAsia" w:ascii="Times New Roman" w:hAnsi="Times New Roman" w:eastAsia="宋体" w:cs="Times New Roman"/>
          <w:color w:val="000000"/>
          <w:kern w:val="2"/>
          <w:sz w:val="24"/>
          <w:szCs w:val="24"/>
        </w:rPr>
      </w:pPr>
      <w:r>
        <w:rPr>
          <w:rFonts w:hint="default" w:ascii="Times New Roman" w:hAnsi="Times New Roman" w:eastAsia="宋体" w:cs="Times New Roman"/>
          <w:color w:val="000000"/>
          <w:kern w:val="2"/>
          <w:sz w:val="24"/>
          <w:szCs w:val="24"/>
        </w:rPr>
        <w:t>a</w:t>
      </w:r>
      <w:r>
        <w:rPr>
          <w:rFonts w:hint="eastAsia" w:cs="Times New Roman"/>
          <w:color w:val="000000"/>
          <w:kern w:val="2"/>
          <w:sz w:val="24"/>
          <w:szCs w:val="24"/>
          <w:lang w:eastAsia="zh-CN"/>
        </w:rPr>
        <w:t>.</w:t>
      </w:r>
      <w:r>
        <w:rPr>
          <w:rFonts w:hint="eastAsia" w:ascii="宋体" w:hAnsi="宋体" w:eastAsia="宋体" w:cs="宋体"/>
          <w:color w:val="000000"/>
          <w:kern w:val="2"/>
          <w:sz w:val="24"/>
          <w:szCs w:val="24"/>
        </w:rPr>
        <w:t>卸油油气控制措施包括：本项目采用浸没式卸油方式，卸油管出油口距罐底高度小于</w:t>
      </w:r>
      <w:r>
        <w:rPr>
          <w:rFonts w:hint="default" w:ascii="Times New Roman" w:hAnsi="Times New Roman" w:eastAsia="宋体" w:cs="Times New Roman"/>
          <w:color w:val="000000"/>
          <w:kern w:val="2"/>
          <w:sz w:val="24"/>
          <w:szCs w:val="24"/>
        </w:rPr>
        <w:t>200mm</w:t>
      </w:r>
      <w:r>
        <w:rPr>
          <w:rFonts w:hint="eastAsia" w:ascii="宋体" w:hAnsi="宋体" w:eastAsia="宋体" w:cs="宋体"/>
          <w:color w:val="000000"/>
          <w:kern w:val="2"/>
          <w:sz w:val="24"/>
          <w:szCs w:val="24"/>
        </w:rPr>
        <w:t>。卸油和油气回收接口安装</w:t>
      </w:r>
      <w:r>
        <w:rPr>
          <w:rFonts w:hint="default" w:ascii="Times New Roman" w:hAnsi="Times New Roman" w:eastAsia="宋体" w:cs="Times New Roman"/>
          <w:color w:val="000000"/>
          <w:kern w:val="2"/>
          <w:sz w:val="24"/>
          <w:szCs w:val="24"/>
        </w:rPr>
        <w:t>DN100m</w:t>
      </w:r>
      <w:r>
        <w:rPr>
          <w:rFonts w:hint="eastAsia" w:ascii="宋体" w:hAnsi="宋体" w:eastAsia="宋体" w:cs="宋体"/>
          <w:color w:val="000000"/>
          <w:kern w:val="2"/>
          <w:sz w:val="24"/>
          <w:szCs w:val="24"/>
        </w:rPr>
        <w:t>的截流阀、密封式快速接头和帽盖。连接软管采用</w:t>
      </w:r>
      <w:r>
        <w:rPr>
          <w:rFonts w:hint="default" w:ascii="Times New Roman" w:hAnsi="Times New Roman" w:eastAsia="宋体" w:cs="Times New Roman"/>
          <w:color w:val="000000"/>
          <w:kern w:val="2"/>
          <w:sz w:val="24"/>
          <w:szCs w:val="24"/>
        </w:rPr>
        <w:t>DN100mm</w:t>
      </w:r>
      <w:r>
        <w:rPr>
          <w:rFonts w:hint="eastAsia" w:ascii="宋体" w:hAnsi="宋体" w:eastAsia="宋体" w:cs="宋体"/>
          <w:color w:val="000000"/>
          <w:kern w:val="2"/>
          <w:sz w:val="24"/>
          <w:szCs w:val="24"/>
        </w:rPr>
        <w:t>的密封式快速接头与卸油车连接。排放口按规范进行设置真空阀，阀门保持常开状态。连接排气管的地下管线坡向油罐，坡度大于</w:t>
      </w:r>
      <w:r>
        <w:rPr>
          <w:rFonts w:hint="default" w:ascii="Times New Roman" w:hAnsi="Times New Roman" w:eastAsia="宋体" w:cs="Times New Roman"/>
          <w:color w:val="000000"/>
          <w:kern w:val="2"/>
          <w:sz w:val="24"/>
          <w:szCs w:val="24"/>
        </w:rPr>
        <w:t>1%</w:t>
      </w:r>
      <w:r>
        <w:rPr>
          <w:rFonts w:hint="eastAsia" w:ascii="宋体" w:hAnsi="宋体" w:eastAsia="宋体" w:cs="宋体"/>
          <w:color w:val="000000"/>
          <w:kern w:val="2"/>
          <w:sz w:val="24"/>
          <w:szCs w:val="24"/>
        </w:rPr>
        <w:t>，管线</w:t>
      </w:r>
      <w:r>
        <w:rPr>
          <w:rFonts w:hint="eastAsia" w:ascii="宋体" w:hAnsi="宋体" w:cs="宋体"/>
          <w:color w:val="000000"/>
          <w:kern w:val="2"/>
          <w:sz w:val="24"/>
          <w:szCs w:val="24"/>
          <w:lang w:eastAsia="zh-CN"/>
        </w:rPr>
        <w:t>直径</w:t>
      </w:r>
      <w:r>
        <w:rPr>
          <w:rFonts w:hint="eastAsia" w:ascii="宋体" w:hAnsi="宋体" w:eastAsia="宋体" w:cs="宋体"/>
          <w:color w:val="000000"/>
          <w:kern w:val="2"/>
          <w:sz w:val="24"/>
          <w:szCs w:val="24"/>
        </w:rPr>
        <w:t>大于</w:t>
      </w:r>
      <w:r>
        <w:rPr>
          <w:rFonts w:hint="default" w:ascii="Times New Roman" w:hAnsi="Times New Roman" w:eastAsia="宋体" w:cs="Times New Roman"/>
          <w:color w:val="000000"/>
          <w:kern w:val="2"/>
          <w:sz w:val="24"/>
          <w:szCs w:val="24"/>
        </w:rPr>
        <w:t>DN50mm</w:t>
      </w:r>
      <w:r>
        <w:rPr>
          <w:rFonts w:hint="eastAsia" w:ascii="宋体" w:hAnsi="宋体" w:eastAsia="宋体" w:cs="宋体"/>
          <w:color w:val="000000"/>
          <w:kern w:val="2"/>
          <w:sz w:val="24"/>
          <w:szCs w:val="24"/>
        </w:rPr>
        <w:t>。</w:t>
      </w:r>
    </w:p>
    <w:p w14:paraId="635B8234">
      <w:pPr>
        <w:pStyle w:val="50"/>
        <w:widowControl/>
        <w:ind w:left="0" w:firstLine="480"/>
        <w:jc w:val="left"/>
        <w:rPr>
          <w:rFonts w:hint="eastAsia" w:ascii="Times New Roman" w:hAnsi="Times New Roman" w:eastAsia="宋体" w:cs="Times New Roman"/>
          <w:color w:val="000000"/>
          <w:kern w:val="2"/>
          <w:sz w:val="24"/>
          <w:szCs w:val="24"/>
        </w:rPr>
      </w:pPr>
      <w:r>
        <w:rPr>
          <w:rFonts w:hint="default" w:ascii="Times New Roman" w:hAnsi="Times New Roman" w:eastAsia="宋体" w:cs="Times New Roman"/>
          <w:color w:val="000000"/>
          <w:kern w:val="2"/>
          <w:sz w:val="24"/>
          <w:szCs w:val="24"/>
        </w:rPr>
        <w:t>b</w:t>
      </w:r>
      <w:r>
        <w:rPr>
          <w:rFonts w:hint="eastAsia" w:cs="Times New Roman"/>
          <w:color w:val="000000"/>
          <w:kern w:val="2"/>
          <w:sz w:val="24"/>
          <w:szCs w:val="24"/>
          <w:lang w:eastAsia="zh-CN"/>
        </w:rPr>
        <w:t>.</w:t>
      </w:r>
      <w:r>
        <w:rPr>
          <w:rFonts w:hint="eastAsia" w:ascii="宋体" w:hAnsi="宋体" w:eastAsia="宋体" w:cs="宋体"/>
          <w:color w:val="000000"/>
          <w:kern w:val="2"/>
          <w:sz w:val="24"/>
          <w:szCs w:val="24"/>
        </w:rPr>
        <w:t>储油油气控制措施包括：本项目油气管线和所</w:t>
      </w:r>
      <w:r>
        <w:rPr>
          <w:rFonts w:hint="eastAsia" w:ascii="宋体" w:hAnsi="宋体" w:cs="宋体"/>
          <w:color w:val="000000"/>
          <w:kern w:val="2"/>
          <w:sz w:val="24"/>
          <w:szCs w:val="24"/>
          <w:lang w:eastAsia="zh-CN"/>
        </w:rPr>
        <w:t>连接</w:t>
      </w:r>
      <w:r>
        <w:rPr>
          <w:rFonts w:hint="eastAsia" w:ascii="宋体" w:hAnsi="宋体" w:eastAsia="宋体" w:cs="宋体"/>
          <w:color w:val="000000"/>
          <w:kern w:val="2"/>
          <w:sz w:val="24"/>
          <w:szCs w:val="24"/>
        </w:rPr>
        <w:t>的法兰、阀门、快接头以及其他相关部件保持密闭不漏气。埋地油罐配套设置电子液位计，油管中防溢流阀符合</w:t>
      </w:r>
      <w:r>
        <w:rPr>
          <w:rFonts w:hint="default" w:ascii="Times New Roman" w:hAnsi="Times New Roman" w:eastAsia="宋体" w:cs="Times New Roman"/>
          <w:color w:val="000000"/>
          <w:kern w:val="2"/>
          <w:sz w:val="24"/>
          <w:szCs w:val="24"/>
        </w:rPr>
        <w:t>GB50156</w:t>
      </w:r>
      <w:r>
        <w:rPr>
          <w:rFonts w:hint="eastAsia" w:ascii="宋体" w:hAnsi="宋体" w:eastAsia="宋体" w:cs="宋体"/>
          <w:color w:val="000000"/>
          <w:kern w:val="2"/>
          <w:sz w:val="24"/>
          <w:szCs w:val="24"/>
        </w:rPr>
        <w:t>中溢油控制措施。</w:t>
      </w:r>
    </w:p>
    <w:p w14:paraId="0A1F6F9C">
      <w:pPr>
        <w:pStyle w:val="50"/>
        <w:widowControl/>
        <w:ind w:left="0" w:firstLine="480"/>
        <w:jc w:val="left"/>
        <w:rPr>
          <w:rFonts w:hint="eastAsia" w:ascii="Times New Roman" w:hAnsi="Times New Roman" w:eastAsia="宋体" w:cs="Times New Roman"/>
          <w:color w:val="000000"/>
          <w:kern w:val="2"/>
          <w:sz w:val="24"/>
          <w:szCs w:val="24"/>
        </w:rPr>
      </w:pPr>
      <w:r>
        <w:rPr>
          <w:rFonts w:hint="default" w:ascii="Times New Roman" w:hAnsi="Times New Roman" w:eastAsia="宋体" w:cs="Times New Roman"/>
          <w:color w:val="000000"/>
          <w:kern w:val="2"/>
          <w:sz w:val="24"/>
          <w:szCs w:val="24"/>
        </w:rPr>
        <w:t>c</w:t>
      </w:r>
      <w:r>
        <w:rPr>
          <w:rFonts w:hint="eastAsia" w:cs="Times New Roman"/>
          <w:color w:val="000000"/>
          <w:kern w:val="2"/>
          <w:sz w:val="24"/>
          <w:szCs w:val="24"/>
          <w:lang w:eastAsia="zh-CN"/>
        </w:rPr>
        <w:t>.</w:t>
      </w:r>
      <w:r>
        <w:rPr>
          <w:rFonts w:hint="eastAsia" w:ascii="宋体" w:hAnsi="宋体" w:eastAsia="宋体" w:cs="宋体"/>
          <w:color w:val="000000"/>
          <w:kern w:val="2"/>
          <w:sz w:val="24"/>
          <w:szCs w:val="24"/>
        </w:rPr>
        <w:t>加油油气控制措施包括：本项目采用真空辅助式加油枪，对加油过程产生的油气进行密闭收集。油气回收管线坡度大于</w:t>
      </w:r>
      <w:r>
        <w:rPr>
          <w:rFonts w:hint="default" w:ascii="Times New Roman" w:hAnsi="Times New Roman" w:eastAsia="宋体" w:cs="Times New Roman"/>
          <w:color w:val="000000"/>
          <w:kern w:val="2"/>
          <w:sz w:val="24"/>
          <w:szCs w:val="24"/>
        </w:rPr>
        <w:t>1%</w:t>
      </w:r>
      <w:r>
        <w:rPr>
          <w:rFonts w:hint="eastAsia" w:ascii="宋体" w:hAnsi="宋体" w:eastAsia="宋体" w:cs="宋体"/>
          <w:color w:val="000000"/>
          <w:kern w:val="2"/>
          <w:sz w:val="24"/>
          <w:szCs w:val="24"/>
        </w:rPr>
        <w:t>，加油软管配备拉断截止阀，加油时无溢油和滴油现象发生。</w:t>
      </w:r>
    </w:p>
    <w:p w14:paraId="74608F02">
      <w:pPr>
        <w:pStyle w:val="50"/>
        <w:widowControl/>
        <w:ind w:left="0" w:firstLine="480"/>
        <w:jc w:val="left"/>
        <w:rPr>
          <w:rFonts w:hint="default" w:ascii="Times New Roman" w:hAnsi="Times New Roman" w:eastAsia="宋体" w:cs="Times New Roman"/>
          <w:b w:val="0"/>
          <w:bCs w:val="0"/>
          <w:color w:val="000000"/>
          <w:kern w:val="2"/>
          <w:sz w:val="24"/>
          <w:szCs w:val="24"/>
        </w:rPr>
      </w:pPr>
      <w:r>
        <w:rPr>
          <w:rFonts w:hint="default" w:ascii="Times New Roman" w:hAnsi="Times New Roman" w:eastAsia="宋体" w:cs="Times New Roman"/>
          <w:b w:val="0"/>
          <w:bCs w:val="0"/>
          <w:color w:val="000000"/>
          <w:kern w:val="2"/>
          <w:sz w:val="24"/>
          <w:szCs w:val="24"/>
        </w:rPr>
        <w:t>d</w:t>
      </w:r>
      <w:r>
        <w:rPr>
          <w:rFonts w:hint="eastAsia" w:cs="Times New Roman"/>
          <w:b w:val="0"/>
          <w:bCs w:val="0"/>
          <w:color w:val="000000"/>
          <w:kern w:val="2"/>
          <w:sz w:val="24"/>
          <w:szCs w:val="24"/>
          <w:lang w:eastAsia="zh-CN"/>
        </w:rPr>
        <w:t>.</w:t>
      </w:r>
      <w:r>
        <w:rPr>
          <w:rFonts w:hint="eastAsia" w:ascii="宋体" w:hAnsi="宋体" w:eastAsia="宋体" w:cs="宋体"/>
          <w:b w:val="0"/>
          <w:bCs w:val="0"/>
          <w:color w:val="000000"/>
          <w:kern w:val="2"/>
          <w:sz w:val="24"/>
          <w:szCs w:val="24"/>
        </w:rPr>
        <w:t>本项目运营期油气处理装置运行压力将根据实际情况设置运行及停止时压力感应值，油气处理装置排气口距地平面高度为</w:t>
      </w:r>
      <w:r>
        <w:rPr>
          <w:rFonts w:hint="default" w:ascii="Times New Roman" w:hAnsi="Times New Roman" w:eastAsia="宋体" w:cs="Times New Roman"/>
          <w:b w:val="0"/>
          <w:bCs w:val="0"/>
          <w:color w:val="000000"/>
          <w:kern w:val="2"/>
          <w:sz w:val="24"/>
          <w:szCs w:val="24"/>
        </w:rPr>
        <w:t>4.m</w:t>
      </w:r>
      <w:r>
        <w:rPr>
          <w:rFonts w:hint="eastAsia" w:ascii="宋体" w:hAnsi="宋体" w:eastAsia="宋体" w:cs="宋体"/>
          <w:b w:val="0"/>
          <w:bCs w:val="0"/>
          <w:color w:val="000000"/>
          <w:kern w:val="2"/>
          <w:sz w:val="24"/>
          <w:szCs w:val="24"/>
        </w:rPr>
        <w:t>，通气管口设有阻火器。油气处理装置回油管横向地下油罐的坡度＞</w:t>
      </w:r>
      <w:r>
        <w:rPr>
          <w:rFonts w:hint="default" w:ascii="Times New Roman" w:hAnsi="Times New Roman" w:eastAsia="宋体" w:cs="Times New Roman"/>
          <w:b w:val="0"/>
          <w:bCs w:val="0"/>
          <w:color w:val="000000"/>
          <w:kern w:val="2"/>
          <w:sz w:val="24"/>
          <w:szCs w:val="24"/>
        </w:rPr>
        <w:t>1%</w:t>
      </w:r>
      <w:r>
        <w:rPr>
          <w:rFonts w:hint="eastAsia" w:ascii="宋体" w:hAnsi="宋体" w:eastAsia="宋体" w:cs="宋体"/>
          <w:b w:val="0"/>
          <w:bCs w:val="0"/>
          <w:color w:val="000000"/>
          <w:kern w:val="2"/>
          <w:sz w:val="24"/>
          <w:szCs w:val="24"/>
        </w:rPr>
        <w:t>。在运营期正常工况下（包括卸油期间）油气处理装置将一直保持运行状态。</w:t>
      </w:r>
    </w:p>
    <w:p w14:paraId="5358AED4">
      <w:pPr>
        <w:pStyle w:val="50"/>
        <w:widowControl/>
        <w:ind w:left="0" w:firstLine="480"/>
        <w:jc w:val="left"/>
        <w:rPr>
          <w:rFonts w:hint="default" w:ascii="Times New Roman" w:hAnsi="Times New Roman" w:eastAsia="宋体" w:cs="Times New Roman"/>
          <w:b/>
          <w:bCs/>
          <w:color w:val="000000"/>
          <w:kern w:val="2"/>
          <w:sz w:val="24"/>
          <w:szCs w:val="24"/>
        </w:rPr>
      </w:pPr>
      <w:r>
        <w:rPr>
          <w:rFonts w:hint="default" w:ascii="Times New Roman" w:hAnsi="Times New Roman" w:eastAsia="宋体" w:cs="Times New Roman"/>
          <w:b/>
          <w:bCs/>
          <w:color w:val="000000"/>
          <w:kern w:val="2"/>
          <w:sz w:val="24"/>
          <w:szCs w:val="24"/>
        </w:rPr>
        <w:t>2</w:t>
      </w:r>
      <w:r>
        <w:rPr>
          <w:rFonts w:hint="eastAsia" w:ascii="宋体" w:hAnsi="宋体" w:eastAsia="宋体" w:cs="宋体"/>
          <w:b/>
          <w:bCs/>
          <w:color w:val="000000"/>
          <w:kern w:val="2"/>
          <w:sz w:val="24"/>
          <w:szCs w:val="24"/>
        </w:rPr>
        <w:t>）三次油气回收系统</w:t>
      </w:r>
    </w:p>
    <w:p w14:paraId="79D3DC25">
      <w:pPr>
        <w:pStyle w:val="50"/>
        <w:keepNext w:val="0"/>
        <w:keepLines w:val="0"/>
        <w:pageBreakBefore w:val="0"/>
        <w:widowControl/>
        <w:kinsoku/>
        <w:wordWrap/>
        <w:overflowPunct/>
        <w:topLinePunct w:val="0"/>
        <w:autoSpaceDE/>
        <w:autoSpaceDN/>
        <w:bidi w:val="0"/>
        <w:adjustRightInd/>
        <w:snapToGrid/>
        <w:ind w:left="0" w:firstLine="480"/>
        <w:jc w:val="left"/>
        <w:textAlignment w:val="auto"/>
        <w:rPr>
          <w:rFonts w:hint="default" w:ascii="Times New Roman" w:hAnsi="Times New Roman" w:eastAsia="宋体" w:cs="Times New Roman"/>
          <w:color w:val="000000"/>
          <w:kern w:val="2"/>
          <w:sz w:val="24"/>
          <w:szCs w:val="24"/>
        </w:rPr>
      </w:pPr>
      <w:r>
        <w:rPr>
          <w:rFonts w:hint="eastAsia" w:ascii="宋体" w:hAnsi="宋体" w:eastAsia="宋体" w:cs="宋体"/>
          <w:color w:val="000000"/>
          <w:kern w:val="2"/>
          <w:sz w:val="24"/>
          <w:szCs w:val="24"/>
        </w:rPr>
        <w:t>本项目加油站采取三次油气回收系统回收汽油卸油、储油及加油过程挥发产生油气，</w:t>
      </w:r>
      <w:r>
        <w:rPr>
          <w:rFonts w:hint="eastAsia" w:ascii="宋体" w:hAnsi="宋体" w:cs="宋体"/>
          <w:b w:val="0"/>
          <w:bCs w:val="0"/>
          <w:color w:val="000000"/>
          <w:kern w:val="2"/>
          <w:sz w:val="24"/>
          <w:szCs w:val="24"/>
          <w:lang w:val="en-US" w:eastAsia="zh-CN"/>
        </w:rPr>
        <w:t>本项目设置</w:t>
      </w:r>
      <w:r>
        <w:rPr>
          <w:rFonts w:hint="eastAsia" w:ascii="宋体" w:hAnsi="宋体" w:eastAsia="宋体" w:cs="宋体"/>
          <w:b w:val="0"/>
          <w:bCs w:val="0"/>
          <w:color w:val="000000"/>
          <w:kern w:val="2"/>
          <w:sz w:val="24"/>
          <w:szCs w:val="24"/>
        </w:rPr>
        <w:t>三次油气回收系统，油气回收系统设置情况如下：</w:t>
      </w:r>
    </w:p>
    <w:p w14:paraId="5DE298EF">
      <w:pPr>
        <w:pStyle w:val="50"/>
        <w:keepNext w:val="0"/>
        <w:keepLines w:val="0"/>
        <w:pageBreakBefore w:val="0"/>
        <w:widowControl/>
        <w:kinsoku/>
        <w:wordWrap/>
        <w:overflowPunct/>
        <w:topLinePunct w:val="0"/>
        <w:autoSpaceDE/>
        <w:autoSpaceDN/>
        <w:bidi w:val="0"/>
        <w:adjustRightInd/>
        <w:snapToGrid/>
        <w:ind w:left="0" w:firstLine="480"/>
        <w:jc w:val="left"/>
        <w:textAlignment w:val="auto"/>
        <w:rPr>
          <w:rFonts w:hint="eastAsia" w:ascii="Times New Roman" w:hAnsi="Times New Roman" w:eastAsia="宋体" w:cs="Times New Roman"/>
          <w:color w:val="000000"/>
          <w:kern w:val="2"/>
          <w:sz w:val="24"/>
          <w:szCs w:val="24"/>
        </w:rPr>
      </w:pPr>
      <w:r>
        <w:rPr>
          <w:rFonts w:hint="eastAsia" w:ascii="宋体" w:hAnsi="宋体" w:eastAsia="宋体" w:cs="宋体"/>
          <w:color w:val="000000"/>
          <w:kern w:val="2"/>
          <w:sz w:val="24"/>
          <w:szCs w:val="24"/>
        </w:rPr>
        <w:t>一次油气回收：为卸油油气回收系统，即在油罐车卸油过程中，储油车内压力减小，地下储罐内压力增加，地下储罐与油罐车内的压力差，使卸油过程中挥发的油气通过管线回到油罐车内，达到油气收集的目的。待卸油结束，地下储罐与油罐车内压力达到平衡状态，油气回收阶段结束。回收到油罐车内的油气，可由油罐车带回油库后，再经冷凝、吸附或燃烧等方式处理。</w:t>
      </w:r>
    </w:p>
    <w:p w14:paraId="74AA70AA">
      <w:pPr>
        <w:pStyle w:val="50"/>
        <w:keepNext w:val="0"/>
        <w:keepLines w:val="0"/>
        <w:pageBreakBefore w:val="0"/>
        <w:widowControl/>
        <w:kinsoku/>
        <w:wordWrap/>
        <w:overflowPunct/>
        <w:topLinePunct w:val="0"/>
        <w:autoSpaceDE/>
        <w:autoSpaceDN/>
        <w:bidi w:val="0"/>
        <w:adjustRightInd/>
        <w:snapToGrid/>
        <w:ind w:left="0" w:firstLine="480"/>
        <w:jc w:val="left"/>
        <w:textAlignment w:val="auto"/>
        <w:rPr>
          <w:rFonts w:hint="eastAsia" w:ascii="Times New Roman" w:hAnsi="Times New Roman" w:eastAsia="宋体" w:cs="Times New Roman"/>
          <w:color w:val="000000"/>
          <w:kern w:val="2"/>
          <w:sz w:val="24"/>
          <w:szCs w:val="24"/>
        </w:rPr>
      </w:pPr>
      <w:r>
        <w:rPr>
          <w:rFonts w:hint="eastAsia" w:ascii="宋体" w:hAnsi="宋体" w:eastAsia="宋体" w:cs="宋体"/>
          <w:color w:val="000000"/>
          <w:kern w:val="2"/>
          <w:sz w:val="24"/>
          <w:szCs w:val="24"/>
        </w:rPr>
        <w:t>二次油气回收：即加油油气回收系统，该阶段油气回收实现过程：在加油站为汽车加油过程中，通过真空泵产生一定真空度，经过加油枪、油气回收管、真空泵等油气回收设备，按照气液比控制在</w:t>
      </w:r>
      <w:r>
        <w:rPr>
          <w:rFonts w:hint="default" w:ascii="Times New Roman" w:hAnsi="Times New Roman" w:eastAsia="宋体" w:cs="Times New Roman"/>
          <w:color w:val="000000"/>
          <w:kern w:val="2"/>
          <w:sz w:val="24"/>
          <w:szCs w:val="24"/>
        </w:rPr>
        <w:t>1.0</w:t>
      </w:r>
      <w:r>
        <w:rPr>
          <w:rFonts w:hint="eastAsia" w:ascii="宋体" w:hAnsi="宋体" w:eastAsia="宋体" w:cs="宋体"/>
          <w:color w:val="000000"/>
          <w:kern w:val="2"/>
          <w:sz w:val="24"/>
          <w:szCs w:val="24"/>
        </w:rPr>
        <w:t>至</w:t>
      </w:r>
      <w:r>
        <w:rPr>
          <w:rFonts w:hint="default" w:ascii="Times New Roman" w:hAnsi="Times New Roman" w:eastAsia="宋体" w:cs="Times New Roman"/>
          <w:color w:val="000000"/>
          <w:kern w:val="2"/>
          <w:sz w:val="24"/>
          <w:szCs w:val="24"/>
        </w:rPr>
        <w:t>1.2</w:t>
      </w:r>
      <w:r>
        <w:rPr>
          <w:rFonts w:hint="eastAsia" w:ascii="宋体" w:hAnsi="宋体" w:eastAsia="宋体" w:cs="宋体"/>
          <w:color w:val="000000"/>
          <w:kern w:val="2"/>
          <w:sz w:val="24"/>
          <w:szCs w:val="24"/>
        </w:rPr>
        <w:t>之间的要求，将加油过程中挥发的油气回收到油罐内。</w:t>
      </w:r>
    </w:p>
    <w:p w14:paraId="6AF39400">
      <w:pPr>
        <w:pStyle w:val="50"/>
        <w:widowControl/>
        <w:ind w:left="0" w:firstLine="480"/>
        <w:jc w:val="left"/>
        <w:rPr>
          <w:rFonts w:hint="eastAsia" w:ascii="Times New Roman" w:hAnsi="Times New Roman" w:eastAsia="宋体" w:cs="Times New Roman"/>
          <w:color w:val="000000"/>
          <w:kern w:val="2"/>
          <w:sz w:val="24"/>
          <w:szCs w:val="24"/>
        </w:rPr>
      </w:pPr>
      <w:r>
        <w:rPr>
          <w:rFonts w:hint="eastAsia" w:ascii="宋体" w:hAnsi="宋体" w:eastAsia="宋体" w:cs="宋体"/>
          <w:color w:val="000000"/>
          <w:kern w:val="2"/>
          <w:sz w:val="24"/>
          <w:szCs w:val="24"/>
        </w:rPr>
        <w:t>三次油气回收：即储油油气回收系统，三次油气回收装置安装于加油站储罐呼吸阀处，当油站在卸油或压力超过预设的压力值时（</w:t>
      </w:r>
      <w:r>
        <w:rPr>
          <w:rFonts w:hint="default" w:ascii="Times New Roman" w:hAnsi="Times New Roman" w:eastAsia="宋体" w:cs="Times New Roman"/>
          <w:color w:val="000000"/>
          <w:kern w:val="2"/>
          <w:sz w:val="24"/>
          <w:szCs w:val="24"/>
        </w:rPr>
        <w:t>+150Pa</w:t>
      </w:r>
      <w:r>
        <w:rPr>
          <w:rFonts w:hint="eastAsia" w:ascii="宋体" w:hAnsi="宋体" w:eastAsia="宋体" w:cs="宋体"/>
          <w:color w:val="000000"/>
          <w:kern w:val="2"/>
          <w:sz w:val="24"/>
          <w:szCs w:val="24"/>
        </w:rPr>
        <w:t>），设备自动开始运行，内部的真空泵开始运行，抽取储罐内的油气经过油气处理装置（本项目拟采用冷凝工艺）对油气进行处理回收后转变为液态回到储油罐中，同时降低罐内压力，当油罐压力达到</w:t>
      </w:r>
      <w:r>
        <w:rPr>
          <w:rFonts w:hint="default" w:ascii="Times New Roman" w:hAnsi="Times New Roman" w:eastAsia="宋体" w:cs="Times New Roman"/>
          <w:color w:val="000000"/>
          <w:kern w:val="2"/>
          <w:sz w:val="24"/>
          <w:szCs w:val="24"/>
        </w:rPr>
        <w:t>0-50Pa</w:t>
      </w:r>
      <w:r>
        <w:rPr>
          <w:rFonts w:hint="eastAsia" w:ascii="宋体" w:hAnsi="宋体" w:eastAsia="宋体" w:cs="宋体"/>
          <w:color w:val="000000"/>
          <w:kern w:val="2"/>
          <w:sz w:val="24"/>
          <w:szCs w:val="24"/>
        </w:rPr>
        <w:t>时，系统自动停止进入待机状态，感应压力上升至设定压力值时，系统将再次自动运行。</w:t>
      </w:r>
    </w:p>
    <w:p w14:paraId="2CCD8EA7">
      <w:pPr>
        <w:pStyle w:val="50"/>
        <w:widowControl/>
        <w:ind w:left="0" w:firstLine="480"/>
        <w:jc w:val="left"/>
        <w:rPr>
          <w:rFonts w:hint="eastAsia" w:ascii="Times New Roman" w:hAnsi="Times New Roman" w:eastAsia="宋体" w:cs="Times New Roman"/>
          <w:color w:val="000000"/>
          <w:kern w:val="2"/>
          <w:sz w:val="24"/>
          <w:szCs w:val="24"/>
        </w:rPr>
      </w:pPr>
      <w:r>
        <w:rPr>
          <w:rFonts w:hint="eastAsia" w:ascii="宋体" w:hAnsi="宋体" w:eastAsia="宋体" w:cs="宋体"/>
          <w:color w:val="000000"/>
          <w:kern w:val="2"/>
          <w:sz w:val="24"/>
          <w:szCs w:val="24"/>
        </w:rPr>
        <w:t>根据《中国加油站</w:t>
      </w:r>
      <w:r>
        <w:rPr>
          <w:rFonts w:hint="default" w:ascii="Times New Roman" w:hAnsi="Times New Roman" w:eastAsia="宋体" w:cs="Times New Roman"/>
          <w:color w:val="000000"/>
          <w:kern w:val="2"/>
          <w:sz w:val="24"/>
          <w:szCs w:val="24"/>
        </w:rPr>
        <w:t>VOC</w:t>
      </w:r>
      <w:r>
        <w:rPr>
          <w:rFonts w:hint="eastAsia" w:ascii="宋体" w:hAnsi="宋体" w:eastAsia="宋体" w:cs="宋体"/>
          <w:color w:val="000000"/>
          <w:kern w:val="2"/>
          <w:sz w:val="24"/>
          <w:szCs w:val="24"/>
        </w:rPr>
        <w:t>排放污染现状及控制》（《环境科学》</w:t>
      </w:r>
      <w:r>
        <w:rPr>
          <w:rFonts w:hint="default" w:ascii="Times New Roman" w:hAnsi="Times New Roman" w:eastAsia="宋体" w:cs="Times New Roman"/>
          <w:color w:val="000000"/>
          <w:kern w:val="2"/>
          <w:sz w:val="24"/>
          <w:szCs w:val="24"/>
        </w:rPr>
        <w:t>2006.8</w:t>
      </w:r>
      <w:r>
        <w:rPr>
          <w:rFonts w:hint="eastAsia" w:ascii="宋体" w:hAnsi="宋体" w:eastAsia="宋体" w:cs="宋体"/>
          <w:color w:val="000000"/>
          <w:kern w:val="2"/>
          <w:sz w:val="24"/>
          <w:szCs w:val="24"/>
        </w:rPr>
        <w:t>第</w:t>
      </w:r>
      <w:r>
        <w:rPr>
          <w:rFonts w:hint="default" w:ascii="Times New Roman" w:hAnsi="Times New Roman" w:eastAsia="宋体" w:cs="Times New Roman"/>
          <w:color w:val="000000"/>
          <w:kern w:val="2"/>
          <w:sz w:val="24"/>
          <w:szCs w:val="24"/>
        </w:rPr>
        <w:t>27</w:t>
      </w:r>
      <w:r>
        <w:rPr>
          <w:rFonts w:hint="eastAsia" w:ascii="宋体" w:hAnsi="宋体" w:eastAsia="宋体" w:cs="宋体"/>
          <w:color w:val="000000"/>
          <w:kern w:val="2"/>
          <w:sz w:val="24"/>
          <w:szCs w:val="24"/>
        </w:rPr>
        <w:t>卷第</w:t>
      </w:r>
      <w:r>
        <w:rPr>
          <w:rFonts w:hint="default" w:ascii="Times New Roman" w:hAnsi="Times New Roman" w:eastAsia="宋体" w:cs="Times New Roman"/>
          <w:color w:val="000000"/>
          <w:kern w:val="2"/>
          <w:sz w:val="24"/>
          <w:szCs w:val="24"/>
        </w:rPr>
        <w:t>8</w:t>
      </w:r>
      <w:r>
        <w:rPr>
          <w:rFonts w:hint="eastAsia" w:ascii="宋体" w:hAnsi="宋体" w:eastAsia="宋体" w:cs="宋体"/>
          <w:color w:val="000000"/>
          <w:kern w:val="2"/>
          <w:sz w:val="24"/>
          <w:szCs w:val="24"/>
        </w:rPr>
        <w:t>期）及同规模加油站类比资料，安装油气回收系统后，油气回收效率可</w:t>
      </w:r>
      <w:r>
        <w:rPr>
          <w:rFonts w:hint="eastAsia" w:ascii="宋体" w:hAnsi="宋体" w:cs="宋体"/>
          <w:color w:val="000000"/>
          <w:kern w:val="2"/>
          <w:sz w:val="24"/>
          <w:szCs w:val="24"/>
          <w:lang w:eastAsia="zh-CN"/>
        </w:rPr>
        <w:t>达到</w:t>
      </w:r>
      <w:r>
        <w:rPr>
          <w:rFonts w:hint="default" w:ascii="Times New Roman" w:hAnsi="Times New Roman" w:eastAsia="宋体" w:cs="Times New Roman"/>
          <w:color w:val="000000"/>
          <w:kern w:val="2"/>
          <w:sz w:val="24"/>
          <w:szCs w:val="24"/>
        </w:rPr>
        <w:t>95%</w:t>
      </w:r>
      <w:r>
        <w:rPr>
          <w:rFonts w:hint="eastAsia" w:ascii="宋体" w:hAnsi="宋体" w:eastAsia="宋体" w:cs="宋体"/>
          <w:color w:val="000000"/>
          <w:kern w:val="2"/>
          <w:sz w:val="24"/>
          <w:szCs w:val="24"/>
        </w:rPr>
        <w:t>（二次油气回收效率实际可达到</w:t>
      </w:r>
      <w:r>
        <w:rPr>
          <w:rFonts w:hint="default" w:ascii="Times New Roman" w:hAnsi="Times New Roman" w:eastAsia="宋体" w:cs="Times New Roman"/>
          <w:color w:val="000000"/>
          <w:kern w:val="2"/>
          <w:sz w:val="24"/>
          <w:szCs w:val="24"/>
        </w:rPr>
        <w:t>85</w:t>
      </w:r>
      <w:r>
        <w:rPr>
          <w:rFonts w:hint="eastAsia" w:cs="Times New Roman"/>
          <w:color w:val="000000"/>
          <w:kern w:val="2"/>
          <w:sz w:val="24"/>
          <w:szCs w:val="24"/>
          <w:lang w:eastAsia="zh-CN"/>
        </w:rPr>
        <w:t>%～</w:t>
      </w:r>
      <w:r>
        <w:rPr>
          <w:rFonts w:hint="default" w:ascii="Times New Roman" w:hAnsi="Times New Roman" w:eastAsia="宋体" w:cs="Times New Roman"/>
          <w:color w:val="000000"/>
          <w:kern w:val="2"/>
          <w:sz w:val="24"/>
          <w:szCs w:val="24"/>
        </w:rPr>
        <w:t>95%</w:t>
      </w:r>
      <w:r>
        <w:rPr>
          <w:rFonts w:hint="eastAsia" w:ascii="宋体" w:hAnsi="宋体" w:eastAsia="宋体" w:cs="宋体"/>
          <w:color w:val="000000"/>
          <w:kern w:val="2"/>
          <w:sz w:val="24"/>
          <w:szCs w:val="24"/>
        </w:rPr>
        <w:t>），能够满足《加油站大气污染物排放标准》（</w:t>
      </w:r>
      <w:r>
        <w:rPr>
          <w:rFonts w:hint="default" w:ascii="Times New Roman" w:hAnsi="Times New Roman" w:eastAsia="宋体" w:cs="Times New Roman"/>
          <w:color w:val="000000"/>
          <w:kern w:val="2"/>
          <w:sz w:val="24"/>
          <w:szCs w:val="24"/>
        </w:rPr>
        <w:t>GB20952-2020</w:t>
      </w:r>
      <w:r>
        <w:rPr>
          <w:rFonts w:hint="eastAsia" w:ascii="宋体" w:hAnsi="宋体" w:eastAsia="宋体" w:cs="宋体"/>
          <w:color w:val="000000"/>
          <w:kern w:val="2"/>
          <w:sz w:val="24"/>
          <w:szCs w:val="24"/>
        </w:rPr>
        <w:t>）处理装置油气排放浓度小于</w:t>
      </w:r>
      <w:r>
        <w:rPr>
          <w:rFonts w:hint="default" w:ascii="Times New Roman" w:hAnsi="Times New Roman" w:eastAsia="宋体" w:cs="Times New Roman"/>
          <w:color w:val="000000"/>
          <w:kern w:val="2"/>
          <w:sz w:val="24"/>
          <w:szCs w:val="24"/>
        </w:rPr>
        <w:t>25g/m</w:t>
      </w:r>
      <w:r>
        <w:rPr>
          <w:rFonts w:hint="default" w:ascii="Times New Roman" w:hAnsi="Times New Roman" w:eastAsia="宋体" w:cs="Times New Roman"/>
          <w:color w:val="000000"/>
          <w:kern w:val="2"/>
          <w:sz w:val="24"/>
          <w:szCs w:val="24"/>
          <w:vertAlign w:val="superscript"/>
        </w:rPr>
        <w:t>3</w:t>
      </w:r>
      <w:r>
        <w:rPr>
          <w:rFonts w:hint="eastAsia" w:ascii="宋体" w:hAnsi="宋体" w:eastAsia="宋体" w:cs="宋体"/>
          <w:color w:val="000000"/>
          <w:kern w:val="2"/>
          <w:sz w:val="24"/>
          <w:szCs w:val="24"/>
        </w:rPr>
        <w:t>的要求，项目油气处理装置排放口离地高度为</w:t>
      </w:r>
      <w:r>
        <w:rPr>
          <w:rFonts w:hint="default" w:ascii="Times New Roman" w:hAnsi="Times New Roman" w:eastAsia="宋体" w:cs="Times New Roman"/>
          <w:color w:val="000000"/>
          <w:kern w:val="2"/>
          <w:sz w:val="24"/>
          <w:szCs w:val="24"/>
        </w:rPr>
        <w:t>4m</w:t>
      </w:r>
      <w:r>
        <w:rPr>
          <w:rFonts w:hint="eastAsia" w:ascii="宋体" w:hAnsi="宋体" w:eastAsia="宋体" w:cs="宋体"/>
          <w:color w:val="000000"/>
          <w:kern w:val="2"/>
          <w:sz w:val="24"/>
          <w:szCs w:val="24"/>
        </w:rPr>
        <w:t>。</w:t>
      </w:r>
    </w:p>
    <w:p w14:paraId="514D3296">
      <w:pPr>
        <w:pStyle w:val="50"/>
        <w:widowControl/>
        <w:ind w:left="0" w:firstLine="480"/>
        <w:jc w:val="left"/>
        <w:rPr>
          <w:rFonts w:hint="eastAsia" w:ascii="Times New Roman" w:hAnsi="Times New Roman" w:eastAsia="宋体" w:cs="Times New Roman"/>
          <w:color w:val="000000"/>
          <w:kern w:val="2"/>
          <w:sz w:val="24"/>
          <w:szCs w:val="24"/>
        </w:rPr>
      </w:pPr>
      <w:r>
        <w:rPr>
          <w:rFonts w:hint="eastAsia" w:ascii="宋体" w:hAnsi="宋体" w:eastAsia="宋体" w:cs="宋体"/>
          <w:color w:val="000000"/>
          <w:kern w:val="2"/>
          <w:sz w:val="24"/>
          <w:szCs w:val="24"/>
        </w:rPr>
        <w:t>为了进一步减少非甲烷总烃的排放，本环评建议采取以下措施进一步控制：</w:t>
      </w:r>
    </w:p>
    <w:p w14:paraId="4DE0489C">
      <w:pPr>
        <w:pStyle w:val="50"/>
        <w:widowControl/>
        <w:ind w:left="0" w:firstLine="480"/>
        <w:jc w:val="left"/>
        <w:rPr>
          <w:rFonts w:hint="eastAsia" w:ascii="Times New Roman" w:hAnsi="Times New Roman" w:eastAsia="宋体" w:cs="Times New Roman"/>
          <w:color w:val="000000"/>
          <w:kern w:val="2"/>
          <w:sz w:val="24"/>
          <w:szCs w:val="24"/>
        </w:rPr>
      </w:pPr>
      <w:r>
        <w:rPr>
          <w:rFonts w:hint="eastAsia" w:ascii="宋体" w:hAnsi="宋体" w:eastAsia="宋体" w:cs="宋体"/>
          <w:color w:val="000000"/>
          <w:kern w:val="2"/>
          <w:sz w:val="24"/>
          <w:szCs w:val="24"/>
        </w:rPr>
        <w:t>①为减少加油机作业时由于跑冒滴漏造成的非甲烷总烃损失，加油站加强操作人员的业务培训和学习，严格按照行业操作规程作业，从管理和作业上减少排污量。</w:t>
      </w:r>
    </w:p>
    <w:p w14:paraId="087299A7">
      <w:pPr>
        <w:pStyle w:val="50"/>
        <w:widowControl/>
        <w:ind w:left="0" w:firstLine="480"/>
        <w:jc w:val="left"/>
        <w:rPr>
          <w:rFonts w:hint="eastAsia" w:ascii="Times New Roman" w:hAnsi="Times New Roman" w:eastAsia="宋体" w:cs="Times New Roman"/>
          <w:color w:val="000000"/>
          <w:kern w:val="2"/>
          <w:sz w:val="24"/>
          <w:szCs w:val="24"/>
        </w:rPr>
      </w:pPr>
      <w:r>
        <w:rPr>
          <w:rFonts w:hint="eastAsia" w:ascii="宋体" w:hAnsi="宋体" w:eastAsia="宋体" w:cs="宋体"/>
          <w:color w:val="000000"/>
          <w:kern w:val="2"/>
          <w:sz w:val="24"/>
          <w:szCs w:val="24"/>
        </w:rPr>
        <w:t>②尽量缩短加油时间，在加油过程中尽量防止油品的泄漏和溢流，从而减少油气的挥发量。</w:t>
      </w:r>
    </w:p>
    <w:p w14:paraId="303A52B0">
      <w:pPr>
        <w:widowControl/>
        <w:spacing w:line="360" w:lineRule="auto"/>
        <w:ind w:firstLine="480" w:firstLineChars="200"/>
        <w:rPr>
          <w:rFonts w:ascii="Times New Roman"/>
          <w:spacing w:val="-2"/>
          <w:sz w:val="24"/>
          <w:szCs w:val="24"/>
        </w:rPr>
      </w:pPr>
      <w:r>
        <w:rPr>
          <w:rFonts w:hint="eastAsia" w:ascii="宋体" w:hAnsi="宋体" w:eastAsia="宋体" w:cs="宋体"/>
          <w:color w:val="000000"/>
          <w:kern w:val="2"/>
          <w:sz w:val="24"/>
          <w:szCs w:val="24"/>
        </w:rPr>
        <w:t>因此，建设方加强管理，认真严格操作，油料的挥发排放可以控制在国家要求的标准范围之内，对大气环境无明显影响。本项目通气管位于油罐区，高度</w:t>
      </w:r>
      <w:r>
        <w:rPr>
          <w:rFonts w:hint="default" w:ascii="Times New Roman" w:hAnsi="Times New Roman" w:eastAsia="宋体" w:cs="Times New Roman"/>
          <w:color w:val="000000"/>
          <w:kern w:val="2"/>
          <w:sz w:val="24"/>
          <w:szCs w:val="24"/>
        </w:rPr>
        <w:t>4m</w:t>
      </w:r>
      <w:r>
        <w:rPr>
          <w:rFonts w:hint="eastAsia" w:ascii="宋体" w:hAnsi="宋体" w:eastAsia="宋体" w:cs="宋体"/>
          <w:color w:val="000000"/>
          <w:kern w:val="2"/>
          <w:sz w:val="24"/>
          <w:szCs w:val="24"/>
        </w:rPr>
        <w:t>，满足《加油站大气污染物排放标准》（</w:t>
      </w:r>
      <w:r>
        <w:rPr>
          <w:rFonts w:hint="default" w:ascii="Times New Roman" w:hAnsi="Times New Roman" w:eastAsia="宋体" w:cs="Times New Roman"/>
          <w:color w:val="000000"/>
          <w:kern w:val="2"/>
          <w:sz w:val="24"/>
          <w:szCs w:val="24"/>
        </w:rPr>
        <w:t>GB20952-2020</w:t>
      </w:r>
      <w:r>
        <w:rPr>
          <w:rFonts w:hint="eastAsia" w:ascii="宋体" w:hAnsi="宋体" w:eastAsia="宋体" w:cs="宋体"/>
          <w:color w:val="000000"/>
          <w:kern w:val="2"/>
          <w:sz w:val="24"/>
          <w:szCs w:val="24"/>
        </w:rPr>
        <w:t>）中通气管不低于</w:t>
      </w:r>
      <w:r>
        <w:rPr>
          <w:rFonts w:hint="default" w:ascii="Times New Roman" w:hAnsi="Times New Roman" w:eastAsia="宋体" w:cs="Times New Roman"/>
          <w:color w:val="000000"/>
          <w:kern w:val="2"/>
          <w:sz w:val="24"/>
          <w:szCs w:val="24"/>
        </w:rPr>
        <w:t>4m</w:t>
      </w:r>
      <w:r>
        <w:rPr>
          <w:rFonts w:hint="eastAsia" w:ascii="宋体" w:hAnsi="宋体" w:eastAsia="宋体" w:cs="宋体"/>
          <w:color w:val="000000"/>
          <w:kern w:val="2"/>
          <w:sz w:val="24"/>
          <w:szCs w:val="24"/>
        </w:rPr>
        <w:t>的要求。类比同类型加油站，通气管口排放油气浓度能够满足《加油站大气污染物排放标准》（</w:t>
      </w:r>
      <w:r>
        <w:rPr>
          <w:rFonts w:hint="default" w:ascii="Times New Roman" w:hAnsi="Times New Roman" w:eastAsia="宋体" w:cs="Times New Roman"/>
          <w:color w:val="000000"/>
          <w:kern w:val="2"/>
          <w:sz w:val="24"/>
          <w:szCs w:val="24"/>
        </w:rPr>
        <w:t>GB20952-20020</w:t>
      </w:r>
      <w:r>
        <w:rPr>
          <w:rFonts w:hint="eastAsia" w:ascii="宋体" w:hAnsi="宋体" w:eastAsia="宋体" w:cs="宋体"/>
          <w:color w:val="000000"/>
          <w:kern w:val="2"/>
          <w:sz w:val="24"/>
          <w:szCs w:val="24"/>
        </w:rPr>
        <w:t>）中</w:t>
      </w:r>
      <w:r>
        <w:rPr>
          <w:rFonts w:hint="default" w:ascii="Times New Roman" w:hAnsi="Times New Roman" w:eastAsia="宋体" w:cs="Times New Roman"/>
          <w:color w:val="000000"/>
          <w:kern w:val="2"/>
          <w:sz w:val="24"/>
          <w:szCs w:val="24"/>
        </w:rPr>
        <w:t>25g/m</w:t>
      </w:r>
      <w:r>
        <w:rPr>
          <w:rFonts w:hint="default" w:ascii="Times New Roman" w:hAnsi="Times New Roman" w:eastAsia="宋体" w:cs="Times New Roman"/>
          <w:color w:val="000000"/>
          <w:kern w:val="2"/>
          <w:sz w:val="24"/>
          <w:szCs w:val="24"/>
          <w:vertAlign w:val="superscript"/>
        </w:rPr>
        <w:t>3</w:t>
      </w:r>
      <w:r>
        <w:rPr>
          <w:rFonts w:hint="eastAsia" w:ascii="宋体" w:hAnsi="宋体" w:eastAsia="宋体" w:cs="宋体"/>
          <w:color w:val="000000"/>
          <w:kern w:val="2"/>
          <w:sz w:val="24"/>
          <w:szCs w:val="24"/>
        </w:rPr>
        <w:t>的要求。</w:t>
      </w:r>
    </w:p>
    <w:p w14:paraId="0F7B54D0">
      <w:pPr>
        <w:numPr>
          <w:ilvl w:val="0"/>
          <w:numId w:val="3"/>
        </w:numPr>
        <w:adjustRightInd w:val="0"/>
        <w:snapToGrid w:val="0"/>
        <w:spacing w:line="360" w:lineRule="auto"/>
        <w:ind w:firstLine="480" w:firstLineChars="200"/>
        <w:outlineLvl w:val="0"/>
        <w:rPr>
          <w:rFonts w:ascii="Times New Roman"/>
          <w:sz w:val="24"/>
          <w:szCs w:val="24"/>
        </w:rPr>
      </w:pPr>
      <w:r>
        <w:rPr>
          <w:rFonts w:ascii="Times New Roman"/>
          <w:sz w:val="24"/>
          <w:szCs w:val="24"/>
        </w:rPr>
        <w:t>废水</w:t>
      </w:r>
    </w:p>
    <w:p w14:paraId="0C10F439">
      <w:pPr>
        <w:widowControl/>
        <w:spacing w:line="360" w:lineRule="auto"/>
        <w:ind w:firstLine="480" w:firstLineChars="200"/>
        <w:rPr>
          <w:rFonts w:ascii="Times New Roman"/>
          <w:sz w:val="24"/>
          <w:szCs w:val="24"/>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本项目排水系统采用雨、污分流制。绿化用水量全部通过自然蒸发损耗，不外排，生活污水经站区化粪池处理后再经市政污水管网排至杨凌示范区污水处理厂。</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本项目的</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洗车废水经</w:t>
      </w:r>
      <w:r>
        <w:rPr>
          <w:rFonts w:hint="default" w:ascii="Times New Roman" w:hAnsi="Times New Roman" w:eastAsia="宋体" w:cs="Times New Roman"/>
          <w:color w:val="000000" w:themeColor="text1"/>
          <w:spacing w:val="7"/>
          <w:sz w:val="24"/>
          <w:szCs w:val="24"/>
          <w14:textFill>
            <w14:solidFill>
              <w14:schemeClr w14:val="tx1"/>
            </w14:solidFill>
          </w14:textFill>
        </w:rPr>
        <w:t>隔油</w:t>
      </w:r>
      <w:r>
        <w:rPr>
          <w:rFonts w:hint="eastAsia" w:ascii="Times New Roman" w:hAnsi="Times New Roman" w:eastAsia="宋体" w:cs="Times New Roman"/>
          <w:color w:val="000000" w:themeColor="text1"/>
          <w:spacing w:val="7"/>
          <w:sz w:val="24"/>
          <w:szCs w:val="24"/>
          <w:lang w:val="en-US" w:eastAsia="zh-CN"/>
          <w14:textFill>
            <w14:solidFill>
              <w14:schemeClr w14:val="tx1"/>
            </w14:solidFill>
          </w14:textFill>
        </w:rPr>
        <w:t>池+二级</w:t>
      </w:r>
      <w:r>
        <w:rPr>
          <w:rFonts w:hint="default" w:ascii="Times New Roman" w:hAnsi="Times New Roman" w:eastAsia="宋体" w:cs="Times New Roman"/>
          <w:color w:val="000000" w:themeColor="text1"/>
          <w:spacing w:val="7"/>
          <w:sz w:val="24"/>
          <w:szCs w:val="24"/>
          <w14:textFill>
            <w14:solidFill>
              <w14:schemeClr w14:val="tx1"/>
            </w14:solidFill>
          </w14:textFill>
        </w:rPr>
        <w:t>沉淀池</w:t>
      </w:r>
      <w:r>
        <w:rPr>
          <w:rFonts w:hint="eastAsia" w:ascii="Times New Roman" w:hAnsi="Times New Roman" w:eastAsia="宋体" w:cs="Times New Roman"/>
          <w:color w:val="000000" w:themeColor="text1"/>
          <w:spacing w:val="7"/>
          <w:sz w:val="24"/>
          <w:szCs w:val="24"/>
          <w:lang w:eastAsia="zh-CN"/>
          <w14:textFill>
            <w14:solidFill>
              <w14:schemeClr w14:val="tx1"/>
            </w14:solidFill>
          </w14:textFill>
        </w:rPr>
        <w:t>（</w:t>
      </w:r>
      <w:r>
        <w:rPr>
          <w:rFonts w:hint="eastAsia" w:ascii="Times New Roman" w:hAnsi="Times New Roman" w:eastAsia="宋体" w:cs="Times New Roman"/>
          <w:color w:val="000000" w:themeColor="text1"/>
          <w:spacing w:val="7"/>
          <w:sz w:val="24"/>
          <w:szCs w:val="24"/>
          <w:lang w:val="en-US" w:eastAsia="zh-CN"/>
          <w14:textFill>
            <w14:solidFill>
              <w14:schemeClr w14:val="tx1"/>
            </w14:solidFill>
          </w14:textFill>
        </w:rPr>
        <w:t>添加絮凝剂</w:t>
      </w:r>
      <w:r>
        <w:rPr>
          <w:rFonts w:hint="eastAsia" w:ascii="Times New Roman" w:hAnsi="Times New Roman" w:eastAsia="宋体" w:cs="Times New Roman"/>
          <w:color w:val="000000" w:themeColor="text1"/>
          <w:spacing w:val="7"/>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7"/>
          <w:sz w:val="24"/>
          <w:szCs w:val="24"/>
          <w14:textFill>
            <w14:solidFill>
              <w14:schemeClr w14:val="tx1"/>
            </w14:solidFill>
          </w14:textFill>
        </w:rPr>
        <w:t>处理</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后循环利用，回用率按85%计，5%损耗，</w:t>
      </w:r>
      <w:r>
        <w:rPr>
          <w:rFonts w:hint="eastAsia" w:ascii="Times New Roman" w:hAnsi="Times New Roman" w:cs="Times New Roman"/>
          <w:b w:val="0"/>
          <w:bCs w:val="0"/>
          <w:color w:val="000000" w:themeColor="text1"/>
          <w:sz w:val="24"/>
          <w:szCs w:val="24"/>
          <w:vertAlign w:val="baseline"/>
          <w:lang w:val="en-US" w:eastAsia="zh-CN"/>
          <w14:textFill>
            <w14:solidFill>
              <w14:schemeClr w14:val="tx1"/>
            </w14:solidFill>
          </w14:textFill>
        </w:rPr>
        <w:t>10%经市政污水管网排至</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杨凌示范区污水处理厂。</w:t>
      </w:r>
      <w:r>
        <w:rPr>
          <w:rFonts w:ascii="Times New Roman"/>
          <w:kern w:val="2"/>
          <w:sz w:val="24"/>
          <w:szCs w:val="24"/>
          <w:lang w:bidi="ar"/>
        </w:rPr>
        <w:t>本项目污水出水水质符合《污水综合排放标准》（GB8978-1996）中表4的三级标准及《污水排入城镇下水道水质标准》（GB/T31962-2015）B级标准，符合杨凌示范区污水处理厂进水水质要求。</w:t>
      </w:r>
    </w:p>
    <w:p w14:paraId="1FA40889">
      <w:pPr>
        <w:adjustRightInd w:val="0"/>
        <w:snapToGrid w:val="0"/>
        <w:spacing w:line="360" w:lineRule="auto"/>
        <w:ind w:firstLine="480" w:firstLineChars="200"/>
        <w:rPr>
          <w:rFonts w:ascii="Times New Roman"/>
          <w:sz w:val="24"/>
          <w:szCs w:val="24"/>
        </w:rPr>
      </w:pPr>
      <w:r>
        <w:rPr>
          <w:rFonts w:ascii="Times New Roman"/>
          <w:sz w:val="24"/>
          <w:szCs w:val="24"/>
        </w:rPr>
        <w:t>（3）噪声</w:t>
      </w:r>
      <w:bookmarkStart w:id="0" w:name="_GoBack"/>
      <w:bookmarkEnd w:id="0"/>
    </w:p>
    <w:p w14:paraId="64FEC425">
      <w:pPr>
        <w:pStyle w:val="22"/>
        <w:ind w:firstLine="480"/>
        <w:jc w:val="right"/>
        <w:rPr>
          <w:rFonts w:hint="default" w:ascii="Times New Roman" w:hAnsi="Times New Roman" w:eastAsia="宋体" w:cs="Times New Roman"/>
          <w:spacing w:val="-2"/>
          <w:sz w:val="24"/>
          <w:szCs w:val="24"/>
        </w:rPr>
        <w:sectPr>
          <w:pgSz w:w="11906" w:h="16838"/>
          <w:pgMar w:top="1440" w:right="1800" w:bottom="1440" w:left="1800" w:header="851" w:footer="992" w:gutter="0"/>
          <w:cols w:space="425" w:num="1"/>
          <w:docGrid w:type="lines" w:linePitch="312" w:charSpace="0"/>
        </w:sectPr>
      </w:pPr>
      <w:r>
        <w:rPr>
          <w:rFonts w:ascii="Times New Roman"/>
          <w:szCs w:val="24"/>
        </w:rPr>
        <w:t>根据预测结果可知，在采取噪声控制措施及通过距离衰减后，</w:t>
      </w:r>
      <w:r>
        <w:rPr>
          <w:rFonts w:hint="default" w:ascii="Times New Roman" w:hAnsi="Times New Roman" w:eastAsia="宋体" w:cs="Times New Roman"/>
          <w:spacing w:val="-2"/>
          <w:sz w:val="24"/>
          <w:szCs w:val="24"/>
        </w:rPr>
        <w:t>项目运营期东厂界、北</w:t>
      </w:r>
      <w:r>
        <w:rPr>
          <w:rFonts w:hint="default" w:ascii="Times New Roman" w:hAnsi="Times New Roman" w:eastAsia="宋体" w:cs="Times New Roman"/>
          <w:spacing w:val="34"/>
          <w:sz w:val="24"/>
          <w:szCs w:val="24"/>
        </w:rPr>
        <w:t>厂界昼夜间噪声贡献值均能满足《工业企业厂界环境噪声排放标准》</w:t>
      </w:r>
      <w:r>
        <w:rPr>
          <w:rFonts w:hint="default" w:ascii="Times New Roman" w:hAnsi="Times New Roman" w:eastAsia="宋体" w:cs="Times New Roman"/>
          <w:spacing w:val="-2"/>
          <w:sz w:val="24"/>
          <w:szCs w:val="24"/>
        </w:rPr>
        <w:t>（GB12348-2008）中2类标准要求；西厂界、南厂界昼夜间噪声</w:t>
      </w:r>
      <w:r>
        <w:rPr>
          <w:rFonts w:hint="default" w:ascii="Times New Roman" w:hAnsi="Times New Roman" w:eastAsia="宋体" w:cs="Times New Roman"/>
          <w:spacing w:val="-2"/>
          <w:sz w:val="24"/>
          <w:szCs w:val="24"/>
        </w:rPr>
        <w:drawing>
          <wp:inline distT="0" distB="0" distL="114300" distR="114300">
            <wp:extent cx="5549265" cy="8585835"/>
            <wp:effectExtent l="0" t="0" r="13335" b="5715"/>
            <wp:docPr id="1" name="图片 1" descr="2ecedf6b0496cafce2b94d10e4e01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ecedf6b0496cafce2b94d10e4e01cd0"/>
                    <pic:cNvPicPr>
                      <a:picLocks noChangeAspect="1"/>
                    </pic:cNvPicPr>
                  </pic:nvPicPr>
                  <pic:blipFill>
                    <a:blip r:embed="rId4"/>
                    <a:stretch>
                      <a:fillRect/>
                    </a:stretch>
                  </pic:blipFill>
                  <pic:spPr>
                    <a:xfrm>
                      <a:off x="0" y="0"/>
                      <a:ext cx="5549265" cy="8585835"/>
                    </a:xfrm>
                    <a:prstGeom prst="rect">
                      <a:avLst/>
                    </a:prstGeom>
                  </pic:spPr>
                </pic:pic>
              </a:graphicData>
            </a:graphic>
          </wp:inline>
        </w:drawing>
      </w:r>
    </w:p>
    <w:p w14:paraId="66282DA3">
      <w:pPr>
        <w:spacing w:line="240" w:lineRule="auto"/>
        <w:rPr>
          <w:rFonts w:hint="eastAsia" w:eastAsia="宋体"/>
          <w:lang w:eastAsia="zh-CN"/>
        </w:rPr>
        <w:sectPr>
          <w:pgSz w:w="16838" w:h="11906" w:orient="landscape"/>
          <w:pgMar w:top="1800" w:right="1440" w:bottom="1800" w:left="1440" w:header="851" w:footer="992" w:gutter="0"/>
          <w:cols w:space="425" w:num="1"/>
          <w:docGrid w:type="lines" w:linePitch="312" w:charSpace="0"/>
        </w:sectPr>
      </w:pPr>
      <w:r>
        <w:rPr>
          <w:rFonts w:hint="eastAsia" w:eastAsia="宋体"/>
          <w:lang w:eastAsia="zh-CN"/>
        </w:rPr>
        <w:drawing>
          <wp:inline distT="0" distB="0" distL="114300" distR="114300">
            <wp:extent cx="4951095" cy="8642350"/>
            <wp:effectExtent l="0" t="0" r="6350" b="1905"/>
            <wp:docPr id="2" name="图片 2" descr="4d23146666a3fc2802e95da775c45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d23146666a3fc2802e95da775c45975"/>
                    <pic:cNvPicPr>
                      <a:picLocks noChangeAspect="1"/>
                    </pic:cNvPicPr>
                  </pic:nvPicPr>
                  <pic:blipFill>
                    <a:blip r:embed="rId5"/>
                    <a:srcRect r="18245"/>
                    <a:stretch>
                      <a:fillRect/>
                    </a:stretch>
                  </pic:blipFill>
                  <pic:spPr>
                    <a:xfrm rot="5400000">
                      <a:off x="0" y="0"/>
                      <a:ext cx="4951095" cy="8642350"/>
                    </a:xfrm>
                    <a:prstGeom prst="rect">
                      <a:avLst/>
                    </a:prstGeom>
                  </pic:spPr>
                </pic:pic>
              </a:graphicData>
            </a:graphic>
          </wp:inline>
        </w:drawing>
      </w:r>
    </w:p>
    <w:p w14:paraId="6B005626">
      <w:pPr>
        <w:spacing w:line="240" w:lineRule="auto"/>
        <w:rPr>
          <w:rFonts w:hint="eastAsia" w:eastAsia="宋体"/>
          <w:lang w:eastAsia="zh-CN"/>
        </w:rPr>
      </w:pPr>
      <w:r>
        <w:rPr>
          <w:rFonts w:hint="eastAsia" w:eastAsia="宋体"/>
          <w:lang w:eastAsia="zh-CN"/>
        </w:rPr>
        <w:drawing>
          <wp:inline distT="0" distB="0" distL="114300" distR="114300">
            <wp:extent cx="5272405" cy="8227060"/>
            <wp:effectExtent l="0" t="0" r="4445" b="2540"/>
            <wp:docPr id="3" name="图片 3" descr="6245617e1ecb828dcf2221cc5f0a4f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245617e1ecb828dcf2221cc5f0a4f52"/>
                    <pic:cNvPicPr>
                      <a:picLocks noChangeAspect="1"/>
                    </pic:cNvPicPr>
                  </pic:nvPicPr>
                  <pic:blipFill>
                    <a:blip r:embed="rId6"/>
                    <a:stretch>
                      <a:fillRect/>
                    </a:stretch>
                  </pic:blipFill>
                  <pic:spPr>
                    <a:xfrm>
                      <a:off x="0" y="0"/>
                      <a:ext cx="5272405" cy="822706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019C11"/>
    <w:multiLevelType w:val="singleLevel"/>
    <w:tmpl w:val="A4019C11"/>
    <w:lvl w:ilvl="0" w:tentative="0">
      <w:start w:val="1"/>
      <w:numFmt w:val="bullet"/>
      <w:pStyle w:val="7"/>
      <w:lvlText w:val=""/>
      <w:lvlJc w:val="left"/>
      <w:pPr>
        <w:tabs>
          <w:tab w:val="left" w:pos="2040"/>
        </w:tabs>
        <w:ind w:left="2040" w:hanging="360"/>
      </w:pPr>
      <w:rPr>
        <w:rFonts w:hint="default" w:ascii="Wingdings" w:hAnsi="Wingdings"/>
      </w:rPr>
    </w:lvl>
  </w:abstractNum>
  <w:abstractNum w:abstractNumId="1">
    <w:nsid w:val="FB4416A1"/>
    <w:multiLevelType w:val="singleLevel"/>
    <w:tmpl w:val="FB4416A1"/>
    <w:lvl w:ilvl="0" w:tentative="0">
      <w:start w:val="1"/>
      <w:numFmt w:val="bullet"/>
      <w:pStyle w:val="10"/>
      <w:lvlText w:val=""/>
      <w:lvlJc w:val="left"/>
      <w:pPr>
        <w:tabs>
          <w:tab w:val="left" w:pos="780"/>
        </w:tabs>
        <w:ind w:left="780" w:hanging="360"/>
      </w:pPr>
      <w:rPr>
        <w:rFonts w:hint="default" w:ascii="Wingdings" w:hAnsi="Wingdings"/>
      </w:rPr>
    </w:lvl>
  </w:abstractNum>
  <w:abstractNum w:abstractNumId="2">
    <w:nsid w:val="128A4D4D"/>
    <w:multiLevelType w:val="singleLevel"/>
    <w:tmpl w:val="128A4D4D"/>
    <w:lvl w:ilvl="0" w:tentative="0">
      <w:start w:val="2"/>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E0MmJlMzYwNjEyY2ExMzcyZTUyMWM5ZmE3MmY3Y2IifQ=="/>
  </w:docVars>
  <w:rsids>
    <w:rsidRoot w:val="00172A27"/>
    <w:rsid w:val="00006EDA"/>
    <w:rsid w:val="000B3958"/>
    <w:rsid w:val="000C4469"/>
    <w:rsid w:val="000F1525"/>
    <w:rsid w:val="000F1F29"/>
    <w:rsid w:val="00172A27"/>
    <w:rsid w:val="002B306E"/>
    <w:rsid w:val="002C3B27"/>
    <w:rsid w:val="00312B0F"/>
    <w:rsid w:val="00441D85"/>
    <w:rsid w:val="00444E11"/>
    <w:rsid w:val="00452C60"/>
    <w:rsid w:val="004B2B25"/>
    <w:rsid w:val="004D2223"/>
    <w:rsid w:val="004E5220"/>
    <w:rsid w:val="005335FA"/>
    <w:rsid w:val="005357BB"/>
    <w:rsid w:val="005959B0"/>
    <w:rsid w:val="005A2EFB"/>
    <w:rsid w:val="00690819"/>
    <w:rsid w:val="006C68E9"/>
    <w:rsid w:val="006D4306"/>
    <w:rsid w:val="00766ADF"/>
    <w:rsid w:val="007B30B6"/>
    <w:rsid w:val="007C0CB4"/>
    <w:rsid w:val="0080170B"/>
    <w:rsid w:val="00854376"/>
    <w:rsid w:val="00870197"/>
    <w:rsid w:val="00891217"/>
    <w:rsid w:val="00892669"/>
    <w:rsid w:val="008C03E1"/>
    <w:rsid w:val="008D78C2"/>
    <w:rsid w:val="00922E16"/>
    <w:rsid w:val="00924514"/>
    <w:rsid w:val="009567C4"/>
    <w:rsid w:val="009734D7"/>
    <w:rsid w:val="009F6633"/>
    <w:rsid w:val="00A22E26"/>
    <w:rsid w:val="00A30155"/>
    <w:rsid w:val="00A86CB3"/>
    <w:rsid w:val="00AA356A"/>
    <w:rsid w:val="00AB0BAF"/>
    <w:rsid w:val="00B02123"/>
    <w:rsid w:val="00B10C4B"/>
    <w:rsid w:val="00B53EA1"/>
    <w:rsid w:val="00BC63F8"/>
    <w:rsid w:val="00BD4B29"/>
    <w:rsid w:val="00BF1BB1"/>
    <w:rsid w:val="00C91D72"/>
    <w:rsid w:val="00C97B33"/>
    <w:rsid w:val="00D02008"/>
    <w:rsid w:val="00D43BBD"/>
    <w:rsid w:val="00EE69A0"/>
    <w:rsid w:val="00F36A2C"/>
    <w:rsid w:val="00FA79C3"/>
    <w:rsid w:val="00FD36D4"/>
    <w:rsid w:val="00FF4ECF"/>
    <w:rsid w:val="012B5FBA"/>
    <w:rsid w:val="01466F04"/>
    <w:rsid w:val="02047735"/>
    <w:rsid w:val="04C75968"/>
    <w:rsid w:val="072B0FB7"/>
    <w:rsid w:val="08051CBA"/>
    <w:rsid w:val="0B440138"/>
    <w:rsid w:val="0E2E791B"/>
    <w:rsid w:val="10061443"/>
    <w:rsid w:val="10DE709A"/>
    <w:rsid w:val="15EA6A63"/>
    <w:rsid w:val="176302F9"/>
    <w:rsid w:val="18A40BC9"/>
    <w:rsid w:val="19056A7E"/>
    <w:rsid w:val="19A2341D"/>
    <w:rsid w:val="1AF82392"/>
    <w:rsid w:val="1C0C2BD4"/>
    <w:rsid w:val="1CB6711D"/>
    <w:rsid w:val="1DE93150"/>
    <w:rsid w:val="20D67D8D"/>
    <w:rsid w:val="25916979"/>
    <w:rsid w:val="293F1586"/>
    <w:rsid w:val="2C1D151D"/>
    <w:rsid w:val="2C5139B2"/>
    <w:rsid w:val="2CE942E3"/>
    <w:rsid w:val="2E750F5C"/>
    <w:rsid w:val="2F42264D"/>
    <w:rsid w:val="30032221"/>
    <w:rsid w:val="30151B96"/>
    <w:rsid w:val="30B46482"/>
    <w:rsid w:val="3491429F"/>
    <w:rsid w:val="34F16D54"/>
    <w:rsid w:val="371A042F"/>
    <w:rsid w:val="372318DC"/>
    <w:rsid w:val="37A41DD0"/>
    <w:rsid w:val="38170EC0"/>
    <w:rsid w:val="3C2F4BFD"/>
    <w:rsid w:val="464A0752"/>
    <w:rsid w:val="46560EA5"/>
    <w:rsid w:val="46AE7B45"/>
    <w:rsid w:val="490C4EEE"/>
    <w:rsid w:val="49ED1BF7"/>
    <w:rsid w:val="4B8A7E05"/>
    <w:rsid w:val="4F9B5B7A"/>
    <w:rsid w:val="51524118"/>
    <w:rsid w:val="52BD3D0C"/>
    <w:rsid w:val="5314246F"/>
    <w:rsid w:val="539559C2"/>
    <w:rsid w:val="58324DBB"/>
    <w:rsid w:val="596979D1"/>
    <w:rsid w:val="5C2569D8"/>
    <w:rsid w:val="5D355860"/>
    <w:rsid w:val="61834DEC"/>
    <w:rsid w:val="61C0077A"/>
    <w:rsid w:val="6299419B"/>
    <w:rsid w:val="638A16EA"/>
    <w:rsid w:val="65566374"/>
    <w:rsid w:val="66551209"/>
    <w:rsid w:val="69DB153D"/>
    <w:rsid w:val="6E217FC7"/>
    <w:rsid w:val="6EE10FCB"/>
    <w:rsid w:val="6F04718D"/>
    <w:rsid w:val="70A46B2D"/>
    <w:rsid w:val="72C56F19"/>
    <w:rsid w:val="7A254C4B"/>
    <w:rsid w:val="7BED6354"/>
    <w:rsid w:val="7C535A16"/>
    <w:rsid w:val="7D056BA5"/>
    <w:rsid w:val="7F4A7A09"/>
    <w:rsid w:val="7F790F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name="Body Text Indent 2"/>
    <w:lsdException w:unhideWhenUsed="0" w:uiPriority="0" w:semiHidden="0" w:name="Body Text Indent 3"/>
    <w:lsdException w:qFormat="1" w:unhideWhenUsed="0" w:uiPriority="99"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99"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Times New Roman" w:eastAsia="宋体" w:cs="Times New Roman"/>
      <w:sz w:val="21"/>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b/>
      <w:bCs/>
      <w:kern w:val="44"/>
      <w:sz w:val="48"/>
      <w:szCs w:val="48"/>
    </w:rPr>
  </w:style>
  <w:style w:type="paragraph" w:styleId="3">
    <w:name w:val="heading 2"/>
    <w:basedOn w:val="1"/>
    <w:next w:val="1"/>
    <w:autoRedefine/>
    <w:qFormat/>
    <w:uiPriority w:val="0"/>
    <w:pPr>
      <w:keepNext/>
      <w:spacing w:line="360" w:lineRule="auto"/>
      <w:outlineLvl w:val="1"/>
    </w:pPr>
    <w:rPr>
      <w:sz w:val="28"/>
    </w:rPr>
  </w:style>
  <w:style w:type="character" w:default="1" w:styleId="25">
    <w:name w:val="Default Paragraph Font"/>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37"/>
    <w:autoRedefine/>
    <w:qFormat/>
    <w:uiPriority w:val="0"/>
    <w:pPr>
      <w:ind w:firstLine="420" w:firstLineChars="200"/>
    </w:pPr>
    <w:rPr>
      <w:rFonts w:hAnsi="Calibri"/>
      <w:kern w:val="2"/>
    </w:rPr>
  </w:style>
  <w:style w:type="paragraph" w:styleId="5">
    <w:name w:val="annotation text"/>
    <w:basedOn w:val="1"/>
    <w:link w:val="39"/>
    <w:autoRedefine/>
    <w:unhideWhenUsed/>
    <w:qFormat/>
    <w:uiPriority w:val="99"/>
    <w:pPr>
      <w:spacing w:line="360" w:lineRule="auto"/>
      <w:jc w:val="left"/>
    </w:pPr>
    <w:rPr>
      <w:rFonts w:asciiTheme="minorHAnsi" w:hAnsiTheme="minorHAnsi" w:eastAsiaTheme="minorEastAsia" w:cstheme="minorBidi"/>
      <w:sz w:val="24"/>
    </w:rPr>
  </w:style>
  <w:style w:type="paragraph" w:styleId="6">
    <w:name w:val="Body Text"/>
    <w:basedOn w:val="1"/>
    <w:next w:val="7"/>
    <w:autoRedefine/>
    <w:qFormat/>
    <w:uiPriority w:val="0"/>
    <w:pPr>
      <w:widowControl/>
      <w:snapToGrid w:val="0"/>
      <w:spacing w:before="60" w:after="160" w:line="259" w:lineRule="auto"/>
      <w:ind w:right="113"/>
    </w:pPr>
    <w:rPr>
      <w:sz w:val="18"/>
    </w:rPr>
  </w:style>
  <w:style w:type="paragraph" w:styleId="7">
    <w:name w:val="List Bullet 5"/>
    <w:basedOn w:val="1"/>
    <w:autoRedefine/>
    <w:qFormat/>
    <w:uiPriority w:val="0"/>
    <w:pPr>
      <w:numPr>
        <w:ilvl w:val="0"/>
        <w:numId w:val="1"/>
      </w:numPr>
    </w:pPr>
  </w:style>
  <w:style w:type="paragraph" w:styleId="8">
    <w:name w:val="Body Text Indent"/>
    <w:basedOn w:val="1"/>
    <w:autoRedefine/>
    <w:qFormat/>
    <w:uiPriority w:val="99"/>
    <w:pPr>
      <w:spacing w:before="60" w:line="460" w:lineRule="exact"/>
      <w:ind w:firstLine="540"/>
    </w:pPr>
    <w:rPr>
      <w:rFonts w:ascii="宋体"/>
      <w:sz w:val="28"/>
    </w:rPr>
  </w:style>
  <w:style w:type="paragraph" w:styleId="9">
    <w:name w:val="Block Text"/>
    <w:basedOn w:val="1"/>
    <w:autoRedefine/>
    <w:qFormat/>
    <w:uiPriority w:val="99"/>
    <w:pPr>
      <w:adjustRightInd w:val="0"/>
      <w:snapToGrid w:val="0"/>
      <w:spacing w:line="300" w:lineRule="atLeast"/>
      <w:ind w:left="420" w:leftChars="200" w:right="-336" w:rightChars="-160"/>
    </w:pPr>
    <w:rPr>
      <w:rFonts w:ascii="Times New Roman"/>
      <w:kern w:val="2"/>
      <w:szCs w:val="24"/>
    </w:rPr>
  </w:style>
  <w:style w:type="paragraph" w:styleId="10">
    <w:name w:val="List Bullet 2"/>
    <w:basedOn w:val="1"/>
    <w:next w:val="11"/>
    <w:autoRedefine/>
    <w:qFormat/>
    <w:uiPriority w:val="0"/>
    <w:pPr>
      <w:numPr>
        <w:ilvl w:val="0"/>
        <w:numId w:val="2"/>
      </w:numPr>
    </w:pPr>
  </w:style>
  <w:style w:type="paragraph" w:customStyle="1" w:styleId="11">
    <w:name w:val="xl70"/>
    <w:basedOn w:val="1"/>
    <w:next w:val="12"/>
    <w:autoRedefine/>
    <w:qFormat/>
    <w:uiPriority w:val="0"/>
    <w:pPr>
      <w:widowControl/>
      <w:spacing w:before="280" w:after="280"/>
    </w:pPr>
    <w:rPr>
      <w:rFonts w:ascii="宋体"/>
    </w:rPr>
  </w:style>
  <w:style w:type="paragraph" w:customStyle="1" w:styleId="12">
    <w:name w:val="正文缩进1"/>
    <w:basedOn w:val="1"/>
    <w:next w:val="13"/>
    <w:autoRedefine/>
    <w:qFormat/>
    <w:uiPriority w:val="0"/>
    <w:pPr>
      <w:ind w:firstLine="420"/>
    </w:pPr>
  </w:style>
  <w:style w:type="paragraph" w:customStyle="1" w:styleId="13">
    <w:name w:val="td1"/>
    <w:basedOn w:val="1"/>
    <w:next w:val="1"/>
    <w:autoRedefine/>
    <w:qFormat/>
    <w:uiPriority w:val="0"/>
    <w:pPr>
      <w:widowControl/>
      <w:spacing w:before="280" w:after="280" w:line="300" w:lineRule="atLeast"/>
      <w:ind w:firstLine="200"/>
    </w:pPr>
    <w:rPr>
      <w:color w:val="000000"/>
      <w:sz w:val="18"/>
    </w:rPr>
  </w:style>
  <w:style w:type="paragraph" w:styleId="14">
    <w:name w:val="Plain Text"/>
    <w:basedOn w:val="1"/>
    <w:next w:val="1"/>
    <w:autoRedefine/>
    <w:semiHidden/>
    <w:qFormat/>
    <w:uiPriority w:val="99"/>
    <w:rPr>
      <w:rFonts w:ascii="宋体" w:hAnsi="Courier New"/>
      <w:sz w:val="20"/>
    </w:rPr>
  </w:style>
  <w:style w:type="paragraph" w:styleId="15">
    <w:name w:val="Body Text Indent 2"/>
    <w:basedOn w:val="1"/>
    <w:autoRedefine/>
    <w:semiHidden/>
    <w:qFormat/>
    <w:uiPriority w:val="0"/>
    <w:pPr>
      <w:spacing w:after="120" w:line="480" w:lineRule="auto"/>
      <w:ind w:left="420" w:leftChars="200"/>
    </w:pPr>
  </w:style>
  <w:style w:type="paragraph" w:styleId="16">
    <w:name w:val="footer"/>
    <w:basedOn w:val="1"/>
    <w:link w:val="36"/>
    <w:autoRedefine/>
    <w:qFormat/>
    <w:uiPriority w:val="0"/>
    <w:pPr>
      <w:tabs>
        <w:tab w:val="center" w:pos="4153"/>
        <w:tab w:val="right" w:pos="8306"/>
      </w:tabs>
      <w:snapToGrid w:val="0"/>
      <w:jc w:val="left"/>
    </w:pPr>
    <w:rPr>
      <w:sz w:val="18"/>
      <w:szCs w:val="18"/>
    </w:rPr>
  </w:style>
  <w:style w:type="paragraph" w:styleId="17">
    <w:name w:val="header"/>
    <w:basedOn w:val="1"/>
    <w:link w:val="35"/>
    <w:autoRedefine/>
    <w:qFormat/>
    <w:uiPriority w:val="0"/>
    <w:pPr>
      <w:pBdr>
        <w:bottom w:val="single" w:color="auto" w:sz="6" w:space="1"/>
      </w:pBdr>
      <w:tabs>
        <w:tab w:val="center" w:pos="4153"/>
        <w:tab w:val="right" w:pos="8306"/>
      </w:tabs>
      <w:snapToGrid w:val="0"/>
      <w:jc w:val="center"/>
    </w:pPr>
    <w:rPr>
      <w:sz w:val="18"/>
      <w:szCs w:val="18"/>
    </w:rPr>
  </w:style>
  <w:style w:type="paragraph" w:styleId="18">
    <w:name w:val="List"/>
    <w:basedOn w:val="1"/>
    <w:next w:val="10"/>
    <w:autoRedefine/>
    <w:qFormat/>
    <w:uiPriority w:val="99"/>
    <w:pPr>
      <w:widowControl/>
      <w:jc w:val="center"/>
    </w:pPr>
    <w:rPr>
      <w:rFonts w:ascii="Times New Roman"/>
      <w:szCs w:val="21"/>
    </w:rPr>
  </w:style>
  <w:style w:type="paragraph" w:styleId="19">
    <w:name w:val="table of figures"/>
    <w:basedOn w:val="1"/>
    <w:next w:val="1"/>
    <w:autoRedefine/>
    <w:qFormat/>
    <w:uiPriority w:val="99"/>
    <w:pPr>
      <w:ind w:hanging="200"/>
    </w:pPr>
  </w:style>
  <w:style w:type="paragraph" w:styleId="20">
    <w:name w:val="Normal (Web)"/>
    <w:basedOn w:val="1"/>
    <w:autoRedefine/>
    <w:qFormat/>
    <w:uiPriority w:val="99"/>
    <w:rPr>
      <w:rFonts w:ascii="Times New Roman"/>
      <w:kern w:val="2"/>
      <w:sz w:val="24"/>
      <w:szCs w:val="24"/>
    </w:rPr>
  </w:style>
  <w:style w:type="paragraph" w:styleId="21">
    <w:name w:val="Body Text First Indent"/>
    <w:basedOn w:val="6"/>
    <w:next w:val="19"/>
    <w:autoRedefine/>
    <w:qFormat/>
    <w:uiPriority w:val="0"/>
    <w:pPr>
      <w:spacing w:after="120"/>
      <w:ind w:firstLine="420" w:firstLineChars="100"/>
    </w:pPr>
    <w:rPr>
      <w:sz w:val="32"/>
    </w:rPr>
  </w:style>
  <w:style w:type="paragraph" w:styleId="22">
    <w:name w:val="Body Text First Indent 2"/>
    <w:basedOn w:val="1"/>
    <w:next w:val="1"/>
    <w:autoRedefine/>
    <w:qFormat/>
    <w:uiPriority w:val="0"/>
    <w:pPr>
      <w:ind w:firstLine="420" w:firstLineChars="200"/>
    </w:pPr>
  </w:style>
  <w:style w:type="table" w:styleId="24">
    <w:name w:val="Table Grid"/>
    <w:basedOn w:val="23"/>
    <w:autoRedefine/>
    <w:qFormat/>
    <w:uiPriority w:val="99"/>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autoRedefine/>
    <w:qFormat/>
    <w:uiPriority w:val="22"/>
    <w:rPr>
      <w:b/>
      <w:bCs/>
    </w:rPr>
  </w:style>
  <w:style w:type="character" w:styleId="27">
    <w:name w:val="annotation reference"/>
    <w:basedOn w:val="25"/>
    <w:autoRedefine/>
    <w:semiHidden/>
    <w:qFormat/>
    <w:uiPriority w:val="99"/>
    <w:rPr>
      <w:rFonts w:cs="Times New Roman"/>
      <w:sz w:val="21"/>
      <w:szCs w:val="21"/>
    </w:rPr>
  </w:style>
  <w:style w:type="paragraph" w:customStyle="1" w:styleId="28">
    <w:name w:val="Default"/>
    <w:basedOn w:val="29"/>
    <w:next w:val="30"/>
    <w:autoRedefine/>
    <w:qFormat/>
    <w:uiPriority w:val="0"/>
    <w:rPr>
      <w:color w:val="000000"/>
      <w:sz w:val="24"/>
    </w:rPr>
  </w:style>
  <w:style w:type="paragraph" w:customStyle="1" w:styleId="29">
    <w:name w:val="纯文本1"/>
    <w:basedOn w:val="1"/>
    <w:autoRedefine/>
    <w:qFormat/>
    <w:uiPriority w:val="99"/>
    <w:pPr>
      <w:autoSpaceDE w:val="0"/>
      <w:autoSpaceDN w:val="0"/>
      <w:adjustRightInd w:val="0"/>
      <w:textAlignment w:val="baseline"/>
    </w:pPr>
    <w:rPr>
      <w:rFonts w:ascii="宋体"/>
    </w:rPr>
  </w:style>
  <w:style w:type="paragraph" w:customStyle="1" w:styleId="30">
    <w:name w:val="正文文字 6"/>
    <w:next w:val="1"/>
    <w:autoRedefine/>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31">
    <w:name w:val="表格文字"/>
    <w:basedOn w:val="14"/>
    <w:next w:val="1"/>
    <w:autoRedefine/>
    <w:qFormat/>
    <w:uiPriority w:val="0"/>
    <w:pPr>
      <w:spacing w:before="10" w:beforeLines="10" w:after="10" w:afterLines="10" w:line="0" w:lineRule="atLeast"/>
      <w:jc w:val="center"/>
    </w:pPr>
    <w:rPr>
      <w:rFonts w:ascii="Times New Roman" w:hAnsi="Times New Roman"/>
      <w:kern w:val="2"/>
      <w:sz w:val="18"/>
      <w:szCs w:val="21"/>
    </w:rPr>
  </w:style>
  <w:style w:type="paragraph" w:styleId="32">
    <w:name w:val="List Paragraph"/>
    <w:basedOn w:val="1"/>
    <w:autoRedefine/>
    <w:unhideWhenUsed/>
    <w:qFormat/>
    <w:uiPriority w:val="99"/>
    <w:pPr>
      <w:ind w:firstLine="420" w:firstLineChars="200"/>
    </w:pPr>
  </w:style>
  <w:style w:type="paragraph" w:customStyle="1" w:styleId="33">
    <w:name w:val="我的正文"/>
    <w:basedOn w:val="1"/>
    <w:autoRedefine/>
    <w:qFormat/>
    <w:uiPriority w:val="0"/>
    <w:pPr>
      <w:ind w:firstLine="560" w:firstLineChars="200"/>
    </w:pPr>
    <w:rPr>
      <w:rFonts w:ascii="宋体" w:hAnsi="宋体"/>
      <w:sz w:val="28"/>
    </w:rPr>
  </w:style>
  <w:style w:type="paragraph" w:customStyle="1" w:styleId="34">
    <w:name w:val="Table Paragraph"/>
    <w:basedOn w:val="1"/>
    <w:autoRedefine/>
    <w:qFormat/>
    <w:uiPriority w:val="0"/>
    <w:pPr>
      <w:autoSpaceDE w:val="0"/>
      <w:autoSpaceDN w:val="0"/>
      <w:adjustRightInd w:val="0"/>
      <w:jc w:val="left"/>
    </w:pPr>
    <w:rPr>
      <w:rFonts w:ascii="Times New Roman"/>
      <w:sz w:val="24"/>
      <w:szCs w:val="24"/>
    </w:rPr>
  </w:style>
  <w:style w:type="character" w:customStyle="1" w:styleId="35">
    <w:name w:val="页眉 字符"/>
    <w:basedOn w:val="25"/>
    <w:link w:val="17"/>
    <w:autoRedefine/>
    <w:qFormat/>
    <w:uiPriority w:val="0"/>
    <w:rPr>
      <w:rFonts w:ascii="Calibri" w:hAnsi="Times New Roman" w:eastAsia="宋体" w:cs="Times New Roman"/>
      <w:sz w:val="18"/>
      <w:szCs w:val="18"/>
    </w:rPr>
  </w:style>
  <w:style w:type="character" w:customStyle="1" w:styleId="36">
    <w:name w:val="页脚 字符"/>
    <w:basedOn w:val="25"/>
    <w:link w:val="16"/>
    <w:autoRedefine/>
    <w:qFormat/>
    <w:uiPriority w:val="0"/>
    <w:rPr>
      <w:rFonts w:ascii="Calibri" w:hAnsi="Times New Roman" w:eastAsia="宋体" w:cs="Times New Roman"/>
      <w:sz w:val="18"/>
      <w:szCs w:val="18"/>
    </w:rPr>
  </w:style>
  <w:style w:type="character" w:customStyle="1" w:styleId="37">
    <w:name w:val="正文缩进 字符"/>
    <w:link w:val="4"/>
    <w:autoRedefine/>
    <w:qFormat/>
    <w:uiPriority w:val="0"/>
    <w:rPr>
      <w:rFonts w:ascii="Calibri" w:hAnsi="Calibri" w:eastAsia="宋体" w:cs="Times New Roman"/>
      <w:kern w:val="2"/>
      <w:sz w:val="21"/>
    </w:rPr>
  </w:style>
  <w:style w:type="character" w:customStyle="1" w:styleId="38">
    <w:name w:val="批注文字 Char"/>
    <w:autoRedefine/>
    <w:qFormat/>
    <w:uiPriority w:val="99"/>
    <w:rPr>
      <w:sz w:val="24"/>
    </w:rPr>
  </w:style>
  <w:style w:type="character" w:customStyle="1" w:styleId="39">
    <w:name w:val="批注文字 字符"/>
    <w:basedOn w:val="25"/>
    <w:link w:val="5"/>
    <w:autoRedefine/>
    <w:qFormat/>
    <w:uiPriority w:val="0"/>
    <w:rPr>
      <w:rFonts w:ascii="Calibri" w:hAnsi="Times New Roman" w:eastAsia="宋体" w:cs="Times New Roman"/>
      <w:sz w:val="21"/>
    </w:rPr>
  </w:style>
  <w:style w:type="paragraph" w:customStyle="1" w:styleId="40">
    <w:name w:val="样式 (符号) 宋体 小四 行距: 1.5 倍行距 首行缩进:  2 字符"/>
    <w:basedOn w:val="1"/>
    <w:autoRedefine/>
    <w:qFormat/>
    <w:uiPriority w:val="0"/>
    <w:pPr>
      <w:spacing w:line="360" w:lineRule="auto"/>
      <w:ind w:firstLine="200" w:firstLineChars="200"/>
    </w:pPr>
    <w:rPr>
      <w:rFonts w:hAnsi="宋体" w:cs="宋体"/>
      <w:sz w:val="24"/>
    </w:rPr>
  </w:style>
  <w:style w:type="paragraph" w:customStyle="1" w:styleId="41">
    <w:name w:val="正文首行缩进2个字 Char"/>
    <w:basedOn w:val="1"/>
    <w:autoRedefine/>
    <w:qFormat/>
    <w:uiPriority w:val="0"/>
    <w:pPr>
      <w:ind w:firstLine="480" w:firstLineChars="200"/>
    </w:pPr>
    <w:rPr>
      <w:rFonts w:eastAsia="楷体"/>
      <w:sz w:val="24"/>
    </w:rPr>
  </w:style>
  <w:style w:type="paragraph" w:customStyle="1" w:styleId="42">
    <w:name w:val="表格"/>
    <w:basedOn w:val="18"/>
    <w:next w:val="1"/>
    <w:autoRedefine/>
    <w:qFormat/>
    <w:uiPriority w:val="0"/>
    <w:pPr>
      <w:adjustRightInd w:val="0"/>
      <w:snapToGrid w:val="0"/>
      <w:spacing w:beforeLines="10" w:afterLines="10" w:line="259" w:lineRule="auto"/>
    </w:pPr>
    <w:rPr>
      <w:rFonts w:ascii="宋体"/>
      <w:szCs w:val="20"/>
    </w:rPr>
  </w:style>
  <w:style w:type="paragraph" w:customStyle="1" w:styleId="43">
    <w:name w:val="报告正文"/>
    <w:autoRedefine/>
    <w:qFormat/>
    <w:uiPriority w:val="0"/>
    <w:pPr>
      <w:adjustRightInd w:val="0"/>
      <w:snapToGrid w:val="0"/>
      <w:spacing w:line="360" w:lineRule="auto"/>
      <w:ind w:firstLine="200" w:firstLineChars="200"/>
    </w:pPr>
    <w:rPr>
      <w:rFonts w:ascii="Calibri" w:hAnsi="Calibri" w:eastAsia="黑体" w:cs="Times New Roman"/>
      <w:bCs/>
      <w:kern w:val="44"/>
      <w:sz w:val="24"/>
      <w:szCs w:val="44"/>
      <w:lang w:val="en-US" w:eastAsia="zh-CN" w:bidi="ar-SA"/>
    </w:rPr>
  </w:style>
  <w:style w:type="paragraph" w:customStyle="1" w:styleId="44">
    <w:name w:val="正本文字"/>
    <w:basedOn w:val="1"/>
    <w:autoRedefine/>
    <w:qFormat/>
    <w:uiPriority w:val="0"/>
    <w:pPr>
      <w:adjustRightInd w:val="0"/>
      <w:snapToGrid w:val="0"/>
      <w:spacing w:line="360" w:lineRule="auto"/>
      <w:ind w:firstLine="480" w:firstLineChars="200"/>
      <w:jc w:val="left"/>
    </w:pPr>
    <w:rPr>
      <w:rFonts w:ascii="宋体" w:hAnsi="宋体"/>
      <w:kern w:val="18"/>
      <w:sz w:val="24"/>
    </w:rPr>
  </w:style>
  <w:style w:type="character" w:customStyle="1" w:styleId="45">
    <w:name w:val="10"/>
    <w:autoRedefine/>
    <w:qFormat/>
    <w:uiPriority w:val="0"/>
    <w:rPr>
      <w:rFonts w:hint="default" w:ascii="Times New Roman" w:hAnsi="Times New Roman" w:cs="Times New Roman"/>
      <w:color w:val="000000"/>
      <w:u w:val="none" w:color="000000"/>
    </w:rPr>
  </w:style>
  <w:style w:type="paragraph" w:customStyle="1" w:styleId="46">
    <w:name w:val="正文1"/>
    <w:basedOn w:val="1"/>
    <w:autoRedefine/>
    <w:qFormat/>
    <w:uiPriority w:val="0"/>
    <w:pPr>
      <w:autoSpaceDE w:val="0"/>
      <w:autoSpaceDN w:val="0"/>
      <w:adjustRightInd w:val="0"/>
      <w:snapToGrid w:val="0"/>
      <w:spacing w:line="360" w:lineRule="auto"/>
      <w:ind w:firstLine="480" w:firstLineChars="200"/>
    </w:pPr>
    <w:rPr>
      <w:sz w:val="24"/>
    </w:rPr>
  </w:style>
  <w:style w:type="character" w:customStyle="1" w:styleId="47">
    <w:name w:val="font11"/>
    <w:basedOn w:val="25"/>
    <w:qFormat/>
    <w:uiPriority w:val="0"/>
    <w:rPr>
      <w:rFonts w:hint="eastAsia" w:ascii="宋体" w:hAnsi="宋体" w:eastAsia="宋体" w:cs="宋体"/>
      <w:color w:val="000000"/>
      <w:sz w:val="18"/>
      <w:szCs w:val="18"/>
      <w:u w:val="none"/>
    </w:rPr>
  </w:style>
  <w:style w:type="table" w:customStyle="1" w:styleId="48">
    <w:name w:val="Table Normal"/>
    <w:basedOn w:val="23"/>
    <w:qFormat/>
    <w:uiPriority w:val="0"/>
    <w:tblPr>
      <w:tblCellMar>
        <w:left w:w="0" w:type="dxa"/>
        <w:right w:w="0" w:type="dxa"/>
      </w:tblCellMar>
    </w:tblPr>
  </w:style>
  <w:style w:type="paragraph" w:customStyle="1" w:styleId="49">
    <w:name w:val="Table Text"/>
    <w:basedOn w:val="1"/>
    <w:semiHidden/>
    <w:qFormat/>
    <w:uiPriority w:val="0"/>
    <w:rPr>
      <w:rFonts w:ascii="宋体" w:hAnsi="宋体" w:eastAsia="宋体" w:cs="宋体"/>
      <w:sz w:val="20"/>
      <w:szCs w:val="20"/>
      <w:lang w:val="en-US" w:eastAsia="en-US" w:bidi="ar-SA"/>
    </w:rPr>
  </w:style>
  <w:style w:type="paragraph" w:customStyle="1" w:styleId="50">
    <w:name w:val="标准正文"/>
    <w:basedOn w:val="1"/>
    <w:qFormat/>
    <w:uiPriority w:val="0"/>
    <w:pPr>
      <w:keepNext w:val="0"/>
      <w:keepLines w:val="0"/>
      <w:widowControl/>
      <w:suppressLineNumbers w:val="0"/>
      <w:spacing w:before="0" w:beforeAutospacing="0" w:after="0" w:afterAutospacing="0" w:line="360" w:lineRule="auto"/>
      <w:ind w:left="0" w:right="0" w:firstLine="200" w:firstLineChars="200"/>
      <w:jc w:val="both"/>
    </w:pPr>
    <w:rPr>
      <w:rFonts w:hint="default" w:ascii="Times New Roman" w:hAnsi="Times New Roman" w:eastAsia="宋体" w:cs="Times New Roman"/>
      <w:kern w:val="2"/>
      <w:sz w:val="24"/>
      <w:szCs w:val="24"/>
      <w:lang w:val="en-US" w:eastAsia="zh-CN" w:bidi="ar"/>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11</Pages>
  <Words>6642</Words>
  <Characters>7387</Characters>
  <Lines>31</Lines>
  <Paragraphs>8</Paragraphs>
  <TotalTime>5</TotalTime>
  <ScaleCrop>false</ScaleCrop>
  <LinksUpToDate>false</LinksUpToDate>
  <CharactersWithSpaces>7412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简</cp:lastModifiedBy>
  <cp:lastPrinted>2025-09-05T02:02:00Z</cp:lastPrinted>
  <dcterms:modified xsi:type="dcterms:W3CDTF">2025-09-05T09:58:07Z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A5C9FEBB472A4CA4A08767800293AB20_13</vt:lpwstr>
  </property>
  <property fmtid="{D5CDD505-2E9C-101B-9397-08002B2CF9AE}" pid="4" name="KSOTemplateDocerSaveRecord">
    <vt:lpwstr>eyJoZGlkIjoiNGE0MmJlMzYwNjEyY2ExMzcyZTUyMWM5ZmE3MmY3Y2IiLCJ1c2VySWQiOiI4MzQxMzk5MTUifQ==</vt:lpwstr>
  </property>
</Properties>
</file>