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BB3D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left"/>
        <w:rPr>
          <w:rFonts w:hint="eastAsia" w:ascii="仿宋" w:hAnsi="仿宋" w:eastAsia="仿宋" w:cs="仿宋"/>
          <w:i w:val="0"/>
          <w:iCs w:val="0"/>
          <w:caps w:val="0"/>
          <w:color w:val="222222"/>
          <w:spacing w:val="8"/>
          <w:sz w:val="32"/>
          <w:szCs w:val="32"/>
        </w:rPr>
      </w:pPr>
      <w:bookmarkStart w:id="0" w:name="_GoBack"/>
      <w:bookmarkEnd w:id="0"/>
      <w:r>
        <w:rPr>
          <w:rFonts w:hint="eastAsia" w:ascii="仿宋" w:hAnsi="仿宋" w:eastAsia="仿宋" w:cs="仿宋"/>
          <w:i w:val="0"/>
          <w:iCs w:val="0"/>
          <w:caps w:val="0"/>
          <w:color w:val="222222"/>
          <w:spacing w:val="8"/>
          <w:sz w:val="32"/>
          <w:szCs w:val="32"/>
          <w:shd w:val="clear" w:fill="FFFFFF"/>
          <w:lang w:val="en-US" w:eastAsia="zh-CN"/>
        </w:rPr>
        <w:t>杨陵区</w:t>
      </w:r>
      <w:r>
        <w:rPr>
          <w:rFonts w:hint="eastAsia" w:ascii="仿宋" w:hAnsi="仿宋" w:eastAsia="仿宋" w:cs="仿宋"/>
          <w:i w:val="0"/>
          <w:iCs w:val="0"/>
          <w:caps w:val="0"/>
          <w:color w:val="222222"/>
          <w:spacing w:val="8"/>
          <w:sz w:val="32"/>
          <w:szCs w:val="32"/>
          <w:shd w:val="clear" w:fill="FFFFFF"/>
        </w:rPr>
        <w:t>残疾人按比例就业年审网上申报系统操作指南</w:t>
      </w:r>
    </w:p>
    <w:p w14:paraId="138F2C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401" w:leftChars="-200" w:right="0" w:rightChars="0" w:hanging="19" w:hangingChars="6"/>
        <w:jc w:val="left"/>
        <w:textAlignment w:val="auto"/>
        <w:rPr>
          <w:rFonts w:hint="eastAsia" w:ascii="仿宋" w:hAnsi="仿宋" w:eastAsia="仿宋" w:cs="仿宋"/>
          <w:i w:val="0"/>
          <w:iCs w:val="0"/>
          <w:caps w:val="0"/>
          <w:color w:val="333333"/>
          <w:spacing w:val="0"/>
          <w:kern w:val="0"/>
          <w:sz w:val="32"/>
          <w:szCs w:val="32"/>
          <w:shd w:val="clear" w:fill="FFFFFF"/>
          <w:lang w:val="en-US" w:eastAsia="zh-CN" w:bidi="ar"/>
        </w:rPr>
      </w:pPr>
      <w:r>
        <w:rPr>
          <w:rFonts w:hint="eastAsia" w:ascii="仿宋" w:hAnsi="仿宋" w:eastAsia="仿宋" w:cs="仿宋"/>
          <w:i w:val="0"/>
          <w:iCs w:val="0"/>
          <w:caps w:val="0"/>
          <w:color w:val="333333"/>
          <w:spacing w:val="0"/>
          <w:kern w:val="0"/>
          <w:sz w:val="32"/>
          <w:szCs w:val="32"/>
          <w:shd w:val="clear" w:fill="FFFFFF"/>
          <w:lang w:val="en-US" w:eastAsia="zh-CN" w:bidi="ar"/>
        </w:rPr>
        <w:t>一、</w:t>
      </w:r>
      <w:r>
        <w:rPr>
          <w:rStyle w:val="5"/>
          <w:rFonts w:hint="eastAsia" w:ascii="仿宋" w:hAnsi="仿宋" w:eastAsia="仿宋" w:cs="仿宋"/>
          <w:i w:val="0"/>
          <w:iCs w:val="0"/>
          <w:caps w:val="0"/>
          <w:color w:val="222222"/>
          <w:spacing w:val="8"/>
          <w:kern w:val="0"/>
          <w:sz w:val="32"/>
          <w:szCs w:val="32"/>
          <w:shd w:val="clear" w:fill="FFFFFF"/>
          <w:lang w:val="en-US" w:eastAsia="zh-CN" w:bidi="ar"/>
        </w:rPr>
        <w:t>用人单位访问。</w:t>
      </w:r>
    </w:p>
    <w:p w14:paraId="3374D6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Chars="-206"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访问地址1：用人单位访问http://61.185.238.218:25928/wbxt/#/login即可打开残疾人按比例就业情况联网认证系统。</w:t>
      </w:r>
    </w:p>
    <w:p w14:paraId="126019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Chars="-206" w:right="0" w:rightChars="0"/>
        <w:jc w:val="left"/>
        <w:textAlignment w:val="auto"/>
        <w:rPr>
          <w:rFonts w:hint="eastAsia" w:ascii="仿宋" w:hAnsi="仿宋" w:eastAsia="仿宋" w:cs="仿宋"/>
          <w:i w:val="0"/>
          <w:iCs w:val="0"/>
          <w:caps w:val="0"/>
          <w:color w:val="333333"/>
          <w:spacing w:val="0"/>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访问地址2：用人单位访问陕西省政务网</w:t>
      </w:r>
      <w:r>
        <w:rPr>
          <w:rFonts w:hint="eastAsia" w:ascii="仿宋" w:hAnsi="仿宋" w:eastAsia="仿宋" w:cs="仿宋"/>
          <w:i w:val="0"/>
          <w:iCs w:val="0"/>
          <w:caps w:val="0"/>
          <w:color w:val="333333"/>
          <w:spacing w:val="0"/>
          <w:kern w:val="0"/>
          <w:sz w:val="32"/>
          <w:szCs w:val="32"/>
          <w:shd w:val="clear" w:fill="FFFFFF"/>
          <w:lang w:val="en-US" w:eastAsia="zh-CN" w:bidi="ar"/>
        </w:rPr>
        <w:fldChar w:fldCharType="begin"/>
      </w:r>
      <w:r>
        <w:rPr>
          <w:rFonts w:hint="eastAsia" w:ascii="仿宋" w:hAnsi="仿宋" w:eastAsia="仿宋" w:cs="仿宋"/>
          <w:i w:val="0"/>
          <w:iCs w:val="0"/>
          <w:caps w:val="0"/>
          <w:color w:val="333333"/>
          <w:spacing w:val="0"/>
          <w:kern w:val="0"/>
          <w:sz w:val="32"/>
          <w:szCs w:val="32"/>
          <w:shd w:val="clear" w:fill="FFFFFF"/>
          <w:lang w:val="en-US" w:eastAsia="zh-CN" w:bidi="ar"/>
        </w:rPr>
        <w:instrText xml:space="preserve"> HYPERLINK "https://zwfw.shaanxi.gov.cn/sx/public/index" </w:instrText>
      </w:r>
      <w:r>
        <w:rPr>
          <w:rFonts w:hint="eastAsia" w:ascii="仿宋" w:hAnsi="仿宋" w:eastAsia="仿宋" w:cs="仿宋"/>
          <w:i w:val="0"/>
          <w:iCs w:val="0"/>
          <w:caps w:val="0"/>
          <w:color w:val="333333"/>
          <w:spacing w:val="0"/>
          <w:kern w:val="0"/>
          <w:sz w:val="32"/>
          <w:szCs w:val="32"/>
          <w:shd w:val="clear" w:fill="FFFFFF"/>
          <w:lang w:val="en-US" w:eastAsia="zh-CN" w:bidi="ar"/>
        </w:rPr>
        <w:fldChar w:fldCharType="separate"/>
      </w:r>
      <w:r>
        <w:rPr>
          <w:rStyle w:val="6"/>
          <w:rFonts w:hint="eastAsia" w:ascii="仿宋" w:hAnsi="仿宋" w:eastAsia="仿宋" w:cs="仿宋"/>
          <w:i w:val="0"/>
          <w:iCs w:val="0"/>
          <w:caps w:val="0"/>
          <w:spacing w:val="0"/>
          <w:kern w:val="0"/>
          <w:sz w:val="32"/>
          <w:szCs w:val="32"/>
          <w:shd w:val="clear" w:fill="FFFFFF"/>
          <w:lang w:val="en-US" w:eastAsia="zh-CN" w:bidi="ar"/>
        </w:rPr>
        <w:t>https://zwfw.shaanxi.gov.cn/sx/public/index</w:t>
      </w:r>
      <w:r>
        <w:rPr>
          <w:rFonts w:hint="eastAsia" w:ascii="仿宋" w:hAnsi="仿宋" w:eastAsia="仿宋" w:cs="仿宋"/>
          <w:i w:val="0"/>
          <w:iCs w:val="0"/>
          <w:caps w:val="0"/>
          <w:color w:val="333333"/>
          <w:spacing w:val="0"/>
          <w:kern w:val="0"/>
          <w:sz w:val="32"/>
          <w:szCs w:val="32"/>
          <w:shd w:val="clear" w:fill="FFFFFF"/>
          <w:lang w:val="en-US" w:eastAsia="zh-CN" w:bidi="ar"/>
        </w:rPr>
        <w:fldChar w:fldCharType="end"/>
      </w:r>
      <w:r>
        <w:rPr>
          <w:rFonts w:hint="eastAsia" w:ascii="仿宋" w:hAnsi="仿宋" w:eastAsia="仿宋" w:cs="仿宋"/>
          <w:i w:val="0"/>
          <w:iCs w:val="0"/>
          <w:caps w:val="0"/>
          <w:color w:val="333333"/>
          <w:spacing w:val="0"/>
          <w:kern w:val="0"/>
          <w:sz w:val="32"/>
          <w:szCs w:val="32"/>
          <w:shd w:val="clear" w:fill="FFFFFF"/>
          <w:lang w:val="en-US" w:eastAsia="zh-CN" w:bidi="ar"/>
        </w:rPr>
        <w:t>。</w:t>
      </w:r>
    </w:p>
    <w:p w14:paraId="23876F9D">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Chars="-206"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点击跨省通办</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86730" cy="2809875"/>
            <wp:effectExtent l="0" t="0" r="13970" b="9525"/>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4"/>
                    <a:stretch>
                      <a:fillRect/>
                    </a:stretch>
                  </pic:blipFill>
                  <pic:spPr>
                    <a:xfrm>
                      <a:off x="0" y="0"/>
                      <a:ext cx="5586730" cy="280987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(2)在按部门分类中选择省残联，再选择全国残疾人按比例就业联网认证即可打开残疾人按比例就业情况联网认证系统。</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93715" cy="2819400"/>
            <wp:effectExtent l="0" t="0" r="6985" b="0"/>
            <wp:docPr id="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7"/>
                    <pic:cNvPicPr>
                      <a:picLocks noChangeAspect="1"/>
                    </pic:cNvPicPr>
                  </pic:nvPicPr>
                  <pic:blipFill>
                    <a:blip r:embed="rId5"/>
                    <a:stretch>
                      <a:fillRect/>
                    </a:stretch>
                  </pic:blipFill>
                  <pic:spPr>
                    <a:xfrm>
                      <a:off x="0" y="0"/>
                      <a:ext cx="5593715" cy="28194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访问地址3：用人单位访问国家政务服务平台</w:t>
      </w:r>
      <w:r>
        <w:rPr>
          <w:rFonts w:hint="eastAsia" w:ascii="仿宋" w:hAnsi="仿宋" w:eastAsia="仿宋" w:cs="仿宋"/>
          <w:i w:val="0"/>
          <w:iCs w:val="0"/>
          <w:caps w:val="0"/>
          <w:color w:val="222222"/>
          <w:spacing w:val="8"/>
          <w:kern w:val="0"/>
          <w:sz w:val="32"/>
          <w:szCs w:val="32"/>
          <w:shd w:val="clear" w:fill="FFFFFF"/>
          <w:lang w:val="en-US" w:eastAsia="zh-CN" w:bidi="ar"/>
        </w:rPr>
        <w:fldChar w:fldCharType="begin"/>
      </w:r>
      <w:r>
        <w:rPr>
          <w:rFonts w:hint="eastAsia" w:ascii="仿宋" w:hAnsi="仿宋" w:eastAsia="仿宋" w:cs="仿宋"/>
          <w:i w:val="0"/>
          <w:iCs w:val="0"/>
          <w:caps w:val="0"/>
          <w:color w:val="222222"/>
          <w:spacing w:val="8"/>
          <w:kern w:val="0"/>
          <w:sz w:val="32"/>
          <w:szCs w:val="32"/>
          <w:shd w:val="clear" w:fill="FFFFFF"/>
          <w:lang w:val="en-US" w:eastAsia="zh-CN" w:bidi="ar"/>
        </w:rPr>
        <w:instrText xml:space="preserve"> HYPERLINK "http://gjzwfw.www.gov.cn/" </w:instrText>
      </w:r>
      <w:r>
        <w:rPr>
          <w:rFonts w:hint="eastAsia" w:ascii="仿宋" w:hAnsi="仿宋" w:eastAsia="仿宋" w:cs="仿宋"/>
          <w:i w:val="0"/>
          <w:iCs w:val="0"/>
          <w:caps w:val="0"/>
          <w:color w:val="222222"/>
          <w:spacing w:val="8"/>
          <w:kern w:val="0"/>
          <w:sz w:val="32"/>
          <w:szCs w:val="32"/>
          <w:shd w:val="clear" w:fill="FFFFFF"/>
          <w:lang w:val="en-US" w:eastAsia="zh-CN" w:bidi="ar"/>
        </w:rPr>
        <w:fldChar w:fldCharType="separate"/>
      </w:r>
      <w:r>
        <w:rPr>
          <w:rStyle w:val="6"/>
          <w:rFonts w:hint="eastAsia" w:ascii="仿宋" w:hAnsi="仿宋" w:eastAsia="仿宋" w:cs="仿宋"/>
          <w:i w:val="0"/>
          <w:iCs w:val="0"/>
          <w:caps w:val="0"/>
          <w:spacing w:val="8"/>
          <w:kern w:val="0"/>
          <w:sz w:val="32"/>
          <w:szCs w:val="32"/>
          <w:shd w:val="clear" w:fill="FFFFFF"/>
          <w:lang w:val="en-US" w:eastAsia="zh-CN" w:bidi="ar"/>
        </w:rPr>
        <w:t>http://gjzwfw.www.gov.cn/</w:t>
      </w:r>
      <w:r>
        <w:rPr>
          <w:rFonts w:hint="eastAsia" w:ascii="仿宋" w:hAnsi="仿宋" w:eastAsia="仿宋" w:cs="仿宋"/>
          <w:i w:val="0"/>
          <w:iCs w:val="0"/>
          <w:caps w:val="0"/>
          <w:color w:val="222222"/>
          <w:spacing w:val="8"/>
          <w:kern w:val="0"/>
          <w:sz w:val="32"/>
          <w:szCs w:val="32"/>
          <w:shd w:val="clear" w:fill="FFFFFF"/>
          <w:lang w:val="en-US" w:eastAsia="zh-CN" w:bidi="ar"/>
        </w:rPr>
        <w:fldChar w:fldCharType="end"/>
      </w:r>
    </w:p>
    <w:p w14:paraId="78679D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(1)点击“跨省通办”服务专区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1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      </w:t>
      </w:r>
    </w:p>
    <w:p w14:paraId="620138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Style w:val="5"/>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(2)查询“全国残疾人按比例就业联网认证”，在搜索结果页面点击“全国残疾人按比例就业联网认证”事项，最后在地方事项选择陕西省即可打开残疾人按比例就业情况联网认证。</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11"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29250" cy="2543175"/>
            <wp:effectExtent l="0" t="0" r="0" b="9525"/>
            <wp:docPr id="12"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1"/>
                    <pic:cNvPicPr>
                      <a:picLocks noChangeAspect="1"/>
                    </pic:cNvPicPr>
                  </pic:nvPicPr>
                  <pic:blipFill>
                    <a:blip r:embed="rId7"/>
                    <a:stretch>
                      <a:fillRect/>
                    </a:stretch>
                  </pic:blipFill>
                  <pic:spPr>
                    <a:xfrm>
                      <a:off x="0" y="0"/>
                      <a:ext cx="5429250" cy="2543175"/>
                    </a:xfrm>
                    <a:prstGeom prst="rect">
                      <a:avLst/>
                    </a:prstGeom>
                    <a:noFill/>
                    <a:ln w="9525">
                      <a:noFill/>
                    </a:ln>
                  </pic:spPr>
                </pic:pic>
              </a:graphicData>
            </a:graphic>
          </wp:inline>
        </w:drawing>
      </w:r>
      <w:r>
        <w:rPr>
          <w:rStyle w:val="5"/>
          <w:rFonts w:hint="eastAsia" w:ascii="仿宋" w:hAnsi="仿宋" w:eastAsia="仿宋" w:cs="仿宋"/>
          <w:i w:val="0"/>
          <w:iCs w:val="0"/>
          <w:caps w:val="0"/>
          <w:color w:val="222222"/>
          <w:spacing w:val="8"/>
          <w:kern w:val="0"/>
          <w:sz w:val="32"/>
          <w:szCs w:val="32"/>
          <w:shd w:val="clear" w:fill="FFFFFF"/>
          <w:lang w:val="en-US" w:eastAsia="zh-CN" w:bidi="ar"/>
        </w:rPr>
        <w:t>二、单位基本信息维护</w:t>
      </w:r>
    </w:p>
    <w:p w14:paraId="62622A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第一步：点击“单位信息维护管理”进入该模块，残联主管部门为用人单位年审认证的办理所在地、税务主管部门为用人单位缴纳残保金的所在地、行政所属区为用人单位注册登记的所在地。同时需要填写所有带*的内容，比如经办人姓名和电话等。</w:t>
      </w:r>
    </w:p>
    <w:p w14:paraId="51A5F9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第二步：修改完成之后，点击“保存”按钮即可。（下图所示）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630545" cy="2169160"/>
            <wp:effectExtent l="0" t="0" r="8255" b="2540"/>
            <wp:docPr id="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8"/>
                    <a:stretch>
                      <a:fillRect/>
                    </a:stretch>
                  </pic:blipFill>
                  <pic:spPr>
                    <a:xfrm>
                      <a:off x="0" y="0"/>
                      <a:ext cx="5630545" cy="216916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751195" cy="1106170"/>
            <wp:effectExtent l="0" t="0" r="1905" b="17780"/>
            <wp:docPr id="22"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3"/>
                    <pic:cNvPicPr>
                      <a:picLocks noChangeAspect="1"/>
                    </pic:cNvPicPr>
                  </pic:nvPicPr>
                  <pic:blipFill>
                    <a:blip r:embed="rId9"/>
                    <a:stretch>
                      <a:fillRect/>
                    </a:stretch>
                  </pic:blipFill>
                  <pic:spPr>
                    <a:xfrm>
                      <a:off x="0" y="0"/>
                      <a:ext cx="5751195" cy="110617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三步：如果用人单位安置登记的残疾人员其工资、社保、医保在子公司，或者安置登记的残疾人员为劳务派遣人员，则在上图中点击“添加”按钮，添加关联单位，已有的关联单位可以编辑和删除。（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789930" cy="2576195"/>
            <wp:effectExtent l="0" t="0" r="1270" b="14605"/>
            <wp:docPr id="13"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4"/>
                    <pic:cNvPicPr>
                      <a:picLocks noChangeAspect="1"/>
                    </pic:cNvPicPr>
                  </pic:nvPicPr>
                  <pic:blipFill>
                    <a:blip r:embed="rId10"/>
                    <a:stretch>
                      <a:fillRect/>
                    </a:stretch>
                  </pic:blipFill>
                  <pic:spPr>
                    <a:xfrm>
                      <a:off x="0" y="0"/>
                      <a:ext cx="5789930" cy="257619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第四步：根据要求输入关联单位信息，并上传单位与单位之间的劳务派遣协议附件，或者与关联公司之间的证明材料第五步：点击“保存”，即可新增成功。</w:t>
      </w:r>
    </w:p>
    <w:p w14:paraId="617824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400" w:leftChars="-200" w:right="0" w:rightChars="0" w:hanging="20" w:hangingChars="6"/>
        <w:jc w:val="left"/>
        <w:textAlignment w:val="auto"/>
        <w:rPr>
          <w:rStyle w:val="5"/>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b/>
          <w:i w:val="0"/>
          <w:iCs w:val="0"/>
          <w:caps w:val="0"/>
          <w:color w:val="222222"/>
          <w:spacing w:val="8"/>
          <w:kern w:val="0"/>
          <w:sz w:val="32"/>
          <w:szCs w:val="32"/>
          <w:shd w:val="clear" w:fill="FFFFFF"/>
          <w:lang w:val="en-US" w:eastAsia="zh-CN" w:bidi="ar"/>
        </w:rPr>
        <w:t>三、</w:t>
      </w:r>
      <w:r>
        <w:rPr>
          <w:rStyle w:val="5"/>
          <w:rFonts w:hint="eastAsia" w:ascii="仿宋" w:hAnsi="仿宋" w:eastAsia="仿宋" w:cs="仿宋"/>
          <w:i w:val="0"/>
          <w:iCs w:val="0"/>
          <w:caps w:val="0"/>
          <w:color w:val="222222"/>
          <w:spacing w:val="8"/>
          <w:kern w:val="0"/>
          <w:sz w:val="32"/>
          <w:szCs w:val="32"/>
          <w:shd w:val="clear" w:fill="FFFFFF"/>
          <w:lang w:val="en-US" w:eastAsia="zh-CN" w:bidi="ar"/>
        </w:rPr>
        <w:t>残疾人安置管理</w:t>
      </w:r>
    </w:p>
    <w:p w14:paraId="0E1C5C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400" w:leftChars="-200" w:right="0" w:rightChars="0" w:hanging="20" w:hangingChars="6"/>
        <w:jc w:val="left"/>
        <w:textAlignment w:val="auto"/>
        <w:rPr>
          <w:rFonts w:hint="eastAsia" w:ascii="仿宋" w:hAnsi="仿宋" w:eastAsia="仿宋" w:cs="仿宋"/>
          <w:i w:val="0"/>
          <w:iCs w:val="0"/>
          <w:caps w:val="0"/>
          <w:color w:val="222222"/>
          <w:spacing w:val="8"/>
          <w:sz w:val="32"/>
          <w:szCs w:val="32"/>
        </w:rPr>
      </w:pPr>
      <w:r>
        <w:rPr>
          <w:rFonts w:hint="eastAsia" w:ascii="仿宋" w:hAnsi="仿宋" w:eastAsia="仿宋" w:cs="仿宋"/>
          <w:i w:val="0"/>
          <w:iCs w:val="0"/>
          <w:caps w:val="0"/>
          <w:color w:val="222222"/>
          <w:spacing w:val="8"/>
          <w:kern w:val="0"/>
          <w:sz w:val="32"/>
          <w:szCs w:val="32"/>
          <w:shd w:val="clear" w:fill="FFFFFF"/>
          <w:lang w:val="en-US" w:eastAsia="zh-CN" w:bidi="ar"/>
        </w:rPr>
        <w:t>第一步：点击“残疾人安置管理”进入该模块。（下图所示）第二步：点击“添加残疾人”进入残疾人安置管理页面1、输入身份证号，自动获取残疾人员的信息。如果获取不到，需要填写并完善带*部分的内容；（下图所示）2、如果为高校毕业生，则需要填写相关学历信息；（下图所示）3、点击“添加”，按钮，新增合同信息，上传个人劳动合同附件。如果人员为劳务派遣，则协议中应明确该人员残疾人安置登记计入用人单位；（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819775" cy="1898015"/>
            <wp:effectExtent l="0" t="0" r="9525" b="6985"/>
            <wp:docPr id="10"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69"/>
                    <pic:cNvPicPr>
                      <a:picLocks noChangeAspect="1"/>
                    </pic:cNvPicPr>
                  </pic:nvPicPr>
                  <pic:blipFill>
                    <a:blip r:embed="rId11"/>
                    <a:stretch>
                      <a:fillRect/>
                    </a:stretch>
                  </pic:blipFill>
                  <pic:spPr>
                    <a:xfrm>
                      <a:off x="0" y="0"/>
                      <a:ext cx="5819775" cy="189801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4、如果该人员的残疾证为业务年度的新办证而使用证件不足一年的，且系统中无历史证件信息，用人单位可添加历史残疾证件信息，并上传该证件有关影像资料。手动添加的残疾证件需经过残联部门审核。（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719445" cy="1257300"/>
            <wp:effectExtent l="0" t="0" r="14605" b="0"/>
            <wp:docPr id="17"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0"/>
                    <pic:cNvPicPr>
                      <a:picLocks noChangeAspect="1"/>
                    </pic:cNvPicPr>
                  </pic:nvPicPr>
                  <pic:blipFill>
                    <a:blip r:embed="rId12"/>
                    <a:stretch>
                      <a:fillRect/>
                    </a:stretch>
                  </pic:blipFill>
                  <pic:spPr>
                    <a:xfrm>
                      <a:off x="0" y="0"/>
                      <a:ext cx="5719445" cy="12573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第三步：按照页面要求填写完内容之后，点击“保存，下一步”进入人员信息校验页面（下图所示）。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340985" cy="1903095"/>
            <wp:effectExtent l="0" t="0" r="12065" b="1905"/>
            <wp:docPr id="24"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1"/>
                    <pic:cNvPicPr>
                      <a:picLocks noChangeAspect="1"/>
                    </pic:cNvPicPr>
                  </pic:nvPicPr>
                  <pic:blipFill>
                    <a:blip r:embed="rId13"/>
                    <a:stretch>
                      <a:fillRect/>
                    </a:stretch>
                  </pic:blipFill>
                  <pic:spPr>
                    <a:xfrm>
                      <a:off x="0" y="0"/>
                      <a:ext cx="5340985" cy="190309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638800" cy="1631315"/>
            <wp:effectExtent l="0" t="0" r="0" b="6985"/>
            <wp:docPr id="18"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2"/>
                    <pic:cNvPicPr>
                      <a:picLocks noChangeAspect="1"/>
                    </pic:cNvPicPr>
                  </pic:nvPicPr>
                  <pic:blipFill>
                    <a:blip r:embed="rId14"/>
                    <a:stretch>
                      <a:fillRect/>
                    </a:stretch>
                  </pic:blipFill>
                  <pic:spPr>
                    <a:xfrm>
                      <a:off x="0" y="0"/>
                      <a:ext cx="5638800" cy="163131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第四步：页面上每一列的 “√”为系统自动核验通过的月份，“Ⅹ”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①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21"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3"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②如果用人单位想要申报并勾选带有“Ⅹ”的月份，则需要根据系统提示上传所对应的附件影像资料，且该月份需要残联业务部门进行审核。（如下图所示中勾选带有“Ⅹ”的1月至4月）</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4"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19"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7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55615" cy="2212340"/>
            <wp:effectExtent l="0" t="0" r="6985" b="16510"/>
            <wp:docPr id="27"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77"/>
                    <pic:cNvPicPr>
                      <a:picLocks noChangeAspect="1"/>
                    </pic:cNvPicPr>
                  </pic:nvPicPr>
                  <pic:blipFill>
                    <a:blip r:embed="rId15"/>
                    <a:stretch>
                      <a:fillRect/>
                    </a:stretch>
                  </pic:blipFill>
                  <pic:spPr>
                    <a:xfrm>
                      <a:off x="0" y="0"/>
                      <a:ext cx="5555615" cy="221234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第五步：点击“返回残疾人安置管理”按钮回到残疾人安置管理页面，可以查看单位该业务年度安置情况和安置人员列表。可以对已安置的残疾人进行重新登记或者删除。（下图所示）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24170" cy="1477645"/>
            <wp:effectExtent l="0" t="0" r="5080" b="8255"/>
            <wp:docPr id="30"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78"/>
                    <pic:cNvPicPr>
                      <a:picLocks noChangeAspect="1"/>
                    </pic:cNvPicPr>
                  </pic:nvPicPr>
                  <pic:blipFill>
                    <a:blip r:embed="rId16"/>
                    <a:stretch>
                      <a:fillRect/>
                    </a:stretch>
                  </pic:blipFill>
                  <pic:spPr>
                    <a:xfrm>
                      <a:off x="0" y="0"/>
                      <a:ext cx="5424170" cy="147764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38775" cy="1121410"/>
            <wp:effectExtent l="0" t="0" r="9525" b="2540"/>
            <wp:docPr id="31"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79"/>
                    <pic:cNvPicPr>
                      <a:picLocks noChangeAspect="1"/>
                    </pic:cNvPicPr>
                  </pic:nvPicPr>
                  <pic:blipFill>
                    <a:blip r:embed="rId17"/>
                    <a:stretch>
                      <a:fillRect/>
                    </a:stretch>
                  </pic:blipFill>
                  <pic:spPr>
                    <a:xfrm>
                      <a:off x="0" y="0"/>
                      <a:ext cx="5438775" cy="112141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第六步：当完成所有残疾人员的安置登记之后，且安置登记人员的状态全部为“已确认”，则可以点击“完成申报”按钮。（下图所示）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10200" cy="1497965"/>
            <wp:effectExtent l="0" t="0" r="0" b="6985"/>
            <wp:docPr id="26"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0"/>
                    <pic:cNvPicPr>
                      <a:picLocks noChangeAspect="1"/>
                    </pic:cNvPicPr>
                  </pic:nvPicPr>
                  <pic:blipFill>
                    <a:blip r:embed="rId18"/>
                    <a:stretch>
                      <a:fillRect/>
                    </a:stretch>
                  </pic:blipFill>
                  <pic:spPr>
                    <a:xfrm>
                      <a:off x="0" y="0"/>
                      <a:ext cx="5410200" cy="149796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59425" cy="1140460"/>
            <wp:effectExtent l="0" t="0" r="3175" b="2540"/>
            <wp:docPr id="28" name="图片 2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1"/>
                    <pic:cNvPicPr>
                      <a:picLocks noChangeAspect="1"/>
                    </pic:cNvPicPr>
                  </pic:nvPicPr>
                  <pic:blipFill>
                    <a:blip r:embed="rId19"/>
                    <a:stretch>
                      <a:fillRect/>
                    </a:stretch>
                  </pic:blipFill>
                  <pic:spPr>
                    <a:xfrm>
                      <a:off x="0" y="0"/>
                      <a:ext cx="5559425" cy="114046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点击“完成申报”按钮，需要阅读承诺书。阅读完成之后点击“已阅读、确认”按钮，如果根据提示内容确认无误，则点击“确定”完成最后的确认申报工作。（下图所示）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48935" cy="2133600"/>
            <wp:effectExtent l="0" t="0" r="18415" b="0"/>
            <wp:docPr id="2" name="图片 2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82"/>
                    <pic:cNvPicPr>
                      <a:picLocks noChangeAspect="1"/>
                    </pic:cNvPicPr>
                  </pic:nvPicPr>
                  <pic:blipFill>
                    <a:blip r:embed="rId20"/>
                    <a:stretch>
                      <a:fillRect/>
                    </a:stretch>
                  </pic:blipFill>
                  <pic:spPr>
                    <a:xfrm>
                      <a:off x="0" y="0"/>
                      <a:ext cx="5448935" cy="21336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 第七步：完成申报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同时用人单位可“下载年审认证确认书”，完成申报后残联部门将会把安置登记信息发送给税务部门，用人单位可直接至税务部门缴纳残保金。（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685155" cy="1664335"/>
            <wp:effectExtent l="0" t="0" r="10795" b="12065"/>
            <wp:docPr id="20" name="图片 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3"/>
                    <pic:cNvPicPr>
                      <a:picLocks noChangeAspect="1"/>
                    </pic:cNvPicPr>
                  </pic:nvPicPr>
                  <pic:blipFill>
                    <a:blip r:embed="rId21"/>
                    <a:stretch>
                      <a:fillRect/>
                    </a:stretch>
                  </pic:blipFill>
                  <pic:spPr>
                    <a:xfrm>
                      <a:off x="0" y="0"/>
                      <a:ext cx="5685155" cy="166433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851525" cy="1130935"/>
            <wp:effectExtent l="0" t="0" r="15875" b="12065"/>
            <wp:docPr id="23" name="图片 3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84"/>
                    <pic:cNvPicPr>
                      <a:picLocks noChangeAspect="1"/>
                    </pic:cNvPicPr>
                  </pic:nvPicPr>
                  <pic:blipFill>
                    <a:blip r:embed="rId22"/>
                    <a:stretch>
                      <a:fillRect/>
                    </a:stretch>
                  </pic:blipFill>
                  <pic:spPr>
                    <a:xfrm>
                      <a:off x="0" y="0"/>
                      <a:ext cx="5851525" cy="113093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850890" cy="2296160"/>
            <wp:effectExtent l="0" t="0" r="16510" b="8890"/>
            <wp:docPr id="29" name="图片 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IMG_285"/>
                    <pic:cNvPicPr>
                      <a:picLocks noChangeAspect="1"/>
                    </pic:cNvPicPr>
                  </pic:nvPicPr>
                  <pic:blipFill>
                    <a:blip r:embed="rId23"/>
                    <a:stretch>
                      <a:fillRect/>
                    </a:stretch>
                  </pic:blipFill>
                  <pic:spPr>
                    <a:xfrm>
                      <a:off x="0" y="0"/>
                      <a:ext cx="5850890" cy="2296160"/>
                    </a:xfrm>
                    <a:prstGeom prst="rect">
                      <a:avLst/>
                    </a:prstGeom>
                    <a:noFill/>
                    <a:ln w="9525">
                      <a:noFill/>
                    </a:ln>
                  </pic:spPr>
                </pic:pic>
              </a:graphicData>
            </a:graphic>
          </wp:inline>
        </w:drawing>
      </w:r>
    </w:p>
    <w:p w14:paraId="7134EE47">
      <w:pPr>
        <w:rPr>
          <w:rFonts w:hint="eastAsia" w:ascii="仿宋" w:hAnsi="仿宋" w:eastAsia="仿宋" w:cs="仿宋"/>
          <w:sz w:val="32"/>
          <w:szCs w:val="32"/>
        </w:rPr>
      </w:pPr>
    </w:p>
    <w:p w14:paraId="3C43346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3C0C9"/>
    <w:multiLevelType w:val="singleLevel"/>
    <w:tmpl w:val="F2E3C0C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7EB39A2"/>
    <w:rsid w:val="3ADA0368"/>
    <w:rsid w:val="47C33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1715</Words>
  <Characters>1826</Characters>
  <Lines>0</Lines>
  <Paragraphs>0</Paragraphs>
  <TotalTime>6</TotalTime>
  <ScaleCrop>false</ScaleCrop>
  <LinksUpToDate>false</LinksUpToDate>
  <CharactersWithSpaces>1834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2025-03-10T03:45:00Z</dcterms:created>
  <dc:creator>Administrator</dc:creator>
  <cp:lastModifiedBy>苟佑指♥卟弃</cp:lastModifiedBy>
  <dcterms:modified xsi:type="dcterms:W3CDTF">2026-03-03T07:36:01Z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eyJoZGlkIjoiZGE1NzgyMjMzY2U0MzJlODNkMTAzNWQ0NmM2Mzk4ZGQiLCJ1c2VySWQiOiIxMTI0OTU3MDc0In0=</vt:lpwstr>
  </property>
  <property fmtid="{D5CDD505-2E9C-101B-9397-08002B2CF9AE}" pid="4" name="ICV">
    <vt:lpwstr>AD37E4684E964B519EB2159652BB5A02_13</vt:lpwstr>
  </property>
</Properties>
</file>