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C28F7">
      <w:pPr>
        <w:adjustRightInd w:val="0"/>
        <w:snapToGrid w:val="0"/>
        <w:spacing w:line="600" w:lineRule="exact"/>
        <w:ind w:left="0" w:leftChars="0" w:firstLine="0" w:firstLineChars="0"/>
        <w:jc w:val="center"/>
        <w:rPr>
          <w:rFonts w:hint="eastAsia" w:ascii="方正小标宋简体" w:hAnsi="方正小标宋简体" w:eastAsia="方正小标宋简体" w:cs="方正小标宋简体"/>
          <w:bCs/>
          <w:color w:val="000000"/>
          <w:kern w:val="0"/>
          <w:sz w:val="44"/>
          <w:szCs w:val="44"/>
        </w:rPr>
      </w:pPr>
      <w:bookmarkStart w:id="0" w:name="_GoBack"/>
      <w:r>
        <w:rPr>
          <w:rFonts w:hint="eastAsia" w:ascii="方正小标宋简体" w:hAnsi="方正小标宋简体" w:eastAsia="方正小标宋简体" w:cs="方正小标宋简体"/>
          <w:bCs/>
          <w:color w:val="000000"/>
          <w:kern w:val="0"/>
          <w:sz w:val="44"/>
          <w:szCs w:val="44"/>
        </w:rPr>
        <w:t>陕西杨凌绿地城际空间站I地块一标段项目</w:t>
      </w:r>
    </w:p>
    <w:p w14:paraId="336D20C9">
      <w:pPr>
        <w:adjustRightInd w:val="0"/>
        <w:snapToGrid w:val="0"/>
        <w:spacing w:line="600" w:lineRule="exact"/>
        <w:ind w:left="0" w:leftChars="0" w:firstLine="0" w:firstLineChars="0"/>
        <w:jc w:val="center"/>
        <w:rPr>
          <w:rFonts w:hint="eastAsia"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kern w:val="0"/>
          <w:sz w:val="44"/>
          <w:szCs w:val="44"/>
        </w:rPr>
        <w:t>“9•6”一般高处坠落事故调查报告</w:t>
      </w:r>
      <w:r>
        <w:rPr>
          <w:rFonts w:hint="eastAsia" w:ascii="方正小标宋简体" w:hAnsi="方正小标宋简体" w:eastAsia="方正小标宋简体" w:cs="方正小标宋简体"/>
          <w:bCs/>
          <w:color w:val="000000"/>
          <w:sz w:val="44"/>
          <w:szCs w:val="44"/>
          <w:lang w:val="en-US" w:eastAsia="zh-CN"/>
        </w:rPr>
        <w:t>防范</w:t>
      </w:r>
    </w:p>
    <w:p w14:paraId="622ECD2E">
      <w:pPr>
        <w:adjustRightInd w:val="0"/>
        <w:snapToGrid w:val="0"/>
        <w:spacing w:line="600" w:lineRule="exact"/>
        <w:ind w:left="0" w:leftChars="0" w:firstLine="0" w:firstLineChars="0"/>
        <w:jc w:val="center"/>
        <w:rPr>
          <w:rFonts w:hint="eastAsia"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和整改措施落实情况评估报告</w:t>
      </w:r>
      <w:bookmarkEnd w:id="0"/>
    </w:p>
    <w:p w14:paraId="4B99A310">
      <w:pPr>
        <w:rPr>
          <w:rFonts w:hint="eastAsia" w:ascii="仿宋_GB2312" w:hAnsi="仿宋_GB2312" w:eastAsia="仿宋_GB2312" w:cs="仿宋_GB2312"/>
          <w:sz w:val="32"/>
          <w:szCs w:val="40"/>
        </w:rPr>
      </w:pPr>
    </w:p>
    <w:p w14:paraId="749321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根据《国务院安委会办公室关于印发生产安全事故防范和整改措施落实情况评估办法的通知》（安委办〔2021〕4号）有关规定，</w:t>
      </w:r>
      <w:r>
        <w:rPr>
          <w:rFonts w:hint="eastAsia" w:ascii="仿宋_GB2312" w:hAnsi="仿宋_GB2312" w:eastAsia="仿宋_GB2312" w:cs="仿宋_GB2312"/>
          <w:sz w:val="32"/>
          <w:szCs w:val="40"/>
          <w:lang w:eastAsia="zh-CN"/>
        </w:rPr>
        <w:t>杨陵区应急管理局</w:t>
      </w:r>
      <w:r>
        <w:rPr>
          <w:rFonts w:hint="eastAsia" w:ascii="仿宋_GB2312" w:hAnsi="仿宋_GB2312" w:eastAsia="仿宋_GB2312" w:cs="仿宋_GB2312"/>
          <w:sz w:val="32"/>
          <w:szCs w:val="40"/>
        </w:rPr>
        <w:t>组织</w:t>
      </w:r>
      <w:r>
        <w:rPr>
          <w:rFonts w:hint="eastAsia" w:ascii="仿宋_GB2312" w:hAnsi="仿宋_GB2312" w:eastAsia="仿宋_GB2312" w:cs="仿宋_GB2312"/>
          <w:sz w:val="32"/>
          <w:szCs w:val="40"/>
          <w:lang w:eastAsia="zh-CN"/>
        </w:rPr>
        <w:t>相关执法人员</w:t>
      </w:r>
      <w:r>
        <w:rPr>
          <w:rFonts w:hint="eastAsia" w:ascii="仿宋_GB2312" w:hAnsi="仿宋_GB2312" w:eastAsia="仿宋_GB2312" w:cs="仿宋_GB2312"/>
          <w:sz w:val="32"/>
          <w:szCs w:val="40"/>
        </w:rPr>
        <w:t>成立了陕西杨凌绿地城际空间站I地块一标段项目“9•6”一般高处坠落事故调查报告防范和整改措施落实情况评估工作组（以下简称事故评估组）</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现将</w:t>
      </w:r>
      <w:r>
        <w:rPr>
          <w:rFonts w:hint="eastAsia" w:ascii="仿宋_GB2312" w:hAnsi="仿宋_GB2312" w:eastAsia="仿宋_GB2312" w:cs="仿宋_GB2312"/>
          <w:sz w:val="32"/>
          <w:szCs w:val="40"/>
          <w:lang w:eastAsia="zh-CN"/>
        </w:rPr>
        <w:t>具体</w:t>
      </w:r>
      <w:r>
        <w:rPr>
          <w:rFonts w:hint="eastAsia" w:ascii="仿宋_GB2312" w:hAnsi="仿宋_GB2312" w:eastAsia="仿宋_GB2312" w:cs="仿宋_GB2312"/>
          <w:sz w:val="32"/>
          <w:szCs w:val="40"/>
        </w:rPr>
        <w:t>评估</w:t>
      </w:r>
      <w:r>
        <w:rPr>
          <w:rFonts w:hint="eastAsia" w:ascii="仿宋_GB2312" w:hAnsi="仿宋_GB2312" w:eastAsia="仿宋_GB2312" w:cs="仿宋_GB2312"/>
          <w:sz w:val="32"/>
          <w:szCs w:val="40"/>
          <w:lang w:eastAsia="zh-CN"/>
        </w:rPr>
        <w:t>情况</w:t>
      </w:r>
      <w:r>
        <w:rPr>
          <w:rFonts w:hint="eastAsia" w:ascii="仿宋_GB2312" w:hAnsi="仿宋_GB2312" w:eastAsia="仿宋_GB2312" w:cs="仿宋_GB2312"/>
          <w:sz w:val="32"/>
          <w:szCs w:val="40"/>
        </w:rPr>
        <w:t>报告如下：</w:t>
      </w:r>
    </w:p>
    <w:p w14:paraId="1D63E98D">
      <w:pPr>
        <w:pStyle w:val="2"/>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事故概况</w:t>
      </w:r>
    </w:p>
    <w:p w14:paraId="1B87A9D1">
      <w:pPr>
        <w:adjustRightInd w:val="0"/>
        <w:snapToGrid w:val="0"/>
        <w:spacing w:line="560" w:lineRule="exact"/>
        <w:ind w:left="0" w:leftChars="0" w:firstLine="640" w:firstLineChars="200"/>
        <w:jc w:val="both"/>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rPr>
        <w:t>2023年9月6日10时12分许，位于杨凌示范区博学路与城南路十字口东北角的杨凌绿地城际空间站I地块一标段项目7#楼</w:t>
      </w:r>
      <w:r>
        <w:rPr>
          <w:rFonts w:hint="eastAsia" w:ascii="仿宋_GB2312" w:hAnsi="仿宋_GB2312" w:cs="仿宋_GB2312"/>
          <w:color w:val="000000"/>
          <w:kern w:val="0"/>
          <w:sz w:val="32"/>
          <w:szCs w:val="32"/>
          <w:shd w:val="clear" w:color="auto" w:fill="FFFFFF"/>
          <w:lang w:val="en-US" w:eastAsia="zh-CN"/>
        </w:rPr>
        <w:t>**</w:t>
      </w:r>
      <w:r>
        <w:rPr>
          <w:rFonts w:hint="eastAsia" w:ascii="仿宋_GB2312" w:hAnsi="仿宋_GB2312" w:eastAsia="仿宋_GB2312" w:cs="仿宋_GB2312"/>
          <w:color w:val="000000"/>
          <w:kern w:val="0"/>
          <w:sz w:val="32"/>
          <w:szCs w:val="32"/>
          <w:shd w:val="clear" w:color="auto" w:fill="FFFFFF"/>
        </w:rPr>
        <w:t>层02室发生一起一般高处坠落事故，造成1人死亡，直接经济损失</w:t>
      </w:r>
      <w:r>
        <w:rPr>
          <w:rFonts w:hint="eastAsia" w:ascii="仿宋_GB2312" w:hAnsi="仿宋_GB2312" w:eastAsia="仿宋_GB2312" w:cs="仿宋_GB2312"/>
          <w:color w:val="000000"/>
          <w:kern w:val="0"/>
          <w:sz w:val="32"/>
          <w:szCs w:val="32"/>
          <w:highlight w:val="none"/>
          <w:shd w:val="clear" w:color="auto" w:fill="FFFFFF"/>
        </w:rPr>
        <w:t>128</w:t>
      </w:r>
      <w:r>
        <w:rPr>
          <w:rFonts w:hint="eastAsia" w:ascii="仿宋_GB2312" w:hAnsi="仿宋_GB2312" w:eastAsia="仿宋_GB2312" w:cs="仿宋_GB2312"/>
          <w:color w:val="000000"/>
          <w:kern w:val="0"/>
          <w:sz w:val="32"/>
          <w:szCs w:val="32"/>
          <w:shd w:val="clear" w:color="auto" w:fill="FFFFFF"/>
        </w:rPr>
        <w:t>万元。</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b w:val="0"/>
          <w:bCs w:val="0"/>
          <w:color w:val="000000"/>
          <w:sz w:val="32"/>
          <w:lang w:val="en-US" w:eastAsia="zh-CN"/>
        </w:rPr>
        <w:t>月7日，</w:t>
      </w:r>
      <w:r>
        <w:rPr>
          <w:rFonts w:hint="eastAsia" w:ascii="仿宋_GB2312" w:hAnsi="仿宋_GB2312" w:eastAsia="仿宋_GB2312" w:cs="仿宋_GB2312"/>
          <w:b w:val="0"/>
          <w:bCs w:val="0"/>
          <w:i w:val="0"/>
          <w:caps w:val="0"/>
          <w:color w:val="000000"/>
          <w:spacing w:val="0"/>
          <w:sz w:val="32"/>
          <w:szCs w:val="32"/>
          <w:shd w:val="clear" w:color="auto" w:fill="FFFFFF"/>
        </w:rPr>
        <w:t>经</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杨陵区人民</w:t>
      </w:r>
      <w:r>
        <w:rPr>
          <w:rFonts w:hint="eastAsia" w:ascii="仿宋_GB2312" w:hAnsi="仿宋_GB2312" w:eastAsia="仿宋_GB2312" w:cs="仿宋_GB2312"/>
          <w:b w:val="0"/>
          <w:bCs w:val="0"/>
          <w:i w:val="0"/>
          <w:caps w:val="0"/>
          <w:color w:val="000000"/>
          <w:spacing w:val="0"/>
          <w:sz w:val="32"/>
          <w:szCs w:val="32"/>
          <w:shd w:val="clear" w:color="auto" w:fill="FFFFFF"/>
        </w:rPr>
        <w:t>政府批准，成立了由</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示范区应急管理局、示范区质监站、区</w:t>
      </w:r>
      <w:r>
        <w:rPr>
          <w:rFonts w:hint="eastAsia" w:ascii="仿宋_GB2312" w:hAnsi="仿宋_GB2312" w:eastAsia="仿宋_GB2312" w:cs="仿宋_GB2312"/>
          <w:b w:val="0"/>
          <w:bCs w:val="0"/>
          <w:i w:val="0"/>
          <w:caps w:val="0"/>
          <w:color w:val="000000"/>
          <w:spacing w:val="0"/>
          <w:sz w:val="32"/>
          <w:szCs w:val="32"/>
          <w:shd w:val="clear" w:color="auto" w:fill="FFFFFF"/>
        </w:rPr>
        <w:t>总工会</w:t>
      </w:r>
      <w:r>
        <w:rPr>
          <w:rFonts w:hint="eastAsia" w:ascii="仿宋_GB2312" w:hAnsi="仿宋_GB2312" w:eastAsia="仿宋_GB2312" w:cs="仿宋_GB2312"/>
          <w:b w:val="0"/>
          <w:bCs w:val="0"/>
          <w:i w:val="0"/>
          <w:caps w:val="0"/>
          <w:color w:val="000000"/>
          <w:spacing w:val="0"/>
          <w:sz w:val="32"/>
          <w:szCs w:val="32"/>
          <w:shd w:val="clear" w:color="auto" w:fill="FFFFFF"/>
          <w:lang w:eastAsia="zh-CN"/>
        </w:rPr>
        <w:t>、</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区应急管理局、区公安分局</w:t>
      </w:r>
      <w:r>
        <w:rPr>
          <w:rFonts w:hint="eastAsia" w:ascii="仿宋_GB2312" w:hAnsi="仿宋_GB2312" w:eastAsia="仿宋_GB2312" w:cs="仿宋_GB2312"/>
          <w:b w:val="0"/>
          <w:bCs w:val="0"/>
          <w:i w:val="0"/>
          <w:caps w:val="0"/>
          <w:color w:val="000000"/>
          <w:spacing w:val="0"/>
          <w:sz w:val="32"/>
          <w:szCs w:val="32"/>
          <w:shd w:val="clear" w:color="auto" w:fill="FFFFFF"/>
        </w:rPr>
        <w:t>、</w:t>
      </w:r>
      <w:r>
        <w:rPr>
          <w:rFonts w:hint="eastAsia" w:ascii="仿宋_GB2312" w:hAnsi="仿宋_GB2312" w:eastAsia="仿宋_GB2312" w:cs="仿宋_GB2312"/>
          <w:b w:val="0"/>
          <w:bCs w:val="0"/>
          <w:i w:val="0"/>
          <w:caps w:val="0"/>
          <w:color w:val="000000"/>
          <w:spacing w:val="0"/>
          <w:sz w:val="32"/>
          <w:szCs w:val="32"/>
          <w:shd w:val="clear" w:color="auto" w:fill="FFFFFF"/>
          <w:lang w:eastAsia="zh-CN"/>
        </w:rPr>
        <w:t>区检察院、李台</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街道办工作人员和</w:t>
      </w:r>
      <w:r>
        <w:rPr>
          <w:rFonts w:hint="eastAsia" w:ascii="仿宋_GB2312" w:hAnsi="仿宋_GB2312" w:eastAsia="仿宋_GB2312" w:cs="仿宋_GB2312"/>
          <w:b w:val="0"/>
          <w:bCs w:val="0"/>
          <w:i w:val="0"/>
          <w:caps w:val="0"/>
          <w:color w:val="000000"/>
          <w:spacing w:val="0"/>
          <w:sz w:val="32"/>
          <w:szCs w:val="32"/>
          <w:shd w:val="clear" w:color="auto" w:fill="FFFFFF"/>
        </w:rPr>
        <w:t>相关专家</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为成员的</w:t>
      </w:r>
      <w:r>
        <w:rPr>
          <w:rFonts w:hint="eastAsia" w:ascii="仿宋_GB2312" w:hAnsi="仿宋_GB2312" w:eastAsia="仿宋_GB2312" w:cs="仿宋_GB2312"/>
          <w:i w:val="0"/>
          <w:caps w:val="0"/>
          <w:color w:val="333333"/>
          <w:spacing w:val="0"/>
          <w:sz w:val="32"/>
          <w:szCs w:val="32"/>
          <w:shd w:val="clear" w:color="auto" w:fill="FFFFFF"/>
        </w:rPr>
        <w:t>事故</w:t>
      </w:r>
      <w:r>
        <w:rPr>
          <w:rFonts w:hint="eastAsia" w:ascii="仿宋_GB2312" w:hAnsi="仿宋_GB2312" w:eastAsia="仿宋_GB2312" w:cs="仿宋_GB2312"/>
          <w:b w:val="0"/>
          <w:bCs w:val="0"/>
          <w:i w:val="0"/>
          <w:caps w:val="0"/>
          <w:color w:val="000000"/>
          <w:spacing w:val="0"/>
          <w:sz w:val="32"/>
          <w:szCs w:val="32"/>
          <w:shd w:val="clear" w:color="auto" w:fill="FFFFFF"/>
        </w:rPr>
        <w:t>调查组</w:t>
      </w:r>
      <w:r>
        <w:rPr>
          <w:rFonts w:hint="eastAsia" w:ascii="仿宋_GB2312" w:hAnsi="仿宋_GB2312" w:eastAsia="仿宋_GB2312" w:cs="仿宋_GB2312"/>
          <w:b w:val="0"/>
          <w:bCs w:val="0"/>
          <w:i w:val="0"/>
          <w:caps w:val="0"/>
          <w:color w:val="000000"/>
          <w:spacing w:val="0"/>
          <w:sz w:val="32"/>
          <w:szCs w:val="32"/>
          <w:shd w:val="clear" w:color="auto" w:fill="FFFFFF"/>
          <w:lang w:eastAsia="zh-CN"/>
        </w:rPr>
        <w:t>，</w:t>
      </w:r>
      <w:r>
        <w:rPr>
          <w:rFonts w:hint="eastAsia" w:ascii="仿宋_GB2312" w:hAnsi="仿宋_GB2312" w:eastAsia="仿宋_GB2312" w:cs="仿宋_GB2312"/>
          <w:b w:val="0"/>
          <w:bCs w:val="0"/>
          <w:i w:val="0"/>
          <w:caps w:val="0"/>
          <w:color w:val="000000"/>
          <w:spacing w:val="0"/>
          <w:sz w:val="32"/>
          <w:szCs w:val="32"/>
          <w:shd w:val="clear" w:color="auto" w:fill="FFFFFF"/>
        </w:rPr>
        <w:t>依法开展事故调查工作。</w:t>
      </w:r>
      <w:r>
        <w:rPr>
          <w:rFonts w:hint="eastAsia" w:ascii="仿宋_GB2312" w:hAnsi="仿宋_GB2312" w:eastAsia="仿宋_GB2312" w:cs="仿宋_GB2312"/>
          <w:b w:val="0"/>
          <w:bCs w:val="0"/>
          <w:i w:val="0"/>
          <w:caps w:val="0"/>
          <w:color w:val="000000"/>
          <w:spacing w:val="0"/>
          <w:sz w:val="32"/>
          <w:szCs w:val="32"/>
          <w:shd w:val="clear" w:color="auto" w:fill="FFFFFF"/>
          <w:lang w:eastAsia="zh-CN"/>
        </w:rPr>
        <w:t>因事故调查、取证涉及多家单位，</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区应急局提交了延期事故报告提交时间的申请，区政府批复同意延期到12月5日</w:t>
      </w:r>
      <w:r>
        <w:rPr>
          <w:rFonts w:hint="eastAsia" w:ascii="楷体_GB2312" w:hAnsi="楷体_GB2312" w:eastAsia="楷体_GB2312" w:cs="楷体_GB2312"/>
          <w:b/>
          <w:bCs/>
          <w:kern w:val="2"/>
          <w:sz w:val="32"/>
          <w:szCs w:val="40"/>
          <w:lang w:val="en-US" w:eastAsia="zh-CN" w:bidi="ar-SA"/>
        </w:rPr>
        <w:t>。</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经事故调查组成员审议确认后，12月3日，区应急局向区政府提交了事故调查报告，12月14日，区政府批复同意事故调查报告。</w:t>
      </w:r>
    </w:p>
    <w:p w14:paraId="43B7A0F3">
      <w:pPr>
        <w:pStyle w:val="2"/>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评估工作组织及开展情况</w:t>
      </w:r>
    </w:p>
    <w:p w14:paraId="7F11CA07">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由区应急管理局组织相关执法人员组成评估组，依据《</w:t>
      </w:r>
      <w:r>
        <w:rPr>
          <w:rFonts w:hint="eastAsia" w:ascii="仿宋_GB2312" w:hAnsi="仿宋_GB2312" w:eastAsia="仿宋_GB2312" w:cs="仿宋_GB2312"/>
          <w:sz w:val="32"/>
          <w:szCs w:val="40"/>
        </w:rPr>
        <w:t>陕西杨凌绿地城际空间站I地块一标段项目“9•6”一般高处坠落事故调查报告</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以下简称“事故调查报告”），综合采取资料审查、座谈问询、查阅相关文件和听取汇报等方式，对事故责任单位和责任人员行政处罚建议落实情况、有关部门单位和人员责任追究落实情况、事故防范措施落实情况进行了综合评估。</w:t>
      </w:r>
    </w:p>
    <w:p w14:paraId="666D1067">
      <w:pPr>
        <w:pStyle w:val="2"/>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责任追究落实情况</w:t>
      </w:r>
    </w:p>
    <w:p w14:paraId="687AE61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kern w:val="2"/>
          <w:sz w:val="32"/>
          <w:szCs w:val="40"/>
          <w:lang w:val="en-US" w:eastAsia="zh-CN" w:bidi="ar-SA"/>
        </w:rPr>
        <w:t>一是</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行业监管部门示范区住建局</w:t>
      </w:r>
      <w:r>
        <w:rPr>
          <w:rFonts w:hint="eastAsia" w:ascii="仿宋_GB2312" w:hAnsi="仿宋_GB2312" w:eastAsia="仿宋_GB2312" w:cs="仿宋_GB2312"/>
          <w:sz w:val="32"/>
          <w:szCs w:val="32"/>
          <w:lang w:val="en-US" w:eastAsia="zh-CN"/>
        </w:rPr>
        <w:t>属于杨凌示范区直属部门，2023年12月区应急管理局向示范区安委办发函，请示范区安委办按照程序对其进行处理，李台街道办于2023年12月份向区政府作书面检查，深刻反思，提出改进意见。</w:t>
      </w:r>
      <w:r>
        <w:rPr>
          <w:rFonts w:hint="eastAsia" w:ascii="仿宋_GB2312" w:hAnsi="仿宋_GB2312" w:eastAsia="仿宋_GB2312" w:cs="仿宋_GB2312"/>
          <w:b/>
          <w:bCs/>
          <w:i w:val="0"/>
          <w:caps w:val="0"/>
          <w:color w:val="000000"/>
          <w:spacing w:val="0"/>
          <w:kern w:val="2"/>
          <w:sz w:val="32"/>
          <w:szCs w:val="32"/>
          <w:shd w:val="clear" w:color="auto" w:fill="FFFFFF"/>
          <w:lang w:val="en-US" w:eastAsia="zh-CN" w:bidi="ar-SA"/>
        </w:rPr>
        <w:t>二是</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根据2024年4月9日听证会及7月9日示范区安委办召开的行政执法监督工作联席会议结论，对</w:t>
      </w:r>
      <w:r>
        <w:rPr>
          <w:rFonts w:hint="eastAsia" w:ascii="仿宋_GB2312" w:eastAsia="仿宋_GB2312"/>
          <w:color w:val="000000"/>
          <w:kern w:val="0"/>
          <w:sz w:val="32"/>
          <w:szCs w:val="32"/>
          <w:shd w:val="clear" w:color="auto" w:fill="FFFFFF"/>
        </w:rPr>
        <w:t>陕西源嵘鹏莱实业有限公司</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处人民币35万元罚款，对其法人姚某源处人民币9600元罚款，截至目前，姚某源罚款已缴纳到位，</w:t>
      </w:r>
      <w:r>
        <w:rPr>
          <w:rFonts w:hint="eastAsia" w:ascii="仿宋_GB2312" w:eastAsia="仿宋_GB2312"/>
          <w:color w:val="000000"/>
          <w:kern w:val="0"/>
          <w:sz w:val="32"/>
          <w:szCs w:val="32"/>
          <w:shd w:val="clear" w:color="auto" w:fill="FFFFFF"/>
        </w:rPr>
        <w:t>陕西源嵘鹏莱实业有限公司</w:t>
      </w:r>
      <w:r>
        <w:rPr>
          <w:rFonts w:hint="eastAsia" w:ascii="仿宋_GB2312" w:eastAsia="仿宋_GB2312"/>
          <w:color w:val="000000"/>
          <w:kern w:val="0"/>
          <w:sz w:val="32"/>
          <w:szCs w:val="32"/>
          <w:shd w:val="clear" w:color="auto" w:fill="FFFFFF"/>
          <w:lang w:eastAsia="zh-CN"/>
        </w:rPr>
        <w:t>已</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缴纳罚款15万元，剩余20万元未缴纳到位</w:t>
      </w:r>
      <w:r>
        <w:rPr>
          <w:rFonts w:hint="eastAsia" w:ascii="仿宋_GB2312" w:hAnsi="仿宋_GB2312" w:eastAsia="仿宋_GB2312" w:cs="仿宋_GB2312"/>
          <w:sz w:val="32"/>
          <w:szCs w:val="32"/>
          <w:lang w:eastAsia="zh-CN"/>
        </w:rPr>
        <w:t>。</w:t>
      </w:r>
    </w:p>
    <w:p w14:paraId="0A13C3E2">
      <w:pPr>
        <w:pStyle w:val="2"/>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事故防范和整改措施落实情况</w:t>
      </w:r>
    </w:p>
    <w:p w14:paraId="0978C1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2024年9月，评估组采取现场检查、查阅资料、听取汇报等方式分别对示范区住建局、李台街道办、绿地集团杨凌置业有限公司、浙江浙坤工程管理有限公司、上海域邦建设集团有限公司、</w:t>
      </w:r>
      <w:r>
        <w:rPr>
          <w:rFonts w:hint="eastAsia" w:ascii="仿宋_GB2312" w:eastAsia="仿宋_GB2312"/>
          <w:color w:val="000000"/>
          <w:kern w:val="0"/>
          <w:sz w:val="32"/>
          <w:szCs w:val="32"/>
          <w:shd w:val="clear" w:color="auto" w:fill="FFFFFF"/>
        </w:rPr>
        <w:t>陕西新蓝图实业有限公司</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事故防范和整改措施落实情况进行评估，形成防范措施落实情况评估表，</w:t>
      </w:r>
      <w:r>
        <w:rPr>
          <w:rFonts w:hint="eastAsia" w:ascii="仿宋_GB2312" w:eastAsia="仿宋_GB2312"/>
          <w:color w:val="000000"/>
          <w:kern w:val="0"/>
          <w:sz w:val="32"/>
          <w:szCs w:val="32"/>
          <w:shd w:val="clear" w:color="auto" w:fill="FFFFFF"/>
        </w:rPr>
        <w:t>陕西源嵘鹏莱实业有限公司</w:t>
      </w:r>
      <w:r>
        <w:rPr>
          <w:rFonts w:hint="eastAsia" w:ascii="仿宋_GB2312" w:eastAsia="仿宋_GB2312"/>
          <w:color w:val="000000"/>
          <w:kern w:val="0"/>
          <w:sz w:val="32"/>
          <w:szCs w:val="32"/>
          <w:shd w:val="clear" w:color="auto" w:fill="FFFFFF"/>
          <w:lang w:eastAsia="zh-CN"/>
        </w:rPr>
        <w:t>相关人员未在杨凌工作，多次联系其负责人均未提供资料</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w:t>
      </w:r>
    </w:p>
    <w:p w14:paraId="1053360A">
      <w:pPr>
        <w:pStyle w:val="2"/>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示范区住建局接到事故通报后，立即下发了《杨凌示范区建设工程质量安全整改通知书》，责令该项目全面停工，并组织召开了警示教育现场会，督促各项目汲取事故教训，举一反三开展自查自纠。同时，组织开展全区在建项目安全生产专项巡查，督促落实安全措施，严防事故发生。</w:t>
      </w:r>
    </w:p>
    <w:p w14:paraId="1E6876B8">
      <w:pPr>
        <w:pStyle w:val="2"/>
        <w:rPr>
          <w:rFonts w:hint="default"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李台街道办加大对辖区在建项目巡查和</w:t>
      </w:r>
      <w:r>
        <w:rPr>
          <w:rFonts w:hint="eastAsia" w:ascii="仿宋_GB2312" w:hAnsi="仿宋_GB2312" w:eastAsia="仿宋_GB2312" w:cs="仿宋_GB2312"/>
          <w:sz w:val="32"/>
          <w:szCs w:val="32"/>
          <w:lang w:eastAsia="zh-CN"/>
        </w:rPr>
        <w:t>隐患排查，并联合行业部门举一反三，持续加大工贸、消防、交通等重点领域安全检查力度，进一步夯实安全生产监管责任</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w:t>
      </w:r>
    </w:p>
    <w:p w14:paraId="4057B2C8">
      <w:pPr>
        <w:pStyle w:val="2"/>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绿地集团杨凌置业有限公司充分汲取事故教训，定期（每周一）组织监理单位、总包单位等召开安全生产会议，沟通解决安全生产问题，并组织联合安全生产大检查，督促监理单位、施工单位完成隐患整改闭环，督促对作业人员技术交底，履行了统一协调管理职责。</w:t>
      </w:r>
    </w:p>
    <w:p w14:paraId="6E18C828">
      <w:pPr>
        <w:pStyle w:val="2"/>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浙江浙坤工程管理有限公司定期在监理会议上强调安排安全生产工作，会同建设单位、施工单位等对项目开展安全隐患排查，针对施工现场安全隐患，定期向施工单位下发监理安全隐患整改回复单，并进行复查验收，未发现拒不整改等情况。</w:t>
      </w:r>
    </w:p>
    <w:p w14:paraId="12E3ECE6">
      <w:pPr>
        <w:pStyle w:val="2"/>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上海域邦建设集团有限公司和</w:t>
      </w:r>
      <w:r>
        <w:rPr>
          <w:rFonts w:hint="eastAsia" w:ascii="仿宋_GB2312" w:eastAsia="仿宋_GB2312"/>
          <w:color w:val="000000"/>
          <w:kern w:val="0"/>
          <w:sz w:val="32"/>
          <w:szCs w:val="32"/>
          <w:shd w:val="clear" w:color="auto" w:fill="FFFFFF"/>
        </w:rPr>
        <w:t>陕西新蓝图实业有限公司</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召开专题会议，深刻剖析事故原因，举一反三，针对存在的安全隐患和“三违”行为，强化现场安全管理，并按期整改各类安全隐患，形成闭环，持续加大安全培训教育力度。</w:t>
      </w:r>
    </w:p>
    <w:p w14:paraId="2A1E6717">
      <w:pPr>
        <w:pStyle w:val="2"/>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 xml:space="preserve">                                </w:t>
      </w:r>
    </w:p>
    <w:p w14:paraId="00FA8A96">
      <w:pPr>
        <w:pStyle w:val="2"/>
        <w:keepNext w:val="0"/>
        <w:keepLines w:val="0"/>
        <w:pageBreakBefore w:val="0"/>
        <w:widowControl w:val="0"/>
        <w:numPr>
          <w:ilvl w:val="0"/>
          <w:numId w:val="0"/>
        </w:numPr>
        <w:kinsoku/>
        <w:wordWrap/>
        <w:overflowPunct/>
        <w:topLinePunct w:val="0"/>
        <w:autoSpaceDE/>
        <w:autoSpaceDN/>
        <w:bidi w:val="0"/>
        <w:adjustRightInd/>
        <w:snapToGrid/>
        <w:ind w:left="3194" w:leftChars="1216" w:hanging="640" w:hangingChars="20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sz w:val="32"/>
          <w:szCs w:val="40"/>
        </w:rPr>
        <w:t>陕西杨凌绿地城际空间站I地块一标段项目“9•6”一般高处坠落事故</w:t>
      </w:r>
      <w:r>
        <w:rPr>
          <w:rFonts w:hint="eastAsia" w:ascii="仿宋_GB2312" w:hAnsi="仿宋_GB2312" w:eastAsia="仿宋_GB2312" w:cs="仿宋_GB2312"/>
          <w:sz w:val="32"/>
          <w:szCs w:val="40"/>
          <w:lang w:eastAsia="zh-CN"/>
        </w:rPr>
        <w:t>评估组</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 xml:space="preserve">                                </w:t>
      </w:r>
    </w:p>
    <w:p w14:paraId="0E337340">
      <w:pPr>
        <w:pStyle w:val="2"/>
        <w:keepNext w:val="0"/>
        <w:keepLines w:val="0"/>
        <w:pageBreakBefore w:val="0"/>
        <w:widowControl w:val="0"/>
        <w:numPr>
          <w:ilvl w:val="0"/>
          <w:numId w:val="0"/>
        </w:numPr>
        <w:kinsoku/>
        <w:wordWrap/>
        <w:overflowPunct/>
        <w:topLinePunct w:val="0"/>
        <w:autoSpaceDE/>
        <w:autoSpaceDN/>
        <w:bidi w:val="0"/>
        <w:adjustRightInd/>
        <w:snapToGrid/>
        <w:ind w:firstLine="4486" w:firstLineChars="1402"/>
        <w:textAlignment w:val="auto"/>
        <w:rPr>
          <w:rFonts w:hint="default"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2024年9月13日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E5027"/>
    <w:multiLevelType w:val="singleLevel"/>
    <w:tmpl w:val="F35E50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EB681D"/>
    <w:rsid w:val="10090303"/>
    <w:rsid w:val="1B1738D4"/>
    <w:rsid w:val="1C9F5D75"/>
    <w:rsid w:val="1DE10E8B"/>
    <w:rsid w:val="1DEB7BD0"/>
    <w:rsid w:val="21076170"/>
    <w:rsid w:val="417D2689"/>
    <w:rsid w:val="42D93A73"/>
    <w:rsid w:val="4548374C"/>
    <w:rsid w:val="489873C4"/>
    <w:rsid w:val="4D1B2303"/>
    <w:rsid w:val="4EDD3D64"/>
    <w:rsid w:val="4F5434AE"/>
    <w:rsid w:val="5F8D3732"/>
    <w:rsid w:val="62927262"/>
    <w:rsid w:val="691D7B3C"/>
    <w:rsid w:val="6B544084"/>
    <w:rsid w:val="6DEF66DC"/>
    <w:rsid w:val="6F5065B5"/>
    <w:rsid w:val="70817DA4"/>
    <w:rsid w:val="72066EDA"/>
    <w:rsid w:val="76592168"/>
    <w:rsid w:val="76CC08B3"/>
    <w:rsid w:val="789254BD"/>
    <w:rsid w:val="7B730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jc w:val="center"/>
      <w:outlineLvl w:val="0"/>
    </w:pPr>
    <w:rPr>
      <w:rFonts w:ascii="方正小标宋简体" w:hAnsi="方正小标宋简体" w:eastAsia="方正小标宋简体" w:cs="方正小标宋简体"/>
      <w:kern w:val="44"/>
      <w:sz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line="560" w:lineRule="exact"/>
      <w:ind w:firstLine="200" w:firstLineChars="200"/>
    </w:pPr>
  </w:style>
  <w:style w:type="paragraph" w:styleId="4">
    <w:name w:val="annotation text"/>
    <w:basedOn w:val="1"/>
    <w:qFormat/>
    <w:uiPriority w:val="0"/>
    <w:pPr>
      <w:jc w:val="left"/>
    </w:pPr>
  </w:style>
  <w:style w:type="paragraph" w:styleId="5">
    <w:name w:val="Body Text"/>
    <w:basedOn w:val="1"/>
    <w:next w:val="1"/>
    <w:qFormat/>
    <w:uiPriority w:val="0"/>
    <w:rPr>
      <w:rFonts w:eastAsia="仿宋_GB2312"/>
      <w:sz w:val="24"/>
      <w:szCs w:val="24"/>
    </w:rPr>
  </w:style>
  <w:style w:type="paragraph" w:styleId="6">
    <w:name w:val="toc 3"/>
    <w:basedOn w:val="7"/>
    <w:next w:val="1"/>
    <w:qFormat/>
    <w:uiPriority w:val="0"/>
    <w:pPr>
      <w:snapToGrid w:val="0"/>
      <w:spacing w:line="400" w:lineRule="atLeast"/>
      <w:ind w:left="840" w:leftChars="400"/>
    </w:pPr>
    <w:rPr>
      <w:rFonts w:asciiTheme="minorAscii" w:hAnsiTheme="minorAscii"/>
      <w:sz w:val="24"/>
      <w:szCs w:val="22"/>
    </w:rPr>
  </w:style>
  <w:style w:type="paragraph" w:styleId="7">
    <w:name w:val="Body Text 2"/>
    <w:basedOn w:val="1"/>
    <w:qFormat/>
    <w:uiPriority w:val="0"/>
    <w:pPr>
      <w:spacing w:after="120" w:afterLines="0" w:afterAutospacing="0" w:line="480" w:lineRule="auto"/>
    </w:pPr>
  </w:style>
  <w:style w:type="paragraph" w:styleId="8">
    <w:name w:val="toc 1"/>
    <w:basedOn w:val="9"/>
    <w:next w:val="9"/>
    <w:qFormat/>
    <w:uiPriority w:val="0"/>
    <w:pPr>
      <w:spacing w:line="600" w:lineRule="exact"/>
    </w:pPr>
    <w:rPr>
      <w:rFonts w:ascii="方正小标宋简体" w:hAnsi="方正小标宋简体" w:eastAsia="方正小标宋简体"/>
      <w:b w:val="0"/>
      <w:sz w:val="44"/>
      <w:szCs w:val="32"/>
    </w:rPr>
  </w:style>
  <w:style w:type="paragraph" w:styleId="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b8c91360-acd1-427a-83a5-70879f3d0744</errorID>
      <errorWord>技</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4057B2C8</paraID>
      <start>100</start>
      <end>101</end>
      <status>ignored</status>
      <modifiedWord/>
      <trackRevisions>false</trackRevisions>
    </reviewItem>
  </reviewItems>
  <config/>
</contractReview>
</file>

<file path=customXml/itemProps1.xml><?xml version="1.0" encoding="utf-8"?>
<ds:datastoreItem xmlns:ds="http://schemas.openxmlformats.org/officeDocument/2006/customXml" ds:itemID="{5bb84036-6bd9-4fc2-93ea-6473bcafef19}">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Pages>
  <Words>1639</Words>
  <Characters>1682</Characters>
  <Lines>0</Lines>
  <Paragraphs>0</Paragraphs>
  <TotalTime>3</TotalTime>
  <ScaleCrop>false</ScaleCrop>
  <LinksUpToDate>false</LinksUpToDate>
  <CharactersWithSpaces>1746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雯</cp:lastModifiedBy>
  <cp:lastPrinted>2026-05-26T07:32:00Z</cp:lastPrinted>
  <dcterms:modified xsi:type="dcterms:W3CDTF">2026-05-27T03:12:52Z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55F96CDE382E4D6088D296BE1D7737F8_13</vt:lpwstr>
  </property>
  <property fmtid="{D5CDD505-2E9C-101B-9397-08002B2CF9AE}" pid="4" name="KSOTemplateDocerSaveRecord">
    <vt:lpwstr>eyJoZGlkIjoiYTA5YjA4MTI5ZWNkMDE1MjA2ZmNiM2JlOGZiNDQxNTkiLCJ1c2VySWQiOiIyODA4NjAyNjcifQ==</vt:lpwstr>
  </property>
</Properties>
</file>