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F8193">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小标宋简体" w:hAnsi="方正小标宋简体" w:eastAsia="方正小标宋简体" w:cs="方正小标宋简体"/>
          <w:b w:val="0"/>
          <w:bCs/>
          <w:snapToGrid/>
          <w:sz w:val="44"/>
          <w:szCs w:val="44"/>
        </w:rPr>
      </w:pPr>
      <w:bookmarkStart w:id="13" w:name="_GoBack"/>
      <w:bookmarkStart w:id="0" w:name="_Toc2137"/>
      <w:bookmarkStart w:id="1" w:name="_Toc31737"/>
      <w:bookmarkStart w:id="2" w:name="_Toc7927"/>
      <w:bookmarkStart w:id="3" w:name="_Toc20470"/>
      <w:bookmarkStart w:id="4" w:name="_Toc5194"/>
      <w:bookmarkStart w:id="5" w:name="_Toc9426"/>
      <w:bookmarkStart w:id="6" w:name="_Toc20690"/>
      <w:bookmarkStart w:id="7" w:name="_Toc2908"/>
      <w:bookmarkStart w:id="8" w:name="_Toc26219"/>
      <w:bookmarkStart w:id="9" w:name="_Toc13683"/>
      <w:r>
        <w:rPr>
          <w:rFonts w:hint="eastAsia" w:ascii="方正小标宋简体" w:hAnsi="方正小标宋简体" w:eastAsia="方正小标宋简体" w:cs="方正小标宋简体"/>
          <w:b w:val="0"/>
          <w:bCs/>
          <w:snapToGrid/>
          <w:sz w:val="44"/>
          <w:szCs w:val="44"/>
          <w:lang w:val="en-US" w:eastAsia="zh-CN"/>
        </w:rPr>
        <w:t>陕西杨凌</w:t>
      </w:r>
      <w:r>
        <w:rPr>
          <w:rFonts w:hint="eastAsia" w:ascii="方正小标宋简体" w:hAnsi="方正小标宋简体" w:eastAsia="方正小标宋简体" w:cs="方正小标宋简体"/>
          <w:b w:val="0"/>
          <w:bCs/>
          <w:snapToGrid/>
          <w:sz w:val="44"/>
          <w:szCs w:val="44"/>
        </w:rPr>
        <w:t>陕西玖益包装有限公司</w:t>
      </w:r>
    </w:p>
    <w:p w14:paraId="0D74DE4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小标宋简体" w:hAnsi="方正小标宋简体" w:eastAsia="方正小标宋简体" w:cs="方正小标宋简体"/>
          <w:bCs/>
          <w:color w:val="000000"/>
          <w:sz w:val="44"/>
          <w:szCs w:val="44"/>
          <w:lang w:val="en-US" w:eastAsia="zh-CN"/>
        </w:rPr>
      </w:pPr>
      <w:r>
        <w:rPr>
          <w:rFonts w:hint="eastAsia" w:ascii="方正小标宋简体" w:hAnsi="方正小标宋简体" w:eastAsia="方正小标宋简体" w:cs="方正小标宋简体"/>
          <w:b w:val="0"/>
          <w:bCs/>
          <w:snapToGrid/>
          <w:sz w:val="44"/>
          <w:szCs w:val="44"/>
        </w:rPr>
        <w:t>“7•14”</w:t>
      </w:r>
      <w:bookmarkEnd w:id="0"/>
      <w:bookmarkEnd w:id="1"/>
      <w:bookmarkEnd w:id="2"/>
      <w:bookmarkStart w:id="10" w:name="_Toc23315"/>
      <w:bookmarkStart w:id="11" w:name="_Toc1960"/>
      <w:bookmarkStart w:id="12" w:name="_Toc29087"/>
      <w:r>
        <w:rPr>
          <w:rFonts w:hint="eastAsia" w:ascii="方正小标宋简体" w:hAnsi="方正小标宋简体" w:eastAsia="方正小标宋简体" w:cs="方正小标宋简体"/>
          <w:b w:val="0"/>
          <w:bCs/>
          <w:snapToGrid/>
          <w:sz w:val="44"/>
          <w:szCs w:val="44"/>
          <w:lang w:val="en-US" w:eastAsia="zh-CN"/>
        </w:rPr>
        <w:t>一般</w:t>
      </w:r>
      <w:r>
        <w:rPr>
          <w:rFonts w:hint="eastAsia" w:ascii="方正小标宋简体" w:hAnsi="方正小标宋简体" w:eastAsia="方正小标宋简体" w:cs="方正小标宋简体"/>
          <w:b w:val="0"/>
          <w:bCs/>
          <w:snapToGrid/>
          <w:sz w:val="44"/>
          <w:szCs w:val="44"/>
        </w:rPr>
        <w:t>触电事故调查报告</w:t>
      </w:r>
      <w:bookmarkEnd w:id="3"/>
      <w:bookmarkEnd w:id="4"/>
      <w:bookmarkEnd w:id="5"/>
      <w:bookmarkEnd w:id="6"/>
      <w:bookmarkEnd w:id="7"/>
      <w:bookmarkEnd w:id="8"/>
      <w:bookmarkEnd w:id="9"/>
      <w:bookmarkEnd w:id="10"/>
      <w:bookmarkEnd w:id="11"/>
      <w:bookmarkEnd w:id="12"/>
      <w:r>
        <w:rPr>
          <w:rFonts w:hint="eastAsia" w:ascii="方正小标宋简体" w:hAnsi="方正小标宋简体" w:eastAsia="方正小标宋简体" w:cs="方正小标宋简体"/>
          <w:bCs/>
          <w:color w:val="000000"/>
          <w:sz w:val="44"/>
          <w:szCs w:val="44"/>
          <w:lang w:val="en-US" w:eastAsia="zh-CN"/>
        </w:rPr>
        <w:t>防范和整改</w:t>
      </w:r>
    </w:p>
    <w:p w14:paraId="622ECD2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hint="eastAsia" w:ascii="方正小标宋简体" w:hAnsi="方正小标宋简体" w:eastAsia="方正小标宋简体" w:cs="方正小标宋简体"/>
          <w:bCs/>
          <w:color w:val="000000"/>
          <w:sz w:val="44"/>
          <w:szCs w:val="44"/>
          <w:lang w:val="en-US" w:eastAsia="zh-CN"/>
        </w:rPr>
      </w:pPr>
      <w:r>
        <w:rPr>
          <w:rFonts w:hint="eastAsia" w:ascii="方正小标宋简体" w:hAnsi="方正小标宋简体" w:eastAsia="方正小标宋简体" w:cs="方正小标宋简体"/>
          <w:bCs/>
          <w:color w:val="000000"/>
          <w:sz w:val="44"/>
          <w:szCs w:val="44"/>
          <w:lang w:val="en-US" w:eastAsia="zh-CN"/>
        </w:rPr>
        <w:t>措施落实情况评估报告</w:t>
      </w:r>
    </w:p>
    <w:bookmarkEnd w:id="13"/>
    <w:p w14:paraId="4B99A310">
      <w:pPr>
        <w:rPr>
          <w:rFonts w:hint="eastAsia" w:ascii="仿宋_GB2312" w:hAnsi="仿宋_GB2312" w:eastAsia="仿宋_GB2312" w:cs="仿宋_GB2312"/>
          <w:sz w:val="32"/>
          <w:szCs w:val="40"/>
        </w:rPr>
      </w:pPr>
    </w:p>
    <w:p w14:paraId="749321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根据《国务院安委会办公室关于印发生产安全事故防范和整改措施落实情况评估办法的通知》（安委办〔2021〕4号）有关规定，</w:t>
      </w:r>
      <w:r>
        <w:rPr>
          <w:rFonts w:hint="eastAsia" w:ascii="仿宋_GB2312" w:hAnsi="仿宋_GB2312" w:eastAsia="仿宋_GB2312" w:cs="仿宋_GB2312"/>
          <w:sz w:val="32"/>
          <w:szCs w:val="40"/>
          <w:lang w:eastAsia="zh-CN"/>
        </w:rPr>
        <w:t>杨陵区应急管理局</w:t>
      </w:r>
      <w:r>
        <w:rPr>
          <w:rFonts w:hint="eastAsia" w:ascii="仿宋_GB2312" w:hAnsi="仿宋_GB2312" w:eastAsia="仿宋_GB2312" w:cs="仿宋_GB2312"/>
          <w:sz w:val="32"/>
          <w:szCs w:val="40"/>
        </w:rPr>
        <w:t>组织</w:t>
      </w:r>
      <w:r>
        <w:rPr>
          <w:rFonts w:hint="eastAsia" w:ascii="仿宋_GB2312" w:hAnsi="仿宋_GB2312" w:eastAsia="仿宋_GB2312" w:cs="仿宋_GB2312"/>
          <w:sz w:val="32"/>
          <w:szCs w:val="40"/>
          <w:lang w:eastAsia="zh-CN"/>
        </w:rPr>
        <w:t>相关执法人员</w:t>
      </w:r>
      <w:r>
        <w:rPr>
          <w:rFonts w:hint="eastAsia" w:ascii="仿宋_GB2312" w:hAnsi="仿宋_GB2312" w:eastAsia="仿宋_GB2312" w:cs="仿宋_GB2312"/>
          <w:sz w:val="32"/>
          <w:szCs w:val="40"/>
        </w:rPr>
        <w:t>成立了陕西杨凌陕西玖益包装有限公司“7•14”一般触电事故调查报告防范和整改措施落实情况评估工作组（以下简称事故评估组）</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现将</w:t>
      </w:r>
      <w:r>
        <w:rPr>
          <w:rFonts w:hint="eastAsia" w:ascii="仿宋_GB2312" w:hAnsi="仿宋_GB2312" w:eastAsia="仿宋_GB2312" w:cs="仿宋_GB2312"/>
          <w:sz w:val="32"/>
          <w:szCs w:val="40"/>
          <w:lang w:eastAsia="zh-CN"/>
        </w:rPr>
        <w:t>具体</w:t>
      </w:r>
      <w:r>
        <w:rPr>
          <w:rFonts w:hint="eastAsia" w:ascii="仿宋_GB2312" w:hAnsi="仿宋_GB2312" w:eastAsia="仿宋_GB2312" w:cs="仿宋_GB2312"/>
          <w:sz w:val="32"/>
          <w:szCs w:val="40"/>
        </w:rPr>
        <w:t>评估</w:t>
      </w:r>
      <w:r>
        <w:rPr>
          <w:rFonts w:hint="eastAsia" w:ascii="仿宋_GB2312" w:hAnsi="仿宋_GB2312" w:eastAsia="仿宋_GB2312" w:cs="仿宋_GB2312"/>
          <w:sz w:val="32"/>
          <w:szCs w:val="40"/>
          <w:lang w:eastAsia="zh-CN"/>
        </w:rPr>
        <w:t>情况</w:t>
      </w:r>
      <w:r>
        <w:rPr>
          <w:rFonts w:hint="eastAsia" w:ascii="仿宋_GB2312" w:hAnsi="仿宋_GB2312" w:eastAsia="仿宋_GB2312" w:cs="仿宋_GB2312"/>
          <w:sz w:val="32"/>
          <w:szCs w:val="40"/>
        </w:rPr>
        <w:t>报告如下：</w:t>
      </w:r>
    </w:p>
    <w:p w14:paraId="1D63E98D">
      <w:pPr>
        <w:pStyle w:val="2"/>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事故概况</w:t>
      </w:r>
    </w:p>
    <w:p w14:paraId="1B87A9D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Calibri" w:eastAsia="仿宋_GB2312" w:cs="Times New Roman"/>
          <w:snapToGrid/>
          <w:sz w:val="32"/>
          <w:szCs w:val="32"/>
          <w:shd w:val="clear" w:color="auto" w:fill="FFFFFF"/>
        </w:rPr>
        <w:t>2023年</w:t>
      </w:r>
      <w:r>
        <w:rPr>
          <w:rFonts w:hint="eastAsia" w:ascii="仿宋_GB2312" w:hAnsi="Calibri" w:eastAsia="仿宋_GB2312" w:cs="Times New Roman"/>
          <w:snapToGrid/>
          <w:sz w:val="32"/>
          <w:szCs w:val="32"/>
        </w:rPr>
        <w:t>7月14日16时45分许，</w:t>
      </w:r>
      <w:r>
        <w:rPr>
          <w:rFonts w:hint="eastAsia" w:ascii="仿宋_GB2312" w:hAnsi="Calibri" w:eastAsia="仿宋_GB2312" w:cs="Times New Roman"/>
          <w:snapToGrid/>
          <w:sz w:val="32"/>
          <w:szCs w:val="32"/>
          <w:shd w:val="clear" w:color="auto" w:fill="FFFFFF"/>
        </w:rPr>
        <w:t>杨陵区李台街道火炬创业园H区5号厂房陕西玖益包装有限公司</w:t>
      </w:r>
      <w:r>
        <w:rPr>
          <w:rFonts w:hint="eastAsia" w:ascii="仿宋_GB2312" w:hAnsi="Calibri" w:eastAsia="仿宋_GB2312" w:cs="Times New Roman"/>
          <w:snapToGrid/>
          <w:sz w:val="32"/>
          <w:szCs w:val="32"/>
          <w:shd w:val="clear" w:color="auto" w:fill="FFFFFF"/>
          <w:lang w:eastAsia="zh-CN"/>
        </w:rPr>
        <w:t>一普工用</w:t>
      </w:r>
      <w:r>
        <w:rPr>
          <w:rFonts w:hint="eastAsia" w:ascii="仿宋_GB2312" w:hAnsi="Calibri" w:eastAsia="仿宋_GB2312" w:cs="Times New Roman"/>
          <w:snapToGrid/>
          <w:sz w:val="32"/>
          <w:szCs w:val="32"/>
          <w:highlight w:val="none"/>
          <w:shd w:val="clear" w:color="auto" w:fill="FFFFFF"/>
          <w:lang w:val="en-US" w:eastAsia="zh-CN"/>
        </w:rPr>
        <w:t>高压水枪</w:t>
      </w:r>
      <w:r>
        <w:rPr>
          <w:rFonts w:hint="eastAsia" w:ascii="仿宋_GB2312" w:hAnsi="Calibri" w:eastAsia="仿宋_GB2312" w:cs="Times New Roman"/>
          <w:snapToGrid/>
          <w:sz w:val="32"/>
          <w:szCs w:val="32"/>
        </w:rPr>
        <w:t>清洗托盘</w:t>
      </w:r>
      <w:r>
        <w:rPr>
          <w:rFonts w:hint="eastAsia" w:ascii="仿宋_GB2312" w:hAnsi="Calibri" w:eastAsia="仿宋_GB2312" w:cs="Times New Roman"/>
          <w:snapToGrid/>
          <w:sz w:val="32"/>
          <w:szCs w:val="32"/>
          <w:lang w:eastAsia="zh-CN"/>
        </w:rPr>
        <w:t>时</w:t>
      </w:r>
      <w:r>
        <w:rPr>
          <w:rFonts w:hint="eastAsia" w:ascii="仿宋_GB2312" w:hAnsi="Calibri" w:eastAsia="仿宋_GB2312" w:cs="Times New Roman"/>
          <w:snapToGrid/>
          <w:sz w:val="32"/>
          <w:szCs w:val="32"/>
          <w:shd w:val="clear" w:color="auto" w:fill="FFFFFF"/>
        </w:rPr>
        <w:t>发生</w:t>
      </w:r>
      <w:r>
        <w:rPr>
          <w:rFonts w:hint="eastAsia" w:ascii="仿宋_GB2312" w:hAnsi="Calibri" w:eastAsia="仿宋_GB2312" w:cs="Times New Roman"/>
          <w:snapToGrid/>
          <w:sz w:val="32"/>
          <w:szCs w:val="32"/>
          <w:shd w:val="clear" w:color="auto" w:fill="FFFFFF"/>
          <w:lang w:val="en-US" w:eastAsia="zh-CN"/>
        </w:rPr>
        <w:t>触电</w:t>
      </w:r>
      <w:r>
        <w:rPr>
          <w:rFonts w:hint="eastAsia" w:ascii="仿宋_GB2312" w:hAnsi="Calibri" w:eastAsia="仿宋_GB2312" w:cs="Times New Roman"/>
          <w:snapToGrid/>
          <w:sz w:val="32"/>
          <w:szCs w:val="32"/>
          <w:shd w:val="clear" w:color="auto" w:fill="FFFFFF"/>
        </w:rPr>
        <w:t>，造成1人死亡，</w:t>
      </w:r>
      <w:r>
        <w:rPr>
          <w:rFonts w:hint="eastAsia" w:ascii="仿宋_GB2312" w:hAnsi="Calibri" w:eastAsia="仿宋_GB2312" w:cs="Times New Roman"/>
          <w:snapToGrid/>
          <w:sz w:val="32"/>
          <w:szCs w:val="32"/>
          <w:highlight w:val="none"/>
          <w:shd w:val="clear" w:color="auto" w:fill="FFFFFF"/>
        </w:rPr>
        <w:t>直接经济损失</w:t>
      </w:r>
      <w:r>
        <w:rPr>
          <w:rFonts w:hint="eastAsia" w:ascii="仿宋_GB2312" w:hAnsi="Calibri" w:eastAsia="仿宋_GB2312" w:cs="Times New Roman"/>
          <w:snapToGrid/>
          <w:sz w:val="32"/>
          <w:szCs w:val="32"/>
          <w:highlight w:val="none"/>
          <w:shd w:val="clear" w:color="auto" w:fill="FFFFFF"/>
          <w:lang w:eastAsia="zh-CN"/>
        </w:rPr>
        <w:t>约</w:t>
      </w:r>
      <w:r>
        <w:rPr>
          <w:rFonts w:hint="eastAsia" w:ascii="仿宋_GB2312" w:hAnsi="Calibri" w:eastAsia="仿宋_GB2312" w:cs="Times New Roman"/>
          <w:snapToGrid/>
          <w:sz w:val="32"/>
          <w:szCs w:val="32"/>
          <w:highlight w:val="none"/>
          <w:shd w:val="clear" w:color="auto" w:fill="FFFFFF"/>
        </w:rPr>
        <w:t>120万元</w:t>
      </w:r>
      <w:r>
        <w:rPr>
          <w:rFonts w:hint="eastAsia" w:ascii="仿宋_GB2312" w:hAnsi="仿宋_GB2312" w:eastAsia="仿宋_GB2312" w:cs="仿宋_GB2312"/>
          <w:i w:val="0"/>
          <w:caps w:val="0"/>
          <w:color w:val="000000"/>
          <w:spacing w:val="0"/>
          <w:sz w:val="32"/>
          <w:szCs w:val="32"/>
          <w:shd w:val="clear" w:color="auto" w:fill="FFFFFF"/>
          <w:lang w:eastAsia="zh-CN"/>
        </w:rPr>
        <w:t>。事发后，</w:t>
      </w:r>
      <w:r>
        <w:rPr>
          <w:rFonts w:hint="eastAsia" w:ascii="仿宋_GB2312" w:hAnsi="仿宋_GB2312" w:eastAsia="仿宋_GB2312" w:cs="仿宋_GB2312"/>
          <w:b w:val="0"/>
          <w:bCs w:val="0"/>
          <w:i w:val="0"/>
          <w:caps w:val="0"/>
          <w:color w:val="000000"/>
          <w:spacing w:val="0"/>
          <w:sz w:val="32"/>
          <w:szCs w:val="32"/>
          <w:shd w:val="clear" w:color="auto" w:fill="FFFFFF"/>
        </w:rPr>
        <w:t>经</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杨陵区人民</w:t>
      </w:r>
      <w:r>
        <w:rPr>
          <w:rFonts w:hint="eastAsia" w:ascii="仿宋_GB2312" w:hAnsi="仿宋_GB2312" w:eastAsia="仿宋_GB2312" w:cs="仿宋_GB2312"/>
          <w:b w:val="0"/>
          <w:bCs w:val="0"/>
          <w:i w:val="0"/>
          <w:caps w:val="0"/>
          <w:color w:val="000000"/>
          <w:spacing w:val="0"/>
          <w:sz w:val="32"/>
          <w:szCs w:val="32"/>
          <w:shd w:val="clear" w:color="auto" w:fill="FFFFFF"/>
        </w:rPr>
        <w:t>政府批准，成立了由</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示范区应急管理局、区</w:t>
      </w:r>
      <w:r>
        <w:rPr>
          <w:rFonts w:hint="eastAsia" w:ascii="仿宋_GB2312" w:hAnsi="仿宋_GB2312" w:eastAsia="仿宋_GB2312" w:cs="仿宋_GB2312"/>
          <w:b w:val="0"/>
          <w:bCs w:val="0"/>
          <w:i w:val="0"/>
          <w:caps w:val="0"/>
          <w:color w:val="000000"/>
          <w:spacing w:val="0"/>
          <w:sz w:val="32"/>
          <w:szCs w:val="32"/>
          <w:shd w:val="clear" w:color="auto" w:fill="FFFFFF"/>
        </w:rPr>
        <w:t>总工会</w:t>
      </w:r>
      <w:r>
        <w:rPr>
          <w:rFonts w:hint="eastAsia" w:ascii="仿宋_GB2312" w:hAnsi="仿宋_GB2312" w:eastAsia="仿宋_GB2312" w:cs="仿宋_GB2312"/>
          <w:b w:val="0"/>
          <w:bCs w:val="0"/>
          <w:i w:val="0"/>
          <w:caps w:val="0"/>
          <w:color w:val="000000"/>
          <w:spacing w:val="0"/>
          <w:sz w:val="32"/>
          <w:szCs w:val="32"/>
          <w:shd w:val="clear" w:color="auto" w:fill="FFFFFF"/>
          <w:lang w:eastAsia="zh-CN"/>
        </w:rPr>
        <w:t>、区</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应急管理局、区公安分局</w:t>
      </w:r>
      <w:r>
        <w:rPr>
          <w:rFonts w:hint="eastAsia" w:ascii="仿宋_GB2312" w:hAnsi="仿宋_GB2312" w:eastAsia="仿宋_GB2312" w:cs="仿宋_GB2312"/>
          <w:b w:val="0"/>
          <w:bCs w:val="0"/>
          <w:i w:val="0"/>
          <w:caps w:val="0"/>
          <w:color w:val="000000"/>
          <w:spacing w:val="0"/>
          <w:sz w:val="32"/>
          <w:szCs w:val="32"/>
          <w:shd w:val="clear" w:color="auto" w:fill="FFFFFF"/>
        </w:rPr>
        <w:t>、</w:t>
      </w:r>
      <w:r>
        <w:rPr>
          <w:rFonts w:hint="eastAsia" w:ascii="仿宋_GB2312" w:hAnsi="仿宋_GB2312" w:eastAsia="仿宋_GB2312" w:cs="仿宋_GB2312"/>
          <w:b w:val="0"/>
          <w:bCs w:val="0"/>
          <w:i w:val="0"/>
          <w:caps w:val="0"/>
          <w:color w:val="000000"/>
          <w:spacing w:val="0"/>
          <w:sz w:val="32"/>
          <w:szCs w:val="32"/>
          <w:shd w:val="clear" w:color="auto" w:fill="FFFFFF"/>
          <w:lang w:eastAsia="zh-CN"/>
        </w:rPr>
        <w:t>区检察院、</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李台街道办、供电公司等单位工作人员和</w:t>
      </w:r>
      <w:r>
        <w:rPr>
          <w:rFonts w:hint="eastAsia" w:ascii="仿宋_GB2312" w:hAnsi="仿宋_GB2312" w:eastAsia="仿宋_GB2312" w:cs="仿宋_GB2312"/>
          <w:b w:val="0"/>
          <w:bCs w:val="0"/>
          <w:i w:val="0"/>
          <w:caps w:val="0"/>
          <w:color w:val="000000"/>
          <w:spacing w:val="0"/>
          <w:sz w:val="32"/>
          <w:szCs w:val="32"/>
          <w:shd w:val="clear" w:color="auto" w:fill="FFFFFF"/>
        </w:rPr>
        <w:t>相关专家</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为成员的</w:t>
      </w:r>
      <w:r>
        <w:rPr>
          <w:rFonts w:hint="eastAsia" w:ascii="仿宋_GB2312" w:hAnsi="仿宋_GB2312" w:eastAsia="仿宋_GB2312" w:cs="仿宋_GB2312"/>
          <w:i w:val="0"/>
          <w:caps w:val="0"/>
          <w:color w:val="333333"/>
          <w:spacing w:val="0"/>
          <w:sz w:val="32"/>
          <w:szCs w:val="32"/>
          <w:shd w:val="clear" w:color="auto" w:fill="FFFFFF"/>
        </w:rPr>
        <w:t>事故</w:t>
      </w:r>
      <w:r>
        <w:rPr>
          <w:rFonts w:hint="eastAsia" w:ascii="仿宋_GB2312" w:hAnsi="仿宋_GB2312" w:eastAsia="仿宋_GB2312" w:cs="仿宋_GB2312"/>
          <w:b w:val="0"/>
          <w:bCs w:val="0"/>
          <w:i w:val="0"/>
          <w:caps w:val="0"/>
          <w:color w:val="000000"/>
          <w:spacing w:val="0"/>
          <w:sz w:val="32"/>
          <w:szCs w:val="32"/>
          <w:shd w:val="clear" w:color="auto" w:fill="FFFFFF"/>
        </w:rPr>
        <w:t>调查组</w:t>
      </w:r>
      <w:r>
        <w:rPr>
          <w:rFonts w:hint="eastAsia" w:ascii="仿宋_GB2312" w:hAnsi="仿宋_GB2312" w:eastAsia="仿宋_GB2312" w:cs="仿宋_GB2312"/>
          <w:b w:val="0"/>
          <w:bCs w:val="0"/>
          <w:i w:val="0"/>
          <w:caps w:val="0"/>
          <w:color w:val="000000"/>
          <w:spacing w:val="0"/>
          <w:sz w:val="32"/>
          <w:szCs w:val="32"/>
          <w:shd w:val="clear" w:color="auto" w:fill="FFFFFF"/>
          <w:lang w:eastAsia="zh-CN"/>
        </w:rPr>
        <w:t>，</w:t>
      </w:r>
      <w:r>
        <w:rPr>
          <w:rFonts w:hint="eastAsia" w:ascii="仿宋_GB2312" w:hAnsi="仿宋_GB2312" w:eastAsia="仿宋_GB2312" w:cs="仿宋_GB2312"/>
          <w:b w:val="0"/>
          <w:bCs w:val="0"/>
          <w:i w:val="0"/>
          <w:caps w:val="0"/>
          <w:color w:val="000000"/>
          <w:spacing w:val="0"/>
          <w:sz w:val="32"/>
          <w:szCs w:val="32"/>
          <w:shd w:val="clear" w:color="auto" w:fill="FFFFFF"/>
        </w:rPr>
        <w:t>依法开展事故调查工作。</w:t>
      </w:r>
      <w:r>
        <w:rPr>
          <w:rFonts w:hint="eastAsia" w:ascii="仿宋_GB2312" w:hAnsi="仿宋_GB2312" w:eastAsia="仿宋_GB2312" w:cs="仿宋_GB2312"/>
          <w:b w:val="0"/>
          <w:bCs w:val="0"/>
          <w:i w:val="0"/>
          <w:caps w:val="0"/>
          <w:color w:val="000000"/>
          <w:spacing w:val="0"/>
          <w:sz w:val="32"/>
          <w:szCs w:val="32"/>
          <w:shd w:val="clear" w:color="auto" w:fill="FFFFFF"/>
          <w:lang w:eastAsia="zh-CN"/>
        </w:rPr>
        <w:t>因事故取证涉及多家单位、事故原因需进行检测，</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区应急局提交了延期事故报告提交时间的申请，区政府批复同意延期到10月14日。</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经事故调查组成员审议签字确认后，10月12日，区应急局向区政府提交了事故调查报告，11月7日，区政府批复同意事故调查报告。</w:t>
      </w:r>
    </w:p>
    <w:p w14:paraId="43B7A0F3">
      <w:pPr>
        <w:pStyle w:val="2"/>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评估工作组织及开展情况</w:t>
      </w:r>
    </w:p>
    <w:p w14:paraId="7F11CA07">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由区应急管理局组织相关执法人员组成评估组，依据《陕西杨凌陕西玖益包装有限公司“7•14”一般触电事故调查报告》（以下简称“事故调查报告”），综合采取资料审查、座谈问询、查阅相关文件和听取汇报等方式，对事故责任单位和责任人员行政处罚建议落实情况、有关部门单位和人员责任追究落实情况、事故防范措施落实情况进行了综合评估。</w:t>
      </w:r>
    </w:p>
    <w:p w14:paraId="666D1067">
      <w:pPr>
        <w:pStyle w:val="2"/>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责任追究落实情况</w:t>
      </w:r>
    </w:p>
    <w:p w14:paraId="687AE61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kern w:val="2"/>
          <w:sz w:val="32"/>
          <w:szCs w:val="40"/>
          <w:lang w:val="en-US" w:eastAsia="zh-CN" w:bidi="ar-SA"/>
        </w:rPr>
        <w:t>一是</w:t>
      </w:r>
      <w:r>
        <w:rPr>
          <w:rFonts w:hint="eastAsia" w:ascii="仿宋_GB2312" w:hAnsi="仿宋_GB2312" w:eastAsia="仿宋_GB2312" w:cs="仿宋_GB2312"/>
          <w:sz w:val="32"/>
          <w:szCs w:val="32"/>
          <w:lang w:val="en-US" w:eastAsia="zh-CN"/>
        </w:rPr>
        <w:t>李台街道办2023年12月向区政府提交书面检查，深刻反思属地监管存在的不足，并举一反三提出持续做好辖区安全生产监管的4项措施；杨凌示范区创新创业园发展有限公司属于杨凌示范区国有企业，2023年12月区应急管理局向示范区安委办发函，请示范区安委办按照程序对其进行处理。</w:t>
      </w:r>
      <w:r>
        <w:rPr>
          <w:rFonts w:hint="eastAsia" w:ascii="仿宋_GB2312" w:hAnsi="仿宋_GB2312" w:eastAsia="仿宋_GB2312" w:cs="仿宋_GB2312"/>
          <w:b/>
          <w:bCs/>
          <w:i w:val="0"/>
          <w:caps w:val="0"/>
          <w:color w:val="000000"/>
          <w:spacing w:val="0"/>
          <w:kern w:val="2"/>
          <w:sz w:val="32"/>
          <w:szCs w:val="32"/>
          <w:shd w:val="clear" w:color="auto" w:fill="FFFFFF"/>
          <w:lang w:val="en-US" w:eastAsia="zh-CN" w:bidi="ar-SA"/>
        </w:rPr>
        <w:t>二是</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对</w:t>
      </w:r>
      <w:r>
        <w:rPr>
          <w:rFonts w:hint="eastAsia" w:ascii="仿宋_GB2312" w:hAnsi="仿宋_GB2312" w:eastAsia="仿宋_GB2312" w:cs="仿宋_GB2312"/>
          <w:sz w:val="32"/>
          <w:szCs w:val="32"/>
        </w:rPr>
        <w:t>陕西玖益包装有限公司</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处人民币30万元罚款，对其法人郑某福处人民币38400元罚款，对其</w:t>
      </w:r>
      <w:r>
        <w:rPr>
          <w:rFonts w:hint="eastAsia" w:ascii="仿宋_GB2312" w:hAnsi="仿宋_GB2312" w:eastAsia="仿宋_GB2312" w:cs="仿宋_GB2312"/>
          <w:sz w:val="32"/>
          <w:szCs w:val="32"/>
        </w:rPr>
        <w:t>生产车间主任兼职安全管理人员周</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处人民币15720元罚款，截至2024年6月24日，上述罚款均已缴纳到位</w:t>
      </w:r>
      <w:r>
        <w:rPr>
          <w:rFonts w:hint="eastAsia" w:ascii="仿宋_GB2312" w:hAnsi="仿宋_GB2312" w:eastAsia="仿宋_GB2312" w:cs="仿宋_GB2312"/>
          <w:sz w:val="32"/>
          <w:szCs w:val="32"/>
          <w:lang w:eastAsia="zh-CN"/>
        </w:rPr>
        <w:t>。</w:t>
      </w:r>
    </w:p>
    <w:p w14:paraId="0A13C3E2">
      <w:pPr>
        <w:pStyle w:val="2"/>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事故防范和整改措施落实情况</w:t>
      </w:r>
    </w:p>
    <w:p w14:paraId="74838F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2024年7月11日，评估组采取现场检查、查阅资料、听取汇报等方式分别对李台街道办、杨凌示范区创新创业园发展有限公司、</w:t>
      </w:r>
      <w:r>
        <w:rPr>
          <w:rFonts w:hint="eastAsia" w:ascii="仿宋_GB2312" w:hAnsi="仿宋_GB2312" w:eastAsia="仿宋_GB2312" w:cs="仿宋_GB2312"/>
          <w:sz w:val="32"/>
          <w:szCs w:val="32"/>
        </w:rPr>
        <w:t>陕西玖益包装有限公司</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事故防范和整改措施落实情况进行评估，形成防范措施落实情况评估表</w:t>
      </w:r>
      <w:r>
        <w:rPr>
          <w:rFonts w:hint="eastAsia" w:ascii="仿宋_GB2312" w:hAnsi="仿宋_GB2312" w:eastAsia="仿宋_GB2312" w:cs="仿宋_GB2312"/>
          <w:sz w:val="32"/>
          <w:szCs w:val="32"/>
          <w:lang w:eastAsia="zh-CN"/>
        </w:rPr>
        <w:t>。</w:t>
      </w:r>
    </w:p>
    <w:p w14:paraId="03D35F13">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lang w:val="en-US" w:eastAsia="zh-CN"/>
        </w:rPr>
      </w:pPr>
      <w:r>
        <w:rPr>
          <w:rFonts w:hint="eastAsia"/>
          <w:lang w:val="en-US" w:eastAsia="zh-CN"/>
        </w:rPr>
        <w:t xml:space="preserve">      </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李台街道办定期对</w:t>
      </w:r>
      <w:r>
        <w:rPr>
          <w:rFonts w:hint="eastAsia" w:ascii="仿宋_GB2312" w:hAnsi="仿宋_GB2312" w:eastAsia="仿宋_GB2312" w:cs="仿宋_GB2312"/>
          <w:sz w:val="32"/>
          <w:szCs w:val="32"/>
        </w:rPr>
        <w:t>陕西玖益包装有限公司</w:t>
      </w:r>
      <w:r>
        <w:rPr>
          <w:rFonts w:hint="eastAsia" w:ascii="仿宋_GB2312" w:hAnsi="仿宋_GB2312" w:eastAsia="仿宋_GB2312" w:cs="仿宋_GB2312"/>
          <w:sz w:val="32"/>
          <w:szCs w:val="32"/>
          <w:lang w:eastAsia="zh-CN"/>
        </w:rPr>
        <w:t>进行隐患排查，并结合治本攻坚三年行动和重点领域专项整治，实行站所分片包抓制度，定期进行风险提示，进一步夯实安全生产监管责任，同时，举一反三，持续加大安全生产排查检查力度</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w:t>
      </w:r>
    </w:p>
    <w:p w14:paraId="54238016">
      <w:pPr>
        <w:pStyle w:val="2"/>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杨凌示范区创新创业园发展有限公司举一反三，与入驻企业签订安全生产目标责任书，明确双方安全生产职责，并与第三方安全技术服务公司签订协议，完善安全管理制度，定期对园区企业进行指导帮扶、开展隐患排查。</w:t>
      </w:r>
    </w:p>
    <w:p w14:paraId="4057B2C8">
      <w:pPr>
        <w:pStyle w:val="2"/>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陕西玖益包装有限公司</w:t>
      </w: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充分汲取事故教训，建立双重预防机制，进一步完善了企业安全管理制度，按照导则并经专家评审修订了应急预案，定期召开安全生产领导小组会议，组织新员工三级教育、日常培训教育和考核，定期开展隐患排查、建立台账、完成隐患整改闭环。</w:t>
      </w:r>
    </w:p>
    <w:p w14:paraId="12E3ECE6">
      <w:pPr>
        <w:pStyle w:val="2"/>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p>
    <w:p w14:paraId="2A1E6717">
      <w:pPr>
        <w:pStyle w:val="2"/>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 xml:space="preserve">             </w:t>
      </w:r>
    </w:p>
    <w:p w14:paraId="78CE9BB6">
      <w:pPr>
        <w:pStyle w:val="2"/>
        <w:keepNext w:val="0"/>
        <w:keepLines w:val="0"/>
        <w:pageBreakBefore w:val="0"/>
        <w:widowControl w:val="0"/>
        <w:numPr>
          <w:ilvl w:val="0"/>
          <w:numId w:val="0"/>
        </w:numPr>
        <w:kinsoku/>
        <w:wordWrap/>
        <w:overflowPunct/>
        <w:topLinePunct w:val="0"/>
        <w:autoSpaceDE/>
        <w:autoSpaceDN/>
        <w:bidi w:val="0"/>
        <w:adjustRightInd/>
        <w:snapToGrid/>
        <w:ind w:firstLine="3520" w:firstLineChars="11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陕西玖益包装有限公司“7•14”一般</w:t>
      </w:r>
    </w:p>
    <w:p w14:paraId="1417CAAE">
      <w:pPr>
        <w:pStyle w:val="2"/>
        <w:keepNext w:val="0"/>
        <w:keepLines w:val="0"/>
        <w:pageBreakBefore w:val="0"/>
        <w:widowControl w:val="0"/>
        <w:numPr>
          <w:ilvl w:val="0"/>
          <w:numId w:val="0"/>
        </w:numPr>
        <w:kinsoku/>
        <w:wordWrap/>
        <w:overflowPunct/>
        <w:topLinePunct w:val="0"/>
        <w:autoSpaceDE/>
        <w:autoSpaceDN/>
        <w:bidi w:val="0"/>
        <w:adjustRightInd/>
        <w:snapToGrid/>
        <w:ind w:firstLine="4160" w:firstLineChars="1300"/>
        <w:textAlignment w:val="auto"/>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sz w:val="32"/>
          <w:szCs w:val="40"/>
        </w:rPr>
        <w:t>触电事故评估工作组</w:t>
      </w:r>
      <w:r>
        <w:rPr>
          <w:rFonts w:hint="eastAsia" w:ascii="仿宋_GB2312" w:hAnsi="仿宋_GB2312" w:eastAsia="仿宋_GB2312" w:cs="仿宋_GB2312"/>
          <w:sz w:val="32"/>
          <w:szCs w:val="40"/>
          <w:lang w:eastAsia="zh-CN"/>
        </w:rPr>
        <w:t>（代章）</w:t>
      </w:r>
    </w:p>
    <w:p w14:paraId="0E337340">
      <w:pPr>
        <w:pStyle w:val="2"/>
        <w:keepNext w:val="0"/>
        <w:keepLines w:val="0"/>
        <w:pageBreakBefore w:val="0"/>
        <w:widowControl w:val="0"/>
        <w:numPr>
          <w:ilvl w:val="0"/>
          <w:numId w:val="0"/>
        </w:numPr>
        <w:kinsoku/>
        <w:wordWrap/>
        <w:overflowPunct/>
        <w:topLinePunct w:val="0"/>
        <w:autoSpaceDE/>
        <w:autoSpaceDN/>
        <w:bidi w:val="0"/>
        <w:adjustRightInd/>
        <w:snapToGrid/>
        <w:ind w:firstLine="640"/>
        <w:textAlignment w:val="auto"/>
        <w:rPr>
          <w:rFonts w:hint="default" w:ascii="仿宋_GB2312" w:hAnsi="仿宋_GB2312" w:eastAsia="仿宋_GB2312" w:cs="仿宋_GB2312"/>
          <w:b w:val="0"/>
          <w:bCs w:val="0"/>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000000"/>
          <w:spacing w:val="0"/>
          <w:kern w:val="2"/>
          <w:sz w:val="32"/>
          <w:szCs w:val="32"/>
          <w:shd w:val="clear" w:color="auto" w:fill="FFFFFF"/>
          <w:lang w:val="en-US" w:eastAsia="zh-CN" w:bidi="ar-SA"/>
        </w:rPr>
        <w:t xml:space="preserve">                           2024年7月15日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E5027"/>
    <w:multiLevelType w:val="singleLevel"/>
    <w:tmpl w:val="F35E50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CEB681D"/>
    <w:rsid w:val="1B1738D4"/>
    <w:rsid w:val="1DEB7BD0"/>
    <w:rsid w:val="2B4F1C9C"/>
    <w:rsid w:val="30D4689E"/>
    <w:rsid w:val="30DC5899"/>
    <w:rsid w:val="317A0E83"/>
    <w:rsid w:val="3BED6C5C"/>
    <w:rsid w:val="3E0A1623"/>
    <w:rsid w:val="417D2689"/>
    <w:rsid w:val="42D93A73"/>
    <w:rsid w:val="59147168"/>
    <w:rsid w:val="5F8D3732"/>
    <w:rsid w:val="62927262"/>
    <w:rsid w:val="691D7B3C"/>
    <w:rsid w:val="6B544084"/>
    <w:rsid w:val="70817DA4"/>
    <w:rsid w:val="72066EDA"/>
    <w:rsid w:val="75B035D9"/>
    <w:rsid w:val="76CC08B3"/>
    <w:rsid w:val="78925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jc w:val="center"/>
      <w:outlineLvl w:val="0"/>
    </w:pPr>
    <w:rPr>
      <w:rFonts w:ascii="方正小标宋简体" w:hAnsi="方正小标宋简体" w:eastAsia="方正小标宋简体" w:cs="方正小标宋简体"/>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line="560" w:lineRule="exact"/>
      <w:ind w:firstLine="200" w:firstLineChars="200"/>
    </w:pPr>
  </w:style>
  <w:style w:type="paragraph" w:styleId="4">
    <w:name w:val="Body Text"/>
    <w:basedOn w:val="1"/>
    <w:next w:val="1"/>
    <w:qFormat/>
    <w:uiPriority w:val="0"/>
    <w:rPr>
      <w:rFonts w:eastAsia="仿宋_GB2312"/>
      <w:sz w:val="24"/>
      <w:szCs w:val="24"/>
    </w:rPr>
  </w:style>
  <w:style w:type="paragraph" w:styleId="5">
    <w:name w:val="toc 3"/>
    <w:basedOn w:val="6"/>
    <w:next w:val="1"/>
    <w:qFormat/>
    <w:uiPriority w:val="0"/>
    <w:pPr>
      <w:snapToGrid w:val="0"/>
      <w:spacing w:line="400" w:lineRule="atLeast"/>
      <w:ind w:left="840" w:leftChars="400"/>
    </w:pPr>
    <w:rPr>
      <w:rFonts w:asciiTheme="minorAscii" w:hAnsiTheme="minorAscii"/>
      <w:sz w:val="24"/>
      <w:szCs w:val="22"/>
    </w:rPr>
  </w:style>
  <w:style w:type="paragraph" w:styleId="6">
    <w:name w:val="Body Text 2"/>
    <w:basedOn w:val="1"/>
    <w:qFormat/>
    <w:uiPriority w:val="0"/>
    <w:pPr>
      <w:spacing w:after="120" w:afterLines="0" w:afterAutospacing="0" w:line="480" w:lineRule="auto"/>
    </w:pPr>
  </w:style>
  <w:style w:type="paragraph" w:styleId="7">
    <w:name w:val="toc 1"/>
    <w:basedOn w:val="8"/>
    <w:next w:val="8"/>
    <w:qFormat/>
    <w:uiPriority w:val="0"/>
    <w:pPr>
      <w:spacing w:line="600" w:lineRule="exact"/>
    </w:pPr>
    <w:rPr>
      <w:rFonts w:ascii="方正小标宋简体" w:hAnsi="方正小标宋简体" w:eastAsia="方正小标宋简体"/>
      <w:b w:val="0"/>
      <w:sz w:val="44"/>
      <w:szCs w:val="32"/>
    </w:r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4fe4f240-3d1f-4f75-aff5-50e03ddae5c5}">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3</Pages>
  <Words>1331</Words>
  <Characters>1382</Characters>
  <Lines>0</Lines>
  <Paragraphs>0</Paragraphs>
  <TotalTime>12</TotalTime>
  <ScaleCrop>false</ScaleCrop>
  <LinksUpToDate>false</LinksUpToDate>
  <CharactersWithSpaces>1428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雯</cp:lastModifiedBy>
  <cp:lastPrinted>2025-10-31T06:40:00Z</cp:lastPrinted>
  <dcterms:modified xsi:type="dcterms:W3CDTF">2026-05-27T03:19:24Z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A3E6C1A6023F4A2B92C09E48929212EE_13</vt:lpwstr>
  </property>
  <property fmtid="{D5CDD505-2E9C-101B-9397-08002B2CF9AE}" pid="4" name="KSOTemplateDocerSaveRecord">
    <vt:lpwstr>eyJoZGlkIjoiYTA5YjA4MTI5ZWNkMDE1MjA2ZmNiM2JlOGZiNDQxNTkiLCJ1c2VySWQiOiIyODA4NjAyNjcifQ==</vt:lpwstr>
  </property>
</Properties>
</file>