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34"/>
        <w:gridCol w:w="1620"/>
        <w:gridCol w:w="1116"/>
        <w:gridCol w:w="1164"/>
        <w:gridCol w:w="888"/>
        <w:gridCol w:w="1860"/>
        <w:gridCol w:w="1584"/>
        <w:gridCol w:w="2052"/>
        <w:gridCol w:w="1620"/>
        <w:gridCol w:w="973"/>
      </w:tblGrid>
      <w:tr w14:paraId="2DE7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86" w:type="dxa"/>
            <w:gridSpan w:val="11"/>
          </w:tcPr>
          <w:p w14:paraId="2E286948">
            <w:pPr>
              <w:pStyle w:val="2"/>
              <w:jc w:val="center"/>
              <w:rPr>
                <w:rFonts w:hint="eastAsia" w:ascii="方正小标宋简体" w:eastAsia="方正小标宋简体"/>
                <w:sz w:val="36"/>
                <w:szCs w:val="36"/>
              </w:rPr>
            </w:pPr>
            <w:r>
              <w:rPr>
                <w:rFonts w:hint="eastAsia" w:ascii="方正小标宋简体" w:eastAsia="方正小标宋简体"/>
                <w:sz w:val="36"/>
                <w:szCs w:val="36"/>
              </w:rPr>
              <w:t>农业行政处罚案件信息公开表</w:t>
            </w:r>
          </w:p>
        </w:tc>
      </w:tr>
      <w:tr w14:paraId="1FA5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6" w:type="dxa"/>
            <w:gridSpan w:val="11"/>
            <w:vAlign w:val="center"/>
          </w:tcPr>
          <w:p w14:paraId="503230AB">
            <w:pPr>
              <w:pStyle w:val="2"/>
              <w:jc w:val="both"/>
            </w:pPr>
            <w:r>
              <w:t>单位：杨陵区农业农村局</w:t>
            </w:r>
            <w:r>
              <w:rPr>
                <w:rFonts w:hint="eastAsia"/>
              </w:rPr>
              <w:t xml:space="preserve">                                                                    时间：2026年6月</w:t>
            </w:r>
            <w:r>
              <w:rPr>
                <w:rFonts w:hint="eastAsia"/>
                <w:lang w:val="en-US" w:eastAsia="zh-CN"/>
              </w:rPr>
              <w:t>4</w:t>
            </w:r>
            <w:r>
              <w:rPr>
                <w:rFonts w:hint="eastAsia"/>
              </w:rPr>
              <w:t>日</w:t>
            </w:r>
          </w:p>
        </w:tc>
      </w:tr>
      <w:tr w14:paraId="0420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75" w:type="dxa"/>
            <w:vAlign w:val="center"/>
          </w:tcPr>
          <w:p w14:paraId="05FDB251">
            <w:pPr>
              <w:pStyle w:val="2"/>
              <w:jc w:val="center"/>
            </w:pPr>
            <w:r>
              <w:t>序号</w:t>
            </w:r>
          </w:p>
        </w:tc>
        <w:tc>
          <w:tcPr>
            <w:tcW w:w="834" w:type="dxa"/>
            <w:vAlign w:val="center"/>
          </w:tcPr>
          <w:p w14:paraId="62B85F45">
            <w:pPr>
              <w:pStyle w:val="2"/>
              <w:jc w:val="center"/>
            </w:pPr>
            <w:r>
              <w:t>行政处罚决定案号</w:t>
            </w:r>
          </w:p>
        </w:tc>
        <w:tc>
          <w:tcPr>
            <w:tcW w:w="1620" w:type="dxa"/>
            <w:vAlign w:val="center"/>
          </w:tcPr>
          <w:p w14:paraId="29C113F4">
            <w:pPr>
              <w:pStyle w:val="2"/>
              <w:jc w:val="center"/>
            </w:pPr>
            <w:r>
              <w:t>案件名称</w:t>
            </w:r>
          </w:p>
        </w:tc>
        <w:tc>
          <w:tcPr>
            <w:tcW w:w="1116" w:type="dxa"/>
            <w:vAlign w:val="center"/>
          </w:tcPr>
          <w:p w14:paraId="17C6B683">
            <w:pPr>
              <w:pStyle w:val="2"/>
              <w:jc w:val="center"/>
            </w:pPr>
            <w:r>
              <w:t>违法主体名称或姓名</w:t>
            </w:r>
          </w:p>
        </w:tc>
        <w:tc>
          <w:tcPr>
            <w:tcW w:w="1164" w:type="dxa"/>
            <w:vAlign w:val="center"/>
          </w:tcPr>
          <w:p w14:paraId="6E136476">
            <w:pPr>
              <w:pStyle w:val="2"/>
              <w:jc w:val="center"/>
            </w:pPr>
            <w:r>
              <w:t>违法企业组织机构代码</w:t>
            </w:r>
          </w:p>
        </w:tc>
        <w:tc>
          <w:tcPr>
            <w:tcW w:w="888" w:type="dxa"/>
            <w:vAlign w:val="center"/>
          </w:tcPr>
          <w:p w14:paraId="04183439">
            <w:pPr>
              <w:pStyle w:val="2"/>
              <w:jc w:val="center"/>
            </w:pPr>
            <w:r>
              <w:t>法定代</w:t>
            </w:r>
            <w:r>
              <w:rPr>
                <w:rFonts w:hint="eastAsia"/>
                <w:lang w:val="en-US" w:eastAsia="zh-CN"/>
              </w:rPr>
              <w:t>表</w:t>
            </w:r>
            <w:r>
              <w:t>人（负责人）</w:t>
            </w:r>
          </w:p>
        </w:tc>
        <w:tc>
          <w:tcPr>
            <w:tcW w:w="1860" w:type="dxa"/>
            <w:vAlign w:val="center"/>
          </w:tcPr>
          <w:p w14:paraId="4AFC310D">
            <w:pPr>
              <w:pStyle w:val="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宋体"/>
                <w:lang w:val="en-US" w:eastAsia="zh-CN"/>
              </w:rPr>
            </w:pPr>
            <w:r>
              <w:t>主要违法</w:t>
            </w:r>
            <w:r>
              <w:rPr>
                <w:rFonts w:hint="eastAsia"/>
                <w:lang w:val="en-US" w:eastAsia="zh-CN"/>
              </w:rPr>
              <w:t>事实</w:t>
            </w:r>
          </w:p>
        </w:tc>
        <w:tc>
          <w:tcPr>
            <w:tcW w:w="1584" w:type="dxa"/>
            <w:vAlign w:val="center"/>
          </w:tcPr>
          <w:p w14:paraId="0735711B">
            <w:pPr>
              <w:pStyle w:val="2"/>
              <w:keepNext w:val="0"/>
              <w:keepLines w:val="0"/>
              <w:pageBreakBefore w:val="0"/>
              <w:widowControl/>
              <w:kinsoku/>
              <w:wordWrap/>
              <w:overflowPunct/>
              <w:topLinePunct w:val="0"/>
              <w:autoSpaceDE/>
              <w:autoSpaceDN/>
              <w:bidi w:val="0"/>
              <w:adjustRightInd/>
              <w:snapToGrid/>
              <w:spacing w:line="400" w:lineRule="exact"/>
              <w:jc w:val="center"/>
              <w:textAlignment w:val="auto"/>
            </w:pPr>
            <w:r>
              <w:t>行政处罚种类和依据</w:t>
            </w:r>
          </w:p>
        </w:tc>
        <w:tc>
          <w:tcPr>
            <w:tcW w:w="2052" w:type="dxa"/>
            <w:vAlign w:val="center"/>
          </w:tcPr>
          <w:p w14:paraId="5B9008DB">
            <w:pPr>
              <w:pStyle w:val="2"/>
              <w:jc w:val="center"/>
            </w:pPr>
            <w:r>
              <w:t>行政处罚履行方式和期限</w:t>
            </w:r>
          </w:p>
        </w:tc>
        <w:tc>
          <w:tcPr>
            <w:tcW w:w="1620" w:type="dxa"/>
            <w:vAlign w:val="center"/>
          </w:tcPr>
          <w:p w14:paraId="5191D031">
            <w:pPr>
              <w:pStyle w:val="2"/>
              <w:jc w:val="center"/>
            </w:pPr>
            <w:r>
              <w:t>作出行政处罚的机关名称和日期</w:t>
            </w:r>
          </w:p>
        </w:tc>
        <w:tc>
          <w:tcPr>
            <w:tcW w:w="973" w:type="dxa"/>
            <w:vAlign w:val="center"/>
          </w:tcPr>
          <w:p w14:paraId="6DD09820">
            <w:pPr>
              <w:pStyle w:val="2"/>
              <w:jc w:val="center"/>
            </w:pPr>
            <w:r>
              <w:t>备注</w:t>
            </w:r>
          </w:p>
        </w:tc>
      </w:tr>
      <w:tr w14:paraId="230C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475" w:type="dxa"/>
            <w:vAlign w:val="center"/>
          </w:tcPr>
          <w:p w14:paraId="68025431">
            <w:pPr>
              <w:pStyle w:val="2"/>
              <w:jc w:val="center"/>
              <w:rPr>
                <w:rFonts w:hint="eastAsia" w:eastAsia="宋体"/>
                <w:lang w:val="en-US" w:eastAsia="zh-CN"/>
              </w:rPr>
            </w:pPr>
            <w:r>
              <w:rPr>
                <w:rFonts w:hint="eastAsia"/>
                <w:lang w:val="en-US" w:eastAsia="zh-CN"/>
              </w:rPr>
              <w:t>1</w:t>
            </w:r>
          </w:p>
        </w:tc>
        <w:tc>
          <w:tcPr>
            <w:tcW w:w="834" w:type="dxa"/>
            <w:vAlign w:val="center"/>
          </w:tcPr>
          <w:p w14:paraId="58CF6D31">
            <w:pPr>
              <w:pStyle w:val="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eastAsia="宋体"/>
                <w:spacing w:val="-28"/>
                <w:sz w:val="24"/>
                <w:lang w:val="en-US" w:eastAsia="zh-CN"/>
              </w:rPr>
            </w:pPr>
            <w:r>
              <w:rPr>
                <w:rFonts w:ascii="Times New Roman" w:hAnsi="Times New Roman" w:eastAsia="宋体" w:cs="Times New Roman"/>
                <w:spacing w:val="-28"/>
                <w:kern w:val="0"/>
                <w:sz w:val="24"/>
                <w:szCs w:val="24"/>
                <w:u w:val="single"/>
                <w:shd w:val="clear" w:color="auto" w:fill="FFFFFF"/>
                <w:lang w:bidi="ar"/>
              </w:rPr>
              <w:t>杨</w:t>
            </w:r>
            <w:r>
              <w:rPr>
                <w:rFonts w:ascii="Times New Roman" w:hAnsi="Times New Roman" w:eastAsia="仿宋_GB2312" w:cs="Times New Roman"/>
                <w:spacing w:val="-28"/>
                <w:kern w:val="0"/>
                <w:sz w:val="24"/>
                <w:szCs w:val="24"/>
                <w:shd w:val="clear" w:color="auto" w:fill="FFFFFF"/>
                <w:lang w:bidi="ar"/>
              </w:rPr>
              <w:t>农（种子）罚〔</w:t>
            </w:r>
            <w:r>
              <w:rPr>
                <w:rFonts w:hint="eastAsia" w:ascii="Times New Roman" w:hAnsi="Times New Roman" w:eastAsia="仿宋_GB2312" w:cs="Times New Roman"/>
                <w:spacing w:val="-28"/>
                <w:kern w:val="0"/>
                <w:sz w:val="24"/>
                <w:szCs w:val="24"/>
                <w:shd w:val="clear" w:color="auto" w:fill="FFFFFF"/>
                <w:lang w:bidi="ar"/>
              </w:rPr>
              <w:t>2026</w:t>
            </w:r>
            <w:bookmarkStart w:id="17" w:name="_GoBack"/>
            <w:bookmarkEnd w:id="17"/>
            <w:r>
              <w:rPr>
                <w:rFonts w:ascii="Times New Roman" w:hAnsi="Times New Roman" w:eastAsia="仿宋_GB2312" w:cs="Times New Roman"/>
                <w:spacing w:val="-28"/>
                <w:kern w:val="0"/>
                <w:sz w:val="24"/>
                <w:szCs w:val="24"/>
                <w:shd w:val="clear" w:color="auto" w:fill="FFFFFF"/>
                <w:lang w:bidi="ar"/>
              </w:rPr>
              <w:t>〕</w:t>
            </w:r>
            <w:r>
              <w:rPr>
                <w:rFonts w:hint="eastAsia" w:ascii="Times New Roman" w:hAnsi="Times New Roman" w:eastAsia="宋体" w:cs="Times New Roman"/>
                <w:spacing w:val="-28"/>
                <w:kern w:val="0"/>
                <w:sz w:val="24"/>
                <w:szCs w:val="24"/>
                <w:u w:val="single"/>
                <w:shd w:val="clear" w:color="auto" w:fill="FFFFFF"/>
                <w:lang w:bidi="ar"/>
              </w:rPr>
              <w:t>1</w:t>
            </w:r>
            <w:r>
              <w:rPr>
                <w:rFonts w:ascii="Times New Roman" w:hAnsi="Times New Roman" w:eastAsia="仿宋_GB2312" w:cs="Times New Roman"/>
                <w:spacing w:val="-28"/>
                <w:kern w:val="0"/>
                <w:sz w:val="24"/>
                <w:szCs w:val="24"/>
                <w:shd w:val="clear" w:color="auto" w:fill="FFFFFF"/>
                <w:lang w:bidi="ar"/>
              </w:rPr>
              <w:t>号</w:t>
            </w:r>
          </w:p>
        </w:tc>
        <w:tc>
          <w:tcPr>
            <w:tcW w:w="1620" w:type="dxa"/>
            <w:vAlign w:val="center"/>
          </w:tcPr>
          <w:p w14:paraId="1CE62968">
            <w:pPr>
              <w:pStyle w:val="2"/>
              <w:jc w:val="both"/>
            </w:pPr>
            <w:bookmarkStart w:id="0" w:name="OLE_LINK6"/>
            <w:bookmarkStart w:id="1" w:name="OLE_LINK5"/>
            <w:bookmarkStart w:id="2" w:name="OLE_LINK1"/>
            <w:bookmarkStart w:id="3" w:name="OLE_LINK34"/>
            <w:bookmarkStart w:id="4" w:name="OLE_LINK8"/>
            <w:bookmarkStart w:id="5" w:name="OLE_LINK35"/>
            <w:bookmarkStart w:id="6" w:name="OLE_LINK7"/>
            <w:bookmarkStart w:id="7" w:name="OLE_LINK13"/>
            <w:r>
              <w:rPr>
                <w:rFonts w:hint="eastAsia" w:ascii="Times New Roman" w:hAnsi="Times New Roman" w:eastAsia="仿宋_GB2312" w:cs="Times New Roman"/>
                <w:spacing w:val="-20"/>
                <w:kern w:val="0"/>
                <w:sz w:val="24"/>
                <w:szCs w:val="24"/>
              </w:rPr>
              <w:t>杨凌裕农农业服务有限公司涉嫌销售的专门经营不再分装的包装种子未按规定备案、未按规定建立保存经营档案及种子标签内容不符合规定案</w:t>
            </w:r>
            <w:bookmarkEnd w:id="0"/>
            <w:bookmarkEnd w:id="1"/>
            <w:bookmarkEnd w:id="2"/>
            <w:bookmarkEnd w:id="3"/>
            <w:bookmarkEnd w:id="4"/>
            <w:bookmarkEnd w:id="5"/>
            <w:bookmarkEnd w:id="6"/>
            <w:bookmarkEnd w:id="7"/>
          </w:p>
        </w:tc>
        <w:tc>
          <w:tcPr>
            <w:tcW w:w="1116" w:type="dxa"/>
            <w:vAlign w:val="center"/>
          </w:tcPr>
          <w:p w14:paraId="2EDA89C3">
            <w:pPr>
              <w:pStyle w:val="2"/>
              <w:jc w:val="both"/>
              <w:rPr>
                <w:rFonts w:hint="eastAsia" w:ascii="Times New Roman" w:hAnsi="Times New Roman" w:eastAsia="仿宋_GB2312" w:cs="Times New Roman"/>
                <w:spacing w:val="-20"/>
                <w:kern w:val="0"/>
                <w:sz w:val="24"/>
                <w:szCs w:val="24"/>
              </w:rPr>
            </w:pPr>
            <w:bookmarkStart w:id="8" w:name="OLE_LINK23"/>
            <w:bookmarkStart w:id="9" w:name="OLE_LINK24"/>
            <w:r>
              <w:rPr>
                <w:rFonts w:hint="eastAsia" w:ascii="Times New Roman" w:hAnsi="Times New Roman" w:eastAsia="仿宋_GB2312" w:cs="Times New Roman"/>
                <w:spacing w:val="-20"/>
                <w:kern w:val="0"/>
                <w:sz w:val="24"/>
                <w:szCs w:val="24"/>
              </w:rPr>
              <w:t>杨凌裕农农业服务有限公司</w:t>
            </w:r>
            <w:bookmarkEnd w:id="8"/>
            <w:bookmarkEnd w:id="9"/>
          </w:p>
        </w:tc>
        <w:tc>
          <w:tcPr>
            <w:tcW w:w="1164" w:type="dxa"/>
            <w:vAlign w:val="center"/>
          </w:tcPr>
          <w:p w14:paraId="629C2A60">
            <w:pPr>
              <w:pStyle w:val="2"/>
              <w:jc w:val="both"/>
              <w:rPr>
                <w:rFonts w:hint="eastAsia" w:ascii="Times New Roman" w:hAnsi="Times New Roman" w:eastAsia="仿宋_GB2312" w:cs="Times New Roman"/>
                <w:spacing w:val="-20"/>
                <w:kern w:val="0"/>
                <w:sz w:val="24"/>
                <w:szCs w:val="24"/>
              </w:rPr>
            </w:pPr>
            <w:bookmarkStart w:id="10" w:name="OLE_LINK25"/>
            <w:bookmarkStart w:id="11" w:name="OLE_LINK26"/>
            <w:r>
              <w:rPr>
                <w:rFonts w:hint="eastAsia" w:ascii="Times New Roman" w:hAnsi="Times New Roman" w:eastAsia="仿宋_GB2312" w:cs="Times New Roman"/>
                <w:spacing w:val="-20"/>
                <w:kern w:val="0"/>
                <w:sz w:val="24"/>
                <w:szCs w:val="24"/>
              </w:rPr>
              <w:t>91610403MA6TKLE42Q</w:t>
            </w:r>
            <w:bookmarkEnd w:id="10"/>
            <w:bookmarkEnd w:id="11"/>
          </w:p>
        </w:tc>
        <w:tc>
          <w:tcPr>
            <w:tcW w:w="888" w:type="dxa"/>
            <w:vAlign w:val="center"/>
          </w:tcPr>
          <w:p w14:paraId="663518C7">
            <w:pPr>
              <w:pStyle w:val="2"/>
              <w:jc w:val="both"/>
              <w:rPr>
                <w:rFonts w:hint="eastAsia" w:ascii="Times New Roman" w:hAnsi="Times New Roman" w:eastAsia="仿宋_GB2312" w:cs="Times New Roman"/>
                <w:spacing w:val="-20"/>
                <w:kern w:val="0"/>
                <w:sz w:val="24"/>
                <w:szCs w:val="24"/>
              </w:rPr>
            </w:pPr>
            <w:bookmarkStart w:id="12" w:name="OLE_LINK29"/>
            <w:bookmarkStart w:id="13" w:name="OLE_LINK28"/>
            <w:r>
              <w:rPr>
                <w:rFonts w:hint="eastAsia" w:ascii="Times New Roman" w:hAnsi="Times New Roman" w:eastAsia="仿宋_GB2312" w:cs="Times New Roman"/>
                <w:spacing w:val="-20"/>
                <w:kern w:val="0"/>
                <w:sz w:val="24"/>
                <w:szCs w:val="24"/>
              </w:rPr>
              <w:t>党让齐</w:t>
            </w:r>
            <w:bookmarkEnd w:id="12"/>
            <w:bookmarkEnd w:id="13"/>
          </w:p>
        </w:tc>
        <w:tc>
          <w:tcPr>
            <w:tcW w:w="1860" w:type="dxa"/>
            <w:vAlign w:val="center"/>
          </w:tcPr>
          <w:p w14:paraId="2643E53F">
            <w:pPr>
              <w:pStyle w:val="2"/>
              <w:jc w:val="both"/>
              <w:rPr>
                <w:rFonts w:hint="default" w:ascii="Times New Roman" w:hAnsi="Times New Roman" w:eastAsia="仿宋_GB2312" w:cs="Times New Roman"/>
                <w:spacing w:val="-20"/>
                <w:kern w:val="0"/>
                <w:sz w:val="24"/>
                <w:szCs w:val="24"/>
                <w:lang w:val="en-US" w:eastAsia="zh-CN"/>
              </w:rPr>
            </w:pPr>
            <w:r>
              <w:rPr>
                <w:rFonts w:hint="eastAsia" w:ascii="Times New Roman" w:hAnsi="Times New Roman" w:eastAsia="仿宋_GB2312" w:cs="Times New Roman"/>
                <w:spacing w:val="-20"/>
                <w:kern w:val="0"/>
                <w:sz w:val="24"/>
                <w:szCs w:val="24"/>
                <w:lang w:val="en-US" w:eastAsia="zh-CN"/>
              </w:rPr>
              <w:t>当事人杨凌裕农农业服务有限公司存在销售的专门经营不再分装的包装种子未按规定备案、未按规定建立保存经营档案及种子标签内容不符合规定行为，该行为违反了《种子法》第三十六条、第三十八条第一款和第四十条第一款之规定。</w:t>
            </w:r>
          </w:p>
        </w:tc>
        <w:tc>
          <w:tcPr>
            <w:tcW w:w="1584" w:type="dxa"/>
            <w:vAlign w:val="center"/>
          </w:tcPr>
          <w:p w14:paraId="54724D78">
            <w:pPr>
              <w:pStyle w:val="2"/>
              <w:jc w:val="both"/>
              <w:rPr>
                <w:rFonts w:hint="eastAsia" w:ascii="Times New Roman" w:hAnsi="Times New Roman" w:eastAsia="仿宋_GB2312" w:cs="Times New Roman"/>
                <w:spacing w:val="-20"/>
                <w:kern w:val="0"/>
                <w:sz w:val="24"/>
                <w:szCs w:val="24"/>
                <w:lang w:val="en-US" w:eastAsia="zh-CN"/>
              </w:rPr>
            </w:pPr>
            <w:r>
              <w:rPr>
                <w:rFonts w:hint="eastAsia" w:ascii="Times New Roman" w:hAnsi="Times New Roman" w:eastAsia="仿宋_GB2312" w:cs="Times New Roman"/>
                <w:spacing w:val="-20"/>
                <w:kern w:val="0"/>
                <w:sz w:val="24"/>
                <w:szCs w:val="24"/>
                <w:lang w:val="en-US" w:eastAsia="zh-CN"/>
              </w:rPr>
              <w:t>依据《种子法》第七十九条第二、四、五项等相关规定，以及《陕西省农业行政处罚自由裁量基准》。</w:t>
            </w:r>
          </w:p>
          <w:p w14:paraId="508DAEC7">
            <w:pPr>
              <w:pStyle w:val="2"/>
              <w:jc w:val="both"/>
              <w:rPr>
                <w:rFonts w:hint="default" w:ascii="Times New Roman" w:hAnsi="Times New Roman" w:eastAsia="仿宋_GB2312" w:cs="Times New Roman"/>
                <w:spacing w:val="-20"/>
                <w:kern w:val="0"/>
                <w:sz w:val="24"/>
                <w:szCs w:val="24"/>
                <w:lang w:val="en-US" w:eastAsia="zh-CN"/>
              </w:rPr>
            </w:pPr>
            <w:r>
              <w:rPr>
                <w:rFonts w:hint="eastAsia" w:ascii="Times New Roman" w:hAnsi="Times New Roman" w:eastAsia="仿宋_GB2312" w:cs="Times New Roman"/>
                <w:spacing w:val="-20"/>
                <w:kern w:val="0"/>
                <w:sz w:val="24"/>
                <w:szCs w:val="24"/>
                <w:lang w:val="en-US" w:eastAsia="zh-CN"/>
              </w:rPr>
              <w:t>处罚种类：罚款；人民币13500元整。</w:t>
            </w:r>
          </w:p>
        </w:tc>
        <w:tc>
          <w:tcPr>
            <w:tcW w:w="2052" w:type="dxa"/>
            <w:vAlign w:val="center"/>
          </w:tcPr>
          <w:p w14:paraId="2163DFCF">
            <w:pPr>
              <w:pStyle w:val="2"/>
              <w:jc w:val="both"/>
              <w:rPr>
                <w:rFonts w:hint="default" w:ascii="Times New Roman" w:hAnsi="Times New Roman" w:eastAsia="仿宋_GB2312" w:cs="Times New Roman"/>
                <w:spacing w:val="-20"/>
                <w:kern w:val="0"/>
                <w:sz w:val="24"/>
                <w:szCs w:val="24"/>
                <w:lang w:val="en-US"/>
              </w:rPr>
            </w:pPr>
            <w:r>
              <w:rPr>
                <w:rFonts w:hint="eastAsia" w:ascii="Times New Roman" w:hAnsi="Times New Roman" w:eastAsia="仿宋_GB2312" w:cs="Times New Roman"/>
                <w:spacing w:val="-17"/>
                <w:kern w:val="0"/>
                <w:sz w:val="24"/>
                <w:szCs w:val="24"/>
                <w:lang w:val="en-US" w:eastAsia="zh-CN"/>
              </w:rPr>
              <w:t>当事人必须在收到处罚决定书之日起15日内持本决定书到</w:t>
            </w:r>
            <w:bookmarkStart w:id="14" w:name="OLE_LINK123"/>
            <w:r>
              <w:rPr>
                <w:rFonts w:hint="eastAsia" w:ascii="Times New Roman" w:hAnsi="Times New Roman" w:eastAsia="仿宋_GB2312" w:cs="Times New Roman"/>
                <w:spacing w:val="-17"/>
                <w:kern w:val="0"/>
                <w:sz w:val="24"/>
                <w:szCs w:val="24"/>
                <w:lang w:val="en-US" w:eastAsia="zh-CN"/>
              </w:rPr>
              <w:t>建行杨陵区支行杨陵区非税收</w:t>
            </w:r>
            <w:bookmarkEnd w:id="14"/>
            <w:bookmarkStart w:id="15" w:name="OLE_LINK125"/>
            <w:bookmarkStart w:id="16" w:name="OLE_LINK126"/>
            <w:r>
              <w:rPr>
                <w:rFonts w:hint="eastAsia" w:ascii="Times New Roman" w:hAnsi="Times New Roman" w:eastAsia="仿宋_GB2312" w:cs="Times New Roman"/>
                <w:spacing w:val="-17"/>
                <w:kern w:val="0"/>
                <w:sz w:val="24"/>
                <w:szCs w:val="24"/>
                <w:lang w:val="en-US" w:eastAsia="zh-CN"/>
              </w:rPr>
              <w:t>收入</w:t>
            </w:r>
            <w:bookmarkEnd w:id="15"/>
            <w:bookmarkEnd w:id="16"/>
            <w:r>
              <w:rPr>
                <w:rFonts w:hint="eastAsia" w:ascii="Times New Roman" w:hAnsi="Times New Roman" w:eastAsia="仿宋_GB2312" w:cs="Times New Roman"/>
                <w:spacing w:val="-17"/>
                <w:kern w:val="0"/>
                <w:sz w:val="24"/>
                <w:szCs w:val="24"/>
                <w:lang w:val="en-US" w:eastAsia="zh-CN"/>
              </w:rPr>
              <w:t>缴纳罚（没）款。逾期不按规定缴纳罚款的，每日按罚款数额的百分之三加处罚款或申请人民法院强制执行。</w:t>
            </w:r>
          </w:p>
        </w:tc>
        <w:tc>
          <w:tcPr>
            <w:tcW w:w="1620" w:type="dxa"/>
            <w:vAlign w:val="center"/>
          </w:tcPr>
          <w:p w14:paraId="42E04445">
            <w:pPr>
              <w:pStyle w:val="2"/>
              <w:jc w:val="both"/>
              <w:rPr>
                <w:rFonts w:hint="eastAsia" w:ascii="Times New Roman" w:hAnsi="Times New Roman" w:eastAsia="仿宋_GB2312" w:cs="Times New Roman"/>
                <w:spacing w:val="-20"/>
                <w:kern w:val="0"/>
                <w:sz w:val="24"/>
                <w:szCs w:val="24"/>
                <w:lang w:val="en-US" w:eastAsia="zh-CN"/>
              </w:rPr>
            </w:pPr>
            <w:r>
              <w:rPr>
                <w:rFonts w:hint="eastAsia" w:ascii="Times New Roman" w:hAnsi="Times New Roman" w:eastAsia="仿宋_GB2312" w:cs="Times New Roman"/>
                <w:spacing w:val="-20"/>
                <w:kern w:val="0"/>
                <w:sz w:val="24"/>
                <w:szCs w:val="24"/>
                <w:lang w:val="en-US" w:eastAsia="zh-CN"/>
              </w:rPr>
              <w:t>杨陵区农业农村局</w:t>
            </w:r>
          </w:p>
          <w:p w14:paraId="0C8A99C2">
            <w:pPr>
              <w:pStyle w:val="2"/>
              <w:jc w:val="both"/>
              <w:rPr>
                <w:rFonts w:hint="default" w:ascii="Times New Roman" w:hAnsi="Times New Roman" w:eastAsia="仿宋_GB2312" w:cs="Times New Roman"/>
                <w:spacing w:val="-20"/>
                <w:kern w:val="0"/>
                <w:sz w:val="24"/>
                <w:szCs w:val="24"/>
                <w:lang w:val="en-US" w:eastAsia="zh-CN"/>
              </w:rPr>
            </w:pPr>
            <w:r>
              <w:rPr>
                <w:rFonts w:hint="eastAsia" w:ascii="Times New Roman" w:hAnsi="Times New Roman" w:eastAsia="仿宋_GB2312" w:cs="Times New Roman"/>
                <w:spacing w:val="-20"/>
                <w:kern w:val="0"/>
                <w:sz w:val="24"/>
                <w:szCs w:val="24"/>
                <w:lang w:val="en-US" w:eastAsia="zh-CN"/>
              </w:rPr>
              <w:t>处罚决定日期：2026年5月18日</w:t>
            </w:r>
          </w:p>
        </w:tc>
        <w:tc>
          <w:tcPr>
            <w:tcW w:w="973" w:type="dxa"/>
          </w:tcPr>
          <w:p w14:paraId="0012764F">
            <w:pPr>
              <w:pStyle w:val="2"/>
              <w:jc w:val="both"/>
              <w:rPr>
                <w:rFonts w:hint="eastAsia" w:ascii="Times New Roman" w:hAnsi="Times New Roman" w:eastAsia="仿宋_GB2312" w:cs="Times New Roman"/>
                <w:spacing w:val="-20"/>
                <w:kern w:val="0"/>
                <w:sz w:val="24"/>
                <w:szCs w:val="24"/>
              </w:rPr>
            </w:pPr>
          </w:p>
        </w:tc>
      </w:tr>
    </w:tbl>
    <w:p w14:paraId="0257557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E3"/>
    <w:rsid w:val="000528E3"/>
    <w:rsid w:val="00AB38ED"/>
    <w:rsid w:val="00FC0524"/>
    <w:rsid w:val="157E709D"/>
    <w:rsid w:val="1DB83AD9"/>
    <w:rsid w:val="1FE33532"/>
    <w:rsid w:val="286363AA"/>
    <w:rsid w:val="380915F6"/>
    <w:rsid w:val="39D87A7A"/>
    <w:rsid w:val="3BF12212"/>
    <w:rsid w:val="3C9124A7"/>
    <w:rsid w:val="3DE03BA2"/>
    <w:rsid w:val="3E353EED"/>
    <w:rsid w:val="40161EA8"/>
    <w:rsid w:val="4B971D44"/>
    <w:rsid w:val="4EB95335"/>
    <w:rsid w:val="4F5F526E"/>
    <w:rsid w:val="62D80B9A"/>
    <w:rsid w:val="6E62222D"/>
    <w:rsid w:val="6EEB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table" w:styleId="4">
    <w:name w:val="Table Grid"/>
    <w:basedOn w:val="3"/>
    <w:uiPriority w:val="59"/>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482</Words>
  <Characters>514</Characters>
  <Lines>1</Lines>
  <Paragraphs>1</Paragraphs>
  <TotalTime>3</TotalTime>
  <ScaleCrop>false</ScaleCrop>
  <LinksUpToDate>false</LinksUpToDate>
  <CharactersWithSpaces>584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2026-06-03T02:39:00Z</dcterms:created>
  <dc:creator>Windows User</dc:creator>
  <cp:lastModifiedBy>Liuxxxx晓</cp:lastModifiedBy>
  <cp:lastPrinted>2026-06-04T02:10:00Z</cp:lastPrinted>
  <dcterms:modified xsi:type="dcterms:W3CDTF">2026-06-04T07:52:49Z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eyJoZGlkIjoiNzA0Y2U3N2QxOTI5MDQzOGNiNmFmYTFhZTBiNDBhMWUiLCJ1c2VySWQiOiI2MTE4ODUxMTIifQ==</vt:lpwstr>
  </property>
  <property fmtid="{D5CDD505-2E9C-101B-9397-08002B2CF9AE}" pid="3" name="KSOProductBuildVer">
    <vt:lpwstr>2052-12.1.0.26375</vt:lpwstr>
  </property>
  <property fmtid="{D5CDD505-2E9C-101B-9397-08002B2CF9AE}" pid="4" name="ICV">
    <vt:lpwstr>5323C9854D1841DAB3CAEBD122F5B646_13</vt:lpwstr>
  </property>
</Properties>
</file>