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6CF95">
      <w:pPr>
        <w:pageBreakBefore w:val="0"/>
        <w:kinsoku/>
        <w:wordWrap/>
        <w:topLinePunct w:val="0"/>
        <w:autoSpaceDE/>
        <w:autoSpaceDN/>
        <w:bidi w:val="0"/>
        <w:adjustRightInd/>
        <w:snapToGrid/>
        <w:spacing w:after="0" w:line="560" w:lineRule="exact"/>
        <w:jc w:val="left"/>
        <w:textAlignment w:val="auto"/>
        <w:rPr>
          <w:rFonts w:hint="eastAsia" w:ascii="黑体" w:hAnsi="黑体" w:eastAsia="黑体" w:cs="黑体"/>
          <w:color w:val="auto"/>
          <w:kern w:val="0"/>
          <w:sz w:val="32"/>
          <w:szCs w:val="32"/>
          <w:lang w:val="en-US" w:eastAsia="zh-CN" w:bidi="ar"/>
        </w:rPr>
      </w:pPr>
    </w:p>
    <w:p w14:paraId="35A4B296">
      <w:pPr>
        <w:pageBreakBefore w:val="0"/>
        <w:kinsoku/>
        <w:wordWrap/>
        <w:topLinePunct w:val="0"/>
        <w:autoSpaceDE/>
        <w:autoSpaceDN/>
        <w:bidi w:val="0"/>
        <w:adjustRightInd/>
        <w:snapToGrid/>
        <w:spacing w:after="0" w:line="560" w:lineRule="exact"/>
        <w:jc w:val="center"/>
        <w:textAlignment w:val="auto"/>
        <w:rPr>
          <w:rFonts w:hint="eastAsia" w:ascii="方正小标宋简体" w:hAnsi="仿宋" w:eastAsia="方正小标宋简体" w:cs="黑体"/>
          <w:color w:val="auto"/>
          <w:sz w:val="44"/>
          <w:szCs w:val="44"/>
        </w:rPr>
      </w:pPr>
      <w:bookmarkStart w:id="0" w:name="_GoBack"/>
      <w:r>
        <w:rPr>
          <w:rFonts w:hint="eastAsia" w:ascii="方正小标宋简体" w:hAnsi="仿宋" w:eastAsia="方正小标宋简体" w:cs="黑体"/>
          <w:color w:val="auto"/>
          <w:sz w:val="44"/>
          <w:szCs w:val="44"/>
        </w:rPr>
        <w:t>杨陵区促进贸易业和其他营利性服务业</w:t>
      </w:r>
    </w:p>
    <w:p w14:paraId="77847838">
      <w:pPr>
        <w:pageBreakBefore w:val="0"/>
        <w:kinsoku/>
        <w:wordWrap/>
        <w:topLinePunct w:val="0"/>
        <w:autoSpaceDE/>
        <w:autoSpaceDN/>
        <w:bidi w:val="0"/>
        <w:adjustRightInd/>
        <w:snapToGrid/>
        <w:spacing w:after="0" w:line="560" w:lineRule="exact"/>
        <w:jc w:val="center"/>
        <w:textAlignment w:val="auto"/>
        <w:rPr>
          <w:rFonts w:hint="eastAsia" w:ascii="仿宋_GB2312" w:eastAsia="仿宋_GB2312"/>
          <w:color w:val="auto"/>
          <w:sz w:val="32"/>
          <w:szCs w:val="32"/>
        </w:rPr>
      </w:pPr>
      <w:r>
        <w:rPr>
          <w:rFonts w:hint="eastAsia" w:ascii="方正小标宋简体" w:hAnsi="仿宋" w:eastAsia="方正小标宋简体" w:cs="黑体"/>
          <w:color w:val="auto"/>
          <w:sz w:val="44"/>
          <w:szCs w:val="44"/>
        </w:rPr>
        <w:t>发展</w:t>
      </w:r>
      <w:r>
        <w:rPr>
          <w:rFonts w:hint="eastAsia" w:ascii="方正小标宋简体" w:hAnsi="仿宋" w:eastAsia="方正小标宋简体" w:cs="黑体"/>
          <w:color w:val="auto"/>
          <w:sz w:val="44"/>
          <w:szCs w:val="44"/>
          <w:lang w:val="en-US" w:eastAsia="zh-CN"/>
        </w:rPr>
        <w:t>支持</w:t>
      </w:r>
      <w:r>
        <w:rPr>
          <w:rFonts w:hint="eastAsia" w:ascii="方正小标宋简体" w:hAnsi="仿宋" w:eastAsia="方正小标宋简体" w:cs="黑体"/>
          <w:color w:val="auto"/>
          <w:sz w:val="44"/>
          <w:szCs w:val="44"/>
        </w:rPr>
        <w:t>办法</w:t>
      </w:r>
    </w:p>
    <w:p w14:paraId="74FD5CEE">
      <w:pPr>
        <w:keepNext w:val="0"/>
        <w:keepLines w:val="0"/>
        <w:pageBreakBefore w:val="0"/>
        <w:widowControl w:val="0"/>
        <w:kinsoku/>
        <w:wordWrap/>
        <w:overflowPunct w:val="0"/>
        <w:topLinePunct w:val="0"/>
        <w:autoSpaceDE/>
        <w:autoSpaceDN/>
        <w:bidi w:val="0"/>
        <w:adjustRightInd/>
        <w:snapToGrid/>
        <w:spacing w:before="157" w:beforeLines="50" w:after="157" w:afterLines="50" w:line="560" w:lineRule="exact"/>
        <w:ind w:firstLine="643" w:firstLineChars="200"/>
        <w:jc w:val="center"/>
        <w:textAlignment w:val="auto"/>
        <w:rPr>
          <w:rFonts w:hint="eastAsia" w:ascii="楷体_GB2312" w:hAnsi="楷体_GB2312" w:eastAsia="楷体_GB2312" w:cs="楷体_GB2312"/>
          <w:b/>
          <w:bCs/>
          <w:color w:val="auto"/>
          <w:sz w:val="32"/>
          <w:szCs w:val="32"/>
        </w:rPr>
      </w:pPr>
      <w:r>
        <w:rPr>
          <w:rFonts w:hint="eastAsia" w:ascii="楷体_GB2312" w:hAnsi="楷体_GB2312" w:eastAsia="楷体_GB2312" w:cs="楷体_GB2312"/>
          <w:b/>
          <w:bCs/>
          <w:sz w:val="32"/>
          <w:szCs w:val="32"/>
        </w:rPr>
        <w:t>（征求意见稿）</w:t>
      </w:r>
    </w:p>
    <w:bookmarkEnd w:id="0"/>
    <w:p w14:paraId="7092FA18">
      <w:pPr>
        <w:keepNext w:val="0"/>
        <w:keepLines w:val="0"/>
        <w:pageBreakBefore w:val="0"/>
        <w:widowControl w:val="0"/>
        <w:kinsoku/>
        <w:wordWrap/>
        <w:overflowPunct w:val="0"/>
        <w:topLinePunct w:val="0"/>
        <w:autoSpaceDE/>
        <w:autoSpaceDN/>
        <w:bidi w:val="0"/>
        <w:adjustRightInd/>
        <w:snapToGrid/>
        <w:spacing w:after="0"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为全面准确反映我区贸易服务业发展水平，提升统计数据质量和水平，充分调动调查单位和信息员积极性，</w:t>
      </w:r>
      <w:r>
        <w:rPr>
          <w:rFonts w:hint="eastAsia" w:ascii="仿宋_GB2312" w:eastAsia="仿宋_GB2312"/>
          <w:color w:val="auto"/>
          <w:sz w:val="32"/>
          <w:szCs w:val="32"/>
          <w:lang w:val="en-US" w:eastAsia="zh-CN"/>
        </w:rPr>
        <w:t>促进贸易业和其他营利性服务业发展，</w:t>
      </w:r>
      <w:r>
        <w:rPr>
          <w:rFonts w:hint="eastAsia" w:ascii="仿宋_GB2312" w:eastAsia="仿宋_GB2312"/>
          <w:color w:val="auto"/>
          <w:sz w:val="32"/>
          <w:szCs w:val="32"/>
        </w:rPr>
        <w:t xml:space="preserve">特制订本办法。 </w:t>
      </w:r>
    </w:p>
    <w:p w14:paraId="003B51DB">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rPr>
          <w:rFonts w:hint="eastAsia" w:ascii="楷体_GB2312" w:hAnsi="楷体_GB2312" w:eastAsia="楷体_GB2312" w:cs="楷体_GB2312"/>
          <w:b/>
          <w:color w:val="auto"/>
          <w:sz w:val="32"/>
          <w:szCs w:val="32"/>
        </w:rPr>
      </w:pPr>
      <w:r>
        <w:rPr>
          <w:rFonts w:hint="eastAsia" w:ascii="楷体_GB2312" w:hAnsi="楷体_GB2312" w:eastAsia="楷体_GB2312" w:cs="楷体_GB2312"/>
          <w:b/>
          <w:color w:val="auto"/>
          <w:sz w:val="32"/>
          <w:szCs w:val="32"/>
        </w:rPr>
        <w:t>第一部分  资金来源</w:t>
      </w:r>
    </w:p>
    <w:p w14:paraId="6144A268">
      <w:pPr>
        <w:keepNext w:val="0"/>
        <w:keepLines w:val="0"/>
        <w:pageBreakBefore w:val="0"/>
        <w:widowControl w:val="0"/>
        <w:kinsoku/>
        <w:wordWrap/>
        <w:topLinePunct w:val="0"/>
        <w:autoSpaceDE/>
        <w:autoSpaceDN/>
        <w:bidi w:val="0"/>
        <w:adjustRightInd/>
        <w:snapToGrid/>
        <w:spacing w:after="0" w:line="560" w:lineRule="exact"/>
        <w:ind w:firstLine="643" w:firstLineChars="200"/>
        <w:textAlignment w:val="auto"/>
        <w:rPr>
          <w:rFonts w:hint="eastAsia" w:ascii="仿宋_GB2312" w:eastAsia="仿宋_GB2312"/>
          <w:color w:val="auto"/>
          <w:sz w:val="32"/>
          <w:szCs w:val="32"/>
        </w:rPr>
      </w:pPr>
      <w:r>
        <w:rPr>
          <w:rFonts w:hint="eastAsia" w:ascii="仿宋_GB2312" w:eastAsia="仿宋_GB2312"/>
          <w:b/>
          <w:bCs/>
          <w:color w:val="auto"/>
          <w:sz w:val="32"/>
          <w:szCs w:val="32"/>
        </w:rPr>
        <w:t>第一条</w:t>
      </w:r>
      <w:r>
        <w:rPr>
          <w:rFonts w:hint="eastAsia" w:ascii="仿宋_GB2312" w:eastAsia="仿宋_GB2312"/>
          <w:color w:val="auto"/>
          <w:sz w:val="32"/>
          <w:szCs w:val="32"/>
        </w:rPr>
        <w:t xml:space="preserve"> </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本办法资金支持事项包括：统计部门和商务部门业务范围内的贸易和服务业经营单位统计数据报送</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行业龙头企业的培育、商贸流通行业发展等</w:t>
      </w:r>
      <w:r>
        <w:rPr>
          <w:rFonts w:hint="eastAsia" w:ascii="仿宋_GB2312" w:eastAsia="仿宋_GB2312"/>
          <w:color w:val="auto"/>
          <w:sz w:val="32"/>
          <w:szCs w:val="32"/>
        </w:rPr>
        <w:t>。资金来源于区政府每年列出的服务业发展专项资金。</w:t>
      </w:r>
    </w:p>
    <w:p w14:paraId="32476484">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rPr>
          <w:rFonts w:hint="eastAsia" w:ascii="楷体_GB2312" w:hAnsi="楷体_GB2312" w:eastAsia="楷体_GB2312" w:cs="楷体_GB2312"/>
          <w:b/>
          <w:color w:val="auto"/>
          <w:sz w:val="32"/>
          <w:szCs w:val="32"/>
        </w:rPr>
      </w:pPr>
      <w:r>
        <w:rPr>
          <w:rFonts w:hint="eastAsia" w:ascii="楷体_GB2312" w:hAnsi="楷体_GB2312" w:eastAsia="楷体_GB2312" w:cs="楷体_GB2312"/>
          <w:b/>
          <w:color w:val="auto"/>
          <w:sz w:val="32"/>
          <w:szCs w:val="32"/>
        </w:rPr>
        <w:t>第</w:t>
      </w:r>
      <w:r>
        <w:rPr>
          <w:rFonts w:hint="eastAsia" w:ascii="楷体_GB2312" w:hAnsi="楷体_GB2312" w:eastAsia="楷体_GB2312" w:cs="楷体_GB2312"/>
          <w:b/>
          <w:color w:val="auto"/>
          <w:sz w:val="32"/>
          <w:szCs w:val="32"/>
          <w:lang w:val="en-US" w:eastAsia="zh-CN"/>
        </w:rPr>
        <w:t>二</w:t>
      </w:r>
      <w:r>
        <w:rPr>
          <w:rFonts w:hint="eastAsia" w:ascii="楷体_GB2312" w:hAnsi="楷体_GB2312" w:eastAsia="楷体_GB2312" w:cs="楷体_GB2312"/>
          <w:b/>
          <w:color w:val="auto"/>
          <w:sz w:val="32"/>
          <w:szCs w:val="32"/>
        </w:rPr>
        <w:t>部分  信息员补助</w:t>
      </w:r>
    </w:p>
    <w:p w14:paraId="0554705E">
      <w:pPr>
        <w:keepNext w:val="0"/>
        <w:keepLines w:val="0"/>
        <w:pageBreakBefore w:val="0"/>
        <w:widowControl w:val="0"/>
        <w:kinsoku/>
        <w:wordWrap/>
        <w:topLinePunct w:val="0"/>
        <w:autoSpaceDE/>
        <w:autoSpaceDN/>
        <w:bidi w:val="0"/>
        <w:adjustRightInd/>
        <w:snapToGrid/>
        <w:spacing w:after="0" w:line="560" w:lineRule="exact"/>
        <w:ind w:firstLine="643" w:firstLineChars="200"/>
        <w:textAlignment w:val="auto"/>
        <w:rPr>
          <w:rFonts w:hint="eastAsia" w:ascii="仿宋_GB2312" w:eastAsia="仿宋_GB2312"/>
          <w:color w:val="auto"/>
          <w:sz w:val="32"/>
          <w:szCs w:val="32"/>
        </w:rPr>
      </w:pPr>
      <w:r>
        <w:rPr>
          <w:rFonts w:hint="eastAsia" w:ascii="仿宋_GB2312" w:eastAsia="仿宋_GB2312"/>
          <w:b/>
          <w:bCs/>
          <w:color w:val="auto"/>
          <w:sz w:val="32"/>
          <w:szCs w:val="32"/>
        </w:rPr>
        <w:t>第</w:t>
      </w:r>
      <w:r>
        <w:rPr>
          <w:rFonts w:hint="eastAsia" w:ascii="仿宋_GB2312" w:eastAsia="仿宋_GB2312"/>
          <w:b/>
          <w:bCs/>
          <w:color w:val="auto"/>
          <w:sz w:val="32"/>
          <w:szCs w:val="32"/>
          <w:lang w:val="en-US" w:eastAsia="zh-CN"/>
        </w:rPr>
        <w:t>二</w:t>
      </w:r>
      <w:r>
        <w:rPr>
          <w:rFonts w:hint="eastAsia" w:ascii="仿宋_GB2312" w:eastAsia="仿宋_GB2312"/>
          <w:b/>
          <w:bCs/>
          <w:color w:val="auto"/>
          <w:sz w:val="32"/>
          <w:szCs w:val="32"/>
        </w:rPr>
        <w:t>条</w:t>
      </w:r>
      <w:r>
        <w:rPr>
          <w:rFonts w:hint="eastAsia" w:ascii="仿宋_GB2312" w:eastAsia="仿宋_GB2312"/>
          <w:color w:val="auto"/>
          <w:sz w:val="32"/>
          <w:szCs w:val="32"/>
        </w:rPr>
        <w:t xml:space="preserve">  限额（规模）以上调查单位和市场监测样本单位的信息员，在数据真实、报送及时的情况下，每人每月发放200元工作</w:t>
      </w:r>
      <w:r>
        <w:rPr>
          <w:rFonts w:hint="eastAsia" w:ascii="仿宋_GB2312" w:eastAsia="仿宋_GB2312"/>
          <w:color w:val="auto"/>
          <w:sz w:val="32"/>
          <w:szCs w:val="32"/>
          <w:lang w:val="en-US" w:eastAsia="zh-CN"/>
        </w:rPr>
        <w:t>经费</w:t>
      </w:r>
      <w:r>
        <w:rPr>
          <w:rFonts w:hint="eastAsia" w:ascii="仿宋_GB2312" w:eastAsia="仿宋_GB2312"/>
          <w:color w:val="auto"/>
          <w:sz w:val="32"/>
          <w:szCs w:val="32"/>
        </w:rPr>
        <w:t>。</w:t>
      </w:r>
    </w:p>
    <w:p w14:paraId="2A503F90">
      <w:pPr>
        <w:keepNext w:val="0"/>
        <w:keepLines w:val="0"/>
        <w:pageBreakBefore w:val="0"/>
        <w:widowControl w:val="0"/>
        <w:kinsoku/>
        <w:wordWrap/>
        <w:topLinePunct w:val="0"/>
        <w:autoSpaceDE/>
        <w:autoSpaceDN/>
        <w:bidi w:val="0"/>
        <w:adjustRightInd/>
        <w:snapToGrid/>
        <w:spacing w:after="0" w:line="560" w:lineRule="exact"/>
        <w:ind w:firstLine="643" w:firstLineChars="200"/>
        <w:textAlignment w:val="auto"/>
        <w:rPr>
          <w:rFonts w:hint="eastAsia" w:ascii="仿宋_GB2312" w:eastAsia="仿宋_GB2312"/>
          <w:color w:val="auto"/>
          <w:sz w:val="32"/>
          <w:szCs w:val="32"/>
        </w:rPr>
      </w:pPr>
      <w:r>
        <w:rPr>
          <w:rFonts w:hint="eastAsia" w:ascii="仿宋_GB2312" w:eastAsia="仿宋_GB2312"/>
          <w:b/>
          <w:bCs/>
          <w:color w:val="auto"/>
          <w:sz w:val="32"/>
          <w:szCs w:val="32"/>
        </w:rPr>
        <w:t>第</w:t>
      </w:r>
      <w:r>
        <w:rPr>
          <w:rFonts w:hint="eastAsia" w:ascii="仿宋_GB2312" w:eastAsia="仿宋_GB2312"/>
          <w:b/>
          <w:bCs/>
          <w:color w:val="auto"/>
          <w:sz w:val="32"/>
          <w:szCs w:val="32"/>
          <w:lang w:val="en-US" w:eastAsia="zh-CN"/>
        </w:rPr>
        <w:t>三</w:t>
      </w:r>
      <w:r>
        <w:rPr>
          <w:rFonts w:hint="eastAsia" w:ascii="仿宋_GB2312" w:eastAsia="仿宋_GB2312"/>
          <w:b/>
          <w:bCs/>
          <w:color w:val="auto"/>
          <w:sz w:val="32"/>
          <w:szCs w:val="32"/>
        </w:rPr>
        <w:t>条</w:t>
      </w:r>
      <w:r>
        <w:rPr>
          <w:rFonts w:hint="eastAsia" w:ascii="仿宋_GB2312" w:eastAsia="仿宋_GB2312"/>
          <w:color w:val="auto"/>
          <w:sz w:val="32"/>
          <w:szCs w:val="32"/>
        </w:rPr>
        <w:t xml:space="preserve">  限额以下样本单位信息员在数据真实、报送及时的情况下，每人每季度发放500元工作</w:t>
      </w:r>
      <w:r>
        <w:rPr>
          <w:rFonts w:hint="eastAsia" w:ascii="仿宋_GB2312" w:eastAsia="仿宋_GB2312"/>
          <w:color w:val="auto"/>
          <w:sz w:val="32"/>
          <w:szCs w:val="32"/>
          <w:lang w:val="en-US" w:eastAsia="zh-CN"/>
        </w:rPr>
        <w:t>经费</w:t>
      </w:r>
      <w:r>
        <w:rPr>
          <w:rFonts w:hint="eastAsia" w:ascii="仿宋_GB2312" w:eastAsia="仿宋_GB2312"/>
          <w:color w:val="auto"/>
          <w:sz w:val="32"/>
          <w:szCs w:val="32"/>
        </w:rPr>
        <w:t>。</w:t>
      </w:r>
    </w:p>
    <w:p w14:paraId="06D592EE">
      <w:pPr>
        <w:keepNext w:val="0"/>
        <w:keepLines w:val="0"/>
        <w:pageBreakBefore w:val="0"/>
        <w:widowControl w:val="0"/>
        <w:kinsoku/>
        <w:wordWrap/>
        <w:topLinePunct w:val="0"/>
        <w:autoSpaceDE/>
        <w:autoSpaceDN/>
        <w:bidi w:val="0"/>
        <w:adjustRightInd/>
        <w:snapToGrid/>
        <w:spacing w:after="0" w:line="560" w:lineRule="exact"/>
        <w:ind w:firstLine="643" w:firstLineChars="200"/>
        <w:textAlignment w:val="auto"/>
        <w:rPr>
          <w:rFonts w:hint="eastAsia" w:ascii="仿宋_GB2312" w:eastAsia="仿宋_GB2312"/>
          <w:color w:val="auto"/>
          <w:sz w:val="32"/>
          <w:szCs w:val="32"/>
        </w:rPr>
      </w:pPr>
      <w:r>
        <w:rPr>
          <w:rFonts w:hint="eastAsia" w:ascii="仿宋_GB2312" w:eastAsia="仿宋_GB2312"/>
          <w:b/>
          <w:bCs/>
          <w:color w:val="auto"/>
          <w:sz w:val="32"/>
          <w:szCs w:val="32"/>
        </w:rPr>
        <w:t>第</w:t>
      </w:r>
      <w:r>
        <w:rPr>
          <w:rFonts w:hint="eastAsia" w:ascii="仿宋_GB2312" w:eastAsia="仿宋_GB2312"/>
          <w:b/>
          <w:bCs/>
          <w:color w:val="auto"/>
          <w:sz w:val="32"/>
          <w:szCs w:val="32"/>
          <w:lang w:val="en-US" w:eastAsia="zh-CN"/>
        </w:rPr>
        <w:t>四</w:t>
      </w:r>
      <w:r>
        <w:rPr>
          <w:rFonts w:hint="eastAsia" w:ascii="仿宋_GB2312" w:eastAsia="仿宋_GB2312"/>
          <w:b/>
          <w:bCs/>
          <w:color w:val="auto"/>
          <w:sz w:val="32"/>
          <w:szCs w:val="32"/>
        </w:rPr>
        <w:t>条</w:t>
      </w:r>
      <w:r>
        <w:rPr>
          <w:rFonts w:hint="eastAsia" w:ascii="仿宋_GB2312" w:eastAsia="仿宋_GB2312"/>
          <w:color w:val="auto"/>
          <w:sz w:val="32"/>
          <w:szCs w:val="32"/>
        </w:rPr>
        <w:t xml:space="preserve">  规下服务业、军民融合企业信息员在数据真实、按时报送的情况下，每人每季度发放300元工作</w:t>
      </w:r>
      <w:r>
        <w:rPr>
          <w:rFonts w:hint="eastAsia" w:ascii="仿宋_GB2312" w:eastAsia="仿宋_GB2312"/>
          <w:color w:val="auto"/>
          <w:sz w:val="32"/>
          <w:szCs w:val="32"/>
          <w:lang w:val="en-US" w:eastAsia="zh-CN"/>
        </w:rPr>
        <w:t>经费</w:t>
      </w:r>
      <w:r>
        <w:rPr>
          <w:rFonts w:hint="eastAsia" w:ascii="仿宋_GB2312" w:eastAsia="仿宋_GB2312"/>
          <w:color w:val="auto"/>
          <w:sz w:val="32"/>
          <w:szCs w:val="32"/>
        </w:rPr>
        <w:t>。物流企业信息员在数据真实、报送及时的情况下，每人每月发放200元工作</w:t>
      </w:r>
      <w:r>
        <w:rPr>
          <w:rFonts w:hint="eastAsia" w:ascii="仿宋_GB2312" w:eastAsia="仿宋_GB2312"/>
          <w:color w:val="auto"/>
          <w:sz w:val="32"/>
          <w:szCs w:val="32"/>
          <w:lang w:val="en-US" w:eastAsia="zh-CN"/>
        </w:rPr>
        <w:t>经费</w:t>
      </w:r>
      <w:r>
        <w:rPr>
          <w:rFonts w:hint="eastAsia" w:ascii="仿宋_GB2312" w:eastAsia="仿宋_GB2312"/>
          <w:color w:val="auto"/>
          <w:sz w:val="32"/>
          <w:szCs w:val="32"/>
        </w:rPr>
        <w:t>。</w:t>
      </w:r>
    </w:p>
    <w:p w14:paraId="69036BB0">
      <w:pPr>
        <w:keepNext w:val="0"/>
        <w:keepLines w:val="0"/>
        <w:pageBreakBefore w:val="0"/>
        <w:widowControl w:val="0"/>
        <w:kinsoku/>
        <w:wordWrap/>
        <w:topLinePunct w:val="0"/>
        <w:autoSpaceDE/>
        <w:autoSpaceDN/>
        <w:bidi w:val="0"/>
        <w:adjustRightInd/>
        <w:snapToGrid/>
        <w:spacing w:after="0" w:line="560" w:lineRule="exact"/>
        <w:ind w:firstLine="643" w:firstLineChars="200"/>
        <w:textAlignment w:val="auto"/>
        <w:rPr>
          <w:rFonts w:hint="eastAsia" w:ascii="仿宋_GB2312" w:eastAsia="仿宋_GB2312"/>
          <w:color w:val="auto"/>
          <w:sz w:val="32"/>
          <w:szCs w:val="32"/>
        </w:rPr>
      </w:pPr>
      <w:r>
        <w:rPr>
          <w:rFonts w:hint="eastAsia" w:ascii="仿宋_GB2312" w:eastAsia="仿宋_GB2312"/>
          <w:b/>
          <w:bCs/>
          <w:color w:val="auto"/>
          <w:sz w:val="32"/>
          <w:szCs w:val="32"/>
        </w:rPr>
        <w:t>第</w:t>
      </w:r>
      <w:r>
        <w:rPr>
          <w:rFonts w:hint="eastAsia" w:ascii="仿宋_GB2312" w:eastAsia="仿宋_GB2312"/>
          <w:b/>
          <w:bCs/>
          <w:color w:val="auto"/>
          <w:sz w:val="32"/>
          <w:szCs w:val="32"/>
          <w:lang w:val="en-US" w:eastAsia="zh-CN"/>
        </w:rPr>
        <w:t>五</w:t>
      </w:r>
      <w:r>
        <w:rPr>
          <w:rFonts w:hint="eastAsia" w:ascii="仿宋_GB2312" w:eastAsia="仿宋_GB2312"/>
          <w:b/>
          <w:bCs/>
          <w:color w:val="auto"/>
          <w:sz w:val="32"/>
          <w:szCs w:val="32"/>
        </w:rPr>
        <w:t>条</w:t>
      </w:r>
      <w:r>
        <w:rPr>
          <w:rFonts w:hint="eastAsia" w:ascii="仿宋_GB2312" w:eastAsia="仿宋_GB2312"/>
          <w:color w:val="auto"/>
          <w:sz w:val="32"/>
          <w:szCs w:val="32"/>
        </w:rPr>
        <w:t xml:space="preserve">  信息员需提交的兑付资料为：信息员个人身份证、银行卡号和开户行信息，经本企业负责人在兑付资料签字盖章后报送区工信局。信息员如有更换，应及时提交变更信息。</w:t>
      </w:r>
    </w:p>
    <w:p w14:paraId="2A51E553">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rPr>
          <w:rFonts w:hint="eastAsia" w:ascii="楷体_GB2312" w:hAnsi="楷体_GB2312" w:eastAsia="楷体_GB2312" w:cs="楷体_GB2312"/>
          <w:b/>
          <w:color w:val="auto"/>
          <w:sz w:val="32"/>
          <w:szCs w:val="32"/>
          <w:lang w:eastAsia="zh-CN"/>
        </w:rPr>
      </w:pPr>
      <w:r>
        <w:rPr>
          <w:rFonts w:hint="eastAsia" w:ascii="楷体_GB2312" w:hAnsi="楷体_GB2312" w:eastAsia="楷体_GB2312" w:cs="楷体_GB2312"/>
          <w:b/>
          <w:color w:val="auto"/>
          <w:sz w:val="32"/>
          <w:szCs w:val="32"/>
        </w:rPr>
        <w:t>第</w:t>
      </w:r>
      <w:r>
        <w:rPr>
          <w:rFonts w:hint="eastAsia" w:ascii="楷体_GB2312" w:hAnsi="楷体_GB2312" w:eastAsia="楷体_GB2312" w:cs="楷体_GB2312"/>
          <w:b/>
          <w:color w:val="auto"/>
          <w:sz w:val="32"/>
          <w:szCs w:val="32"/>
          <w:lang w:val="en-US" w:eastAsia="zh-CN"/>
        </w:rPr>
        <w:t>三</w:t>
      </w:r>
      <w:r>
        <w:rPr>
          <w:rFonts w:hint="eastAsia" w:ascii="楷体_GB2312" w:hAnsi="楷体_GB2312" w:eastAsia="楷体_GB2312" w:cs="楷体_GB2312"/>
          <w:b/>
          <w:color w:val="auto"/>
          <w:sz w:val="32"/>
          <w:szCs w:val="32"/>
        </w:rPr>
        <w:t xml:space="preserve">部分  </w:t>
      </w:r>
      <w:r>
        <w:rPr>
          <w:rFonts w:hint="eastAsia" w:ascii="楷体_GB2312" w:hAnsi="楷体_GB2312" w:eastAsia="楷体_GB2312" w:cs="楷体_GB2312"/>
          <w:b/>
          <w:color w:val="auto"/>
          <w:sz w:val="32"/>
          <w:szCs w:val="32"/>
          <w:lang w:val="en-US" w:eastAsia="zh-CN"/>
        </w:rPr>
        <w:t>政策引导</w:t>
      </w:r>
    </w:p>
    <w:p w14:paraId="63B5A4BF">
      <w:pPr>
        <w:keepNext w:val="0"/>
        <w:keepLines w:val="0"/>
        <w:pageBreakBefore w:val="0"/>
        <w:widowControl w:val="0"/>
        <w:kinsoku/>
        <w:wordWrap/>
        <w:topLinePunct w:val="0"/>
        <w:autoSpaceDE/>
        <w:autoSpaceDN/>
        <w:bidi w:val="0"/>
        <w:adjustRightInd/>
        <w:snapToGrid/>
        <w:spacing w:after="0" w:line="560" w:lineRule="exact"/>
        <w:ind w:firstLine="643" w:firstLineChars="200"/>
        <w:textAlignment w:val="auto"/>
        <w:rPr>
          <w:rFonts w:hint="default" w:ascii="仿宋_GB2312" w:hAnsi="Times New Roman" w:eastAsia="仿宋_GB2312" w:cs="Times New Roman"/>
          <w:color w:val="auto"/>
          <w:sz w:val="32"/>
          <w:szCs w:val="32"/>
          <w:lang w:val="en-US"/>
        </w:rPr>
      </w:pPr>
      <w:r>
        <w:rPr>
          <w:rFonts w:hint="eastAsia" w:ascii="仿宋_GB2312" w:eastAsia="仿宋_GB2312"/>
          <w:b/>
          <w:bCs/>
          <w:color w:val="auto"/>
          <w:sz w:val="32"/>
          <w:szCs w:val="32"/>
        </w:rPr>
        <w:t>第</w:t>
      </w:r>
      <w:r>
        <w:rPr>
          <w:rFonts w:hint="eastAsia" w:ascii="仿宋_GB2312" w:eastAsia="仿宋_GB2312"/>
          <w:b/>
          <w:bCs/>
          <w:color w:val="auto"/>
          <w:sz w:val="32"/>
          <w:szCs w:val="32"/>
          <w:lang w:val="en-US" w:eastAsia="zh-CN"/>
        </w:rPr>
        <w:t>六</w:t>
      </w:r>
      <w:r>
        <w:rPr>
          <w:rFonts w:hint="eastAsia" w:ascii="仿宋_GB2312" w:eastAsia="仿宋_GB2312"/>
          <w:b/>
          <w:bCs/>
          <w:color w:val="auto"/>
          <w:sz w:val="32"/>
          <w:szCs w:val="32"/>
        </w:rPr>
        <w:t>条</w:t>
      </w:r>
      <w:r>
        <w:rPr>
          <w:rFonts w:hint="eastAsia" w:ascii="仿宋_GB2312" w:eastAsia="仿宋_GB2312"/>
          <w:color w:val="auto"/>
          <w:sz w:val="32"/>
          <w:szCs w:val="32"/>
        </w:rPr>
        <w:t xml:space="preserve"> </w:t>
      </w:r>
      <w:r>
        <w:rPr>
          <w:rFonts w:hint="eastAsia" w:ascii="仿宋_GB2312" w:eastAsia="仿宋_GB2312"/>
          <w:color w:val="auto"/>
          <w:sz w:val="32"/>
          <w:szCs w:val="32"/>
          <w:lang w:val="en-US" w:eastAsia="zh-CN"/>
        </w:rPr>
        <w:t xml:space="preserve"> </w:t>
      </w:r>
      <w:r>
        <w:rPr>
          <w:rFonts w:hint="eastAsia" w:ascii="仿宋_GB2312" w:hAnsi="Times New Roman" w:eastAsia="仿宋_GB2312" w:cs="Times New Roman"/>
          <w:color w:val="auto"/>
          <w:sz w:val="32"/>
          <w:szCs w:val="32"/>
        </w:rPr>
        <w:t>鼓励商贸流通企业争创品牌</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依托大型商贸流通企业的营销网络，鼓励企业在区</w:t>
      </w:r>
      <w:r>
        <w:rPr>
          <w:rFonts w:hint="eastAsia" w:ascii="仿宋_GB2312" w:hAnsi="Times New Roman" w:eastAsia="仿宋_GB2312" w:cs="Times New Roman"/>
          <w:color w:val="auto"/>
          <w:sz w:val="32"/>
          <w:szCs w:val="32"/>
          <w:lang w:val="en-US" w:eastAsia="zh-CN"/>
        </w:rPr>
        <w:t>内</w:t>
      </w:r>
      <w:r>
        <w:rPr>
          <w:rFonts w:hint="eastAsia" w:ascii="仿宋_GB2312" w:hAnsi="Times New Roman" w:eastAsia="仿宋_GB2312" w:cs="Times New Roman"/>
          <w:color w:val="auto"/>
          <w:sz w:val="32"/>
          <w:szCs w:val="32"/>
        </w:rPr>
        <w:t>外设立连锁经营门店，加大杨凌品牌推广力度。对商贸流通企业在区</w:t>
      </w:r>
      <w:r>
        <w:rPr>
          <w:rFonts w:hint="eastAsia" w:ascii="仿宋_GB2312" w:hAnsi="Times New Roman" w:eastAsia="仿宋_GB2312" w:cs="Times New Roman"/>
          <w:color w:val="auto"/>
          <w:sz w:val="32"/>
          <w:szCs w:val="32"/>
          <w:lang w:val="en-US" w:eastAsia="zh-CN"/>
        </w:rPr>
        <w:t>内</w:t>
      </w:r>
      <w:r>
        <w:rPr>
          <w:rFonts w:hint="eastAsia" w:ascii="仿宋_GB2312" w:hAnsi="Times New Roman" w:eastAsia="仿宋_GB2312" w:cs="Times New Roman"/>
          <w:color w:val="auto"/>
          <w:sz w:val="32"/>
          <w:szCs w:val="32"/>
        </w:rPr>
        <w:t>外设立的连锁经营门店，</w:t>
      </w:r>
      <w:r>
        <w:rPr>
          <w:rFonts w:hint="eastAsia" w:ascii="仿宋_GB2312" w:hAnsi="Times New Roman" w:eastAsia="仿宋_GB2312" w:cs="Times New Roman"/>
          <w:color w:val="auto"/>
          <w:sz w:val="32"/>
          <w:szCs w:val="32"/>
          <w:lang w:val="en-US" w:eastAsia="zh-CN"/>
        </w:rPr>
        <w:t>发展总部经济的企业，</w:t>
      </w:r>
      <w:r>
        <w:rPr>
          <w:rFonts w:hint="eastAsia" w:ascii="仿宋_GB2312" w:hAnsi="Times New Roman" w:eastAsia="仿宋_GB2312" w:cs="Times New Roman"/>
          <w:color w:val="auto"/>
          <w:sz w:val="32"/>
          <w:szCs w:val="32"/>
        </w:rPr>
        <w:t>按照其建设规模及数量，</w:t>
      </w:r>
      <w:r>
        <w:rPr>
          <w:rFonts w:hint="eastAsia" w:ascii="仿宋_GB2312" w:hAnsi="Times New Roman" w:eastAsia="仿宋_GB2312" w:cs="Times New Roman"/>
          <w:color w:val="auto"/>
          <w:sz w:val="32"/>
          <w:szCs w:val="32"/>
          <w:lang w:val="en-US" w:eastAsia="zh-CN"/>
        </w:rPr>
        <w:t>给予新设直营店每店3至5万元经费支持。支持商场、酒店、加油站等设立杨凌特色产品专柜、专区，对于首次设立杨凌特色产品专区面积达到10平米及以上，陈列产品15类以上，给予一次性最高3000元的货柜补贴。</w:t>
      </w:r>
    </w:p>
    <w:p w14:paraId="14F5BDC3">
      <w:pPr>
        <w:keepNext w:val="0"/>
        <w:keepLines w:val="0"/>
        <w:pageBreakBefore w:val="0"/>
        <w:widowControl w:val="0"/>
        <w:kinsoku/>
        <w:wordWrap/>
        <w:topLinePunct w:val="0"/>
        <w:autoSpaceDE/>
        <w:autoSpaceDN/>
        <w:bidi w:val="0"/>
        <w:adjustRightInd/>
        <w:snapToGrid/>
        <w:spacing w:after="0" w:line="560" w:lineRule="exact"/>
        <w:ind w:firstLine="643" w:firstLineChars="200"/>
        <w:textAlignment w:val="auto"/>
        <w:rPr>
          <w:rFonts w:hint="eastAsia" w:ascii="仿宋_GB2312" w:hAnsi="Times New Roman" w:eastAsia="仿宋_GB2312" w:cs="Times New Roman"/>
          <w:color w:val="auto"/>
          <w:sz w:val="32"/>
          <w:szCs w:val="32"/>
          <w:highlight w:val="yellow"/>
        </w:rPr>
      </w:pPr>
      <w:r>
        <w:rPr>
          <w:rFonts w:hint="eastAsia" w:ascii="仿宋_GB2312" w:eastAsia="仿宋_GB2312"/>
          <w:b/>
          <w:bCs/>
          <w:color w:val="auto"/>
          <w:sz w:val="32"/>
          <w:szCs w:val="32"/>
          <w:lang w:val="en-US" w:eastAsia="zh-CN"/>
        </w:rPr>
        <w:t>第七条</w:t>
      </w:r>
      <w:r>
        <w:rPr>
          <w:rFonts w:hint="eastAsia" w:ascii="仿宋_GB2312" w:hAnsi="Times New Roman" w:eastAsia="仿宋_GB2312" w:cs="Times New Roman"/>
          <w:color w:val="auto"/>
          <w:sz w:val="32"/>
          <w:szCs w:val="32"/>
          <w:lang w:val="en-US" w:eastAsia="zh-CN"/>
        </w:rPr>
        <w:t xml:space="preserve">  </w:t>
      </w:r>
      <w:r>
        <w:rPr>
          <w:rFonts w:hint="eastAsia" w:ascii="仿宋_GB2312" w:hAnsi="Times New Roman" w:eastAsia="仿宋_GB2312" w:cs="Times New Roman"/>
          <w:color w:val="auto"/>
          <w:sz w:val="32"/>
          <w:szCs w:val="32"/>
        </w:rPr>
        <w:t>鼓励</w:t>
      </w:r>
      <w:r>
        <w:rPr>
          <w:rFonts w:hint="eastAsia" w:ascii="仿宋_GB2312" w:hAnsi="Times New Roman" w:eastAsia="仿宋_GB2312" w:cs="Times New Roman"/>
          <w:color w:val="auto"/>
          <w:sz w:val="32"/>
          <w:szCs w:val="32"/>
          <w:lang w:val="en-US" w:eastAsia="zh-CN"/>
        </w:rPr>
        <w:t>市场</w:t>
      </w:r>
      <w:r>
        <w:rPr>
          <w:rFonts w:hint="eastAsia" w:ascii="仿宋_GB2312" w:hAnsi="Times New Roman" w:eastAsia="仿宋_GB2312" w:cs="Times New Roman"/>
          <w:color w:val="auto"/>
          <w:sz w:val="32"/>
          <w:szCs w:val="32"/>
        </w:rPr>
        <w:t>现代流通体系建设。针对实现统一结算、统一账目管理</w:t>
      </w:r>
      <w:r>
        <w:rPr>
          <w:rFonts w:hint="default" w:ascii="仿宋_GB2312" w:hAnsi="Times New Roman" w:eastAsia="仿宋_GB2312" w:cs="Times New Roman"/>
          <w:color w:val="auto"/>
          <w:sz w:val="32"/>
          <w:szCs w:val="32"/>
        </w:rPr>
        <w:t>且成功纳入统计范围的</w:t>
      </w:r>
      <w:r>
        <w:rPr>
          <w:rFonts w:hint="eastAsia" w:ascii="仿宋_GB2312" w:hAnsi="Times New Roman" w:eastAsia="仿宋_GB2312" w:cs="Times New Roman"/>
          <w:color w:val="auto"/>
          <w:sz w:val="32"/>
          <w:szCs w:val="32"/>
          <w:lang w:val="en-US" w:eastAsia="zh-CN"/>
        </w:rPr>
        <w:t>商场</w:t>
      </w:r>
      <w:r>
        <w:rPr>
          <w:rFonts w:hint="default" w:ascii="仿宋_GB2312" w:hAnsi="Times New Roman" w:eastAsia="仿宋_GB2312" w:cs="Times New Roman"/>
          <w:color w:val="auto"/>
          <w:sz w:val="32"/>
          <w:szCs w:val="32"/>
        </w:rPr>
        <w:t>、</w:t>
      </w:r>
      <w:r>
        <w:rPr>
          <w:rFonts w:hint="eastAsia" w:ascii="仿宋_GB2312" w:hAnsi="Times New Roman" w:eastAsia="仿宋_GB2312" w:cs="Times New Roman"/>
          <w:color w:val="auto"/>
          <w:sz w:val="32"/>
          <w:szCs w:val="32"/>
          <w:lang w:val="en-US" w:eastAsia="zh-CN"/>
        </w:rPr>
        <w:t>综合</w:t>
      </w:r>
      <w:r>
        <w:rPr>
          <w:rFonts w:hint="default" w:ascii="仿宋_GB2312" w:hAnsi="Times New Roman" w:eastAsia="仿宋_GB2312" w:cs="Times New Roman"/>
          <w:color w:val="auto"/>
          <w:sz w:val="32"/>
          <w:szCs w:val="32"/>
        </w:rPr>
        <w:t>市场</w:t>
      </w:r>
      <w:r>
        <w:rPr>
          <w:rFonts w:hint="eastAsia" w:ascii="仿宋_GB2312" w:hAnsi="Times New Roman" w:eastAsia="仿宋_GB2312" w:cs="Times New Roman"/>
          <w:color w:val="auto"/>
          <w:sz w:val="32"/>
          <w:szCs w:val="32"/>
          <w:lang w:eastAsia="zh-CN"/>
        </w:rPr>
        <w:t>。</w:t>
      </w:r>
      <w:r>
        <w:rPr>
          <w:rFonts w:hint="default" w:ascii="仿宋_GB2312" w:hAnsi="Times New Roman" w:eastAsia="仿宋_GB2312" w:cs="Times New Roman"/>
          <w:color w:val="auto"/>
          <w:sz w:val="32"/>
          <w:szCs w:val="32"/>
        </w:rPr>
        <w:t>根据</w:t>
      </w:r>
      <w:r>
        <w:rPr>
          <w:rFonts w:hint="eastAsia" w:ascii="仿宋_GB2312" w:hAnsi="Times New Roman" w:eastAsia="仿宋_GB2312" w:cs="Times New Roman"/>
          <w:color w:val="auto"/>
          <w:sz w:val="32"/>
          <w:szCs w:val="32"/>
          <w:lang w:val="en-US" w:eastAsia="zh-CN"/>
        </w:rPr>
        <w:t>其</w:t>
      </w:r>
      <w:r>
        <w:rPr>
          <w:rFonts w:hint="default" w:ascii="仿宋_GB2312" w:hAnsi="Times New Roman" w:eastAsia="仿宋_GB2312" w:cs="Times New Roman"/>
          <w:color w:val="auto"/>
          <w:sz w:val="32"/>
          <w:szCs w:val="32"/>
        </w:rPr>
        <w:t>规模、</w:t>
      </w:r>
      <w:r>
        <w:rPr>
          <w:rFonts w:hint="eastAsia" w:ascii="仿宋_GB2312" w:hAnsi="Times New Roman" w:eastAsia="仿宋_GB2312" w:cs="Times New Roman"/>
          <w:color w:val="auto"/>
          <w:sz w:val="32"/>
          <w:szCs w:val="32"/>
          <w:lang w:val="en-US" w:eastAsia="zh-CN"/>
        </w:rPr>
        <w:t>应用场景</w:t>
      </w:r>
      <w:r>
        <w:rPr>
          <w:rFonts w:hint="default" w:ascii="仿宋_GB2312" w:hAnsi="Times New Roman" w:eastAsia="仿宋_GB2312" w:cs="Times New Roman"/>
          <w:color w:val="auto"/>
          <w:sz w:val="32"/>
          <w:szCs w:val="32"/>
        </w:rPr>
        <w:t>投入等因素，</w:t>
      </w:r>
      <w:r>
        <w:rPr>
          <w:rFonts w:hint="eastAsia" w:ascii="仿宋_GB2312" w:hAnsi="Times New Roman" w:eastAsia="仿宋_GB2312" w:cs="Times New Roman"/>
          <w:color w:val="auto"/>
          <w:sz w:val="32"/>
          <w:szCs w:val="32"/>
          <w:lang w:eastAsia="zh-CN"/>
        </w:rPr>
        <w:t>给予</w:t>
      </w:r>
      <w:r>
        <w:rPr>
          <w:rFonts w:hint="eastAsia" w:ascii="仿宋_GB2312" w:hAnsi="Times New Roman" w:eastAsia="仿宋_GB2312" w:cs="Times New Roman"/>
          <w:color w:val="auto"/>
          <w:sz w:val="32"/>
          <w:szCs w:val="32"/>
          <w:lang w:val="en-US" w:eastAsia="zh-CN"/>
        </w:rPr>
        <w:t>5至10万元经费支持</w:t>
      </w:r>
      <w:r>
        <w:rPr>
          <w:rFonts w:hint="eastAsia" w:ascii="仿宋_GB2312" w:hAnsi="Times New Roman" w:eastAsia="仿宋_GB2312" w:cs="Times New Roman"/>
          <w:color w:val="auto"/>
          <w:sz w:val="32"/>
          <w:szCs w:val="32"/>
          <w:lang w:eastAsia="zh-CN"/>
        </w:rPr>
        <w:t>。</w:t>
      </w:r>
    </w:p>
    <w:p w14:paraId="2BF83182">
      <w:pPr>
        <w:keepNext w:val="0"/>
        <w:keepLines w:val="0"/>
        <w:pageBreakBefore w:val="0"/>
        <w:widowControl w:val="0"/>
        <w:kinsoku/>
        <w:wordWrap/>
        <w:topLinePunct w:val="0"/>
        <w:autoSpaceDE/>
        <w:autoSpaceDN/>
        <w:bidi w:val="0"/>
        <w:adjustRightInd/>
        <w:snapToGrid/>
        <w:spacing w:after="0" w:line="560" w:lineRule="exact"/>
        <w:ind w:firstLine="643" w:firstLineChars="200"/>
        <w:textAlignment w:val="auto"/>
        <w:rPr>
          <w:rFonts w:hint="eastAsia" w:ascii="仿宋_GB2312" w:hAnsi="Times New Roman" w:eastAsia="仿宋_GB2312" w:cs="Times New Roman"/>
          <w:color w:val="auto"/>
          <w:sz w:val="32"/>
          <w:szCs w:val="32"/>
          <w:lang w:val="en-US" w:eastAsia="zh-CN"/>
        </w:rPr>
      </w:pPr>
      <w:r>
        <w:rPr>
          <w:rFonts w:hint="eastAsia" w:ascii="仿宋_GB2312" w:eastAsia="仿宋_GB2312"/>
          <w:b/>
          <w:bCs/>
          <w:color w:val="auto"/>
          <w:sz w:val="32"/>
          <w:szCs w:val="32"/>
          <w:lang w:val="en-US" w:eastAsia="zh-CN"/>
        </w:rPr>
        <w:t>第八条</w:t>
      </w:r>
      <w:r>
        <w:rPr>
          <w:rFonts w:hint="eastAsia" w:ascii="仿宋_GB2312" w:hAnsi="Times New Roman" w:eastAsia="仿宋_GB2312" w:cs="Times New Roman"/>
          <w:color w:val="auto"/>
          <w:sz w:val="32"/>
          <w:szCs w:val="32"/>
          <w:lang w:val="en-US" w:eastAsia="zh-CN"/>
        </w:rPr>
        <w:t xml:space="preserve">  </w:t>
      </w:r>
      <w:r>
        <w:rPr>
          <w:rFonts w:hint="eastAsia" w:ascii="仿宋_GB2312" w:hAnsi="Times New Roman" w:eastAsia="仿宋_GB2312" w:cs="Times New Roman"/>
          <w:color w:val="auto"/>
          <w:sz w:val="32"/>
          <w:szCs w:val="32"/>
        </w:rPr>
        <w:t>鼓励发展电子商务</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支持电商企业做大做强</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rPr>
        <w:t>鼓励企业提升电商运营能力，开展电商人才培养。对</w:t>
      </w:r>
      <w:r>
        <w:rPr>
          <w:rFonts w:hint="eastAsia" w:ascii="仿宋_GB2312" w:hAnsi="Times New Roman" w:eastAsia="仿宋_GB2312" w:cs="Times New Roman"/>
          <w:color w:val="auto"/>
          <w:sz w:val="32"/>
          <w:szCs w:val="32"/>
          <w:lang w:val="en-US" w:eastAsia="zh-CN"/>
        </w:rPr>
        <w:t>在库批发、零售类电商企业</w:t>
      </w:r>
      <w:r>
        <w:rPr>
          <w:rFonts w:hint="eastAsia" w:ascii="仿宋_GB2312" w:hAnsi="Times New Roman" w:eastAsia="仿宋_GB2312" w:cs="Times New Roman"/>
          <w:color w:val="auto"/>
          <w:sz w:val="32"/>
          <w:szCs w:val="32"/>
        </w:rPr>
        <w:t>市场化运营好、产业带动力强</w:t>
      </w:r>
      <w:r>
        <w:rPr>
          <w:rFonts w:hint="eastAsia" w:ascii="仿宋_GB2312" w:hAnsi="Times New Roman" w:eastAsia="仿宋_GB2312" w:cs="Times New Roman"/>
          <w:color w:val="auto"/>
          <w:sz w:val="32"/>
          <w:szCs w:val="32"/>
          <w:lang w:eastAsia="zh-CN"/>
        </w:rPr>
        <w:t>、</w:t>
      </w:r>
      <w:r>
        <w:rPr>
          <w:rFonts w:hint="eastAsia" w:ascii="仿宋_GB2312" w:hAnsi="Times New Roman" w:eastAsia="仿宋_GB2312" w:cs="Times New Roman"/>
          <w:color w:val="auto"/>
          <w:sz w:val="32"/>
          <w:szCs w:val="32"/>
          <w:lang w:val="en-US" w:eastAsia="zh-CN"/>
        </w:rPr>
        <w:t>年度销售突出且及时准确报送数据</w:t>
      </w:r>
      <w:r>
        <w:rPr>
          <w:rFonts w:hint="eastAsia" w:ascii="仿宋_GB2312" w:hAnsi="Times New Roman" w:eastAsia="仿宋_GB2312" w:cs="Times New Roman"/>
          <w:color w:val="auto"/>
          <w:sz w:val="32"/>
          <w:szCs w:val="32"/>
        </w:rPr>
        <w:t>的</w:t>
      </w:r>
      <w:r>
        <w:rPr>
          <w:rFonts w:hint="eastAsia" w:ascii="仿宋_GB2312" w:hAnsi="Times New Roman" w:eastAsia="仿宋_GB2312" w:cs="Times New Roman"/>
          <w:color w:val="auto"/>
          <w:sz w:val="32"/>
          <w:szCs w:val="32"/>
          <w:lang w:val="en-US" w:eastAsia="zh-CN"/>
        </w:rPr>
        <w:t>，给予其年度运营投入不超过5万元资金支持。</w:t>
      </w:r>
    </w:p>
    <w:p w14:paraId="56F8C901">
      <w:pPr>
        <w:keepNext w:val="0"/>
        <w:keepLines w:val="0"/>
        <w:pageBreakBefore w:val="0"/>
        <w:widowControl w:val="0"/>
        <w:kinsoku/>
        <w:wordWrap/>
        <w:topLinePunct w:val="0"/>
        <w:autoSpaceDE/>
        <w:autoSpaceDN/>
        <w:bidi w:val="0"/>
        <w:adjustRightInd/>
        <w:snapToGrid/>
        <w:spacing w:after="0" w:line="560" w:lineRule="exact"/>
        <w:ind w:firstLine="643" w:firstLineChars="200"/>
        <w:textAlignment w:val="auto"/>
        <w:rPr>
          <w:rFonts w:hint="eastAsia" w:ascii="仿宋_GB2312" w:hAnsi="Times New Roman" w:eastAsia="仿宋_GB2312" w:cs="Times New Roman"/>
          <w:color w:val="auto"/>
          <w:sz w:val="32"/>
          <w:szCs w:val="32"/>
          <w:lang w:val="en-US" w:eastAsia="zh-CN"/>
        </w:rPr>
      </w:pPr>
      <w:r>
        <w:rPr>
          <w:rFonts w:hint="eastAsia" w:ascii="仿宋_GB2312" w:eastAsia="仿宋_GB2312"/>
          <w:b/>
          <w:bCs/>
          <w:color w:val="auto"/>
          <w:sz w:val="32"/>
          <w:szCs w:val="32"/>
          <w:lang w:val="en-US" w:eastAsia="zh-CN"/>
        </w:rPr>
        <w:t xml:space="preserve">第九条 </w:t>
      </w:r>
      <w:r>
        <w:rPr>
          <w:rFonts w:hint="eastAsia" w:ascii="仿宋_GB2312" w:hAnsi="Times New Roman" w:eastAsia="仿宋_GB2312" w:cs="Times New Roman"/>
          <w:color w:val="auto"/>
          <w:sz w:val="32"/>
          <w:szCs w:val="32"/>
          <w:lang w:val="en-US" w:eastAsia="zh-CN"/>
        </w:rPr>
        <w:t xml:space="preserve"> </w:t>
      </w:r>
      <w:r>
        <w:rPr>
          <w:rFonts w:hint="eastAsia" w:ascii="仿宋_GB2312" w:hAnsi="仿宋_GB2312" w:eastAsia="仿宋_GB2312" w:cs="仿宋_GB2312"/>
          <w:color w:val="auto"/>
          <w:kern w:val="0"/>
          <w:sz w:val="32"/>
          <w:szCs w:val="32"/>
          <w:lang w:val="en-US" w:eastAsia="zh-CN" w:bidi="ar"/>
        </w:rPr>
        <w:t>鼓励区内电商、餐饮、住宿、汽车等行业企业依法成立行业组织。支持行业组织和企业策划开展促消费系列活动，对活动消费拉动效果明显的，按活动实际投入给予一定比例补贴。行业组织和企业开展政策培训、项目申报、技能比拼等日常服务工作的，可另行申请基础工作经费支持。</w:t>
      </w:r>
    </w:p>
    <w:p w14:paraId="0F2FC27C">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rPr>
          <w:rFonts w:hint="eastAsia" w:ascii="楷体_GB2312" w:hAnsi="楷体_GB2312" w:eastAsia="楷体_GB2312" w:cs="楷体_GB2312"/>
          <w:b/>
          <w:color w:val="auto"/>
          <w:sz w:val="32"/>
          <w:szCs w:val="32"/>
        </w:rPr>
      </w:pPr>
      <w:r>
        <w:rPr>
          <w:rFonts w:hint="eastAsia" w:ascii="楷体_GB2312" w:hAnsi="楷体_GB2312" w:eastAsia="楷体_GB2312" w:cs="楷体_GB2312"/>
          <w:b/>
          <w:color w:val="auto"/>
          <w:sz w:val="32"/>
          <w:szCs w:val="32"/>
        </w:rPr>
        <w:t>第</w:t>
      </w:r>
      <w:r>
        <w:rPr>
          <w:rFonts w:hint="eastAsia" w:ascii="楷体_GB2312" w:hAnsi="楷体_GB2312" w:eastAsia="楷体_GB2312" w:cs="楷体_GB2312"/>
          <w:b/>
          <w:color w:val="auto"/>
          <w:sz w:val="32"/>
          <w:szCs w:val="32"/>
          <w:lang w:val="en-US" w:eastAsia="zh-CN"/>
        </w:rPr>
        <w:t>四</w:t>
      </w:r>
      <w:r>
        <w:rPr>
          <w:rFonts w:hint="eastAsia" w:ascii="楷体_GB2312" w:hAnsi="楷体_GB2312" w:eastAsia="楷体_GB2312" w:cs="楷体_GB2312"/>
          <w:b/>
          <w:color w:val="auto"/>
          <w:sz w:val="32"/>
          <w:szCs w:val="32"/>
        </w:rPr>
        <w:t>部分  附  则</w:t>
      </w:r>
    </w:p>
    <w:p w14:paraId="55AED654">
      <w:pPr>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default" w:ascii="仿宋_GB2312" w:hAnsi="仿宋_GB2312" w:eastAsia="仿宋_GB2312" w:cs="仿宋_GB2312"/>
          <w:color w:val="auto"/>
          <w:kern w:val="0"/>
          <w:sz w:val="32"/>
          <w:szCs w:val="32"/>
          <w:lang w:val="en-US" w:eastAsia="zh-CN" w:bidi="ar"/>
        </w:rPr>
      </w:pPr>
      <w:r>
        <w:rPr>
          <w:rFonts w:hint="eastAsia" w:ascii="仿宋_GB2312" w:eastAsia="仿宋_GB2312"/>
          <w:b/>
          <w:bCs/>
          <w:color w:val="auto"/>
          <w:sz w:val="32"/>
          <w:szCs w:val="32"/>
        </w:rPr>
        <w:t>第十条</w:t>
      </w:r>
      <w:r>
        <w:rPr>
          <w:rFonts w:hint="eastAsia" w:ascii="仿宋_GB2312" w:eastAsia="仿宋_GB2312"/>
          <w:color w:val="auto"/>
          <w:sz w:val="32"/>
          <w:szCs w:val="32"/>
        </w:rPr>
        <w:t xml:space="preserve">  本办法</w:t>
      </w:r>
      <w:r>
        <w:rPr>
          <w:rFonts w:hint="eastAsia" w:ascii="仿宋_GB2312" w:eastAsia="仿宋_GB2312"/>
          <w:color w:val="auto"/>
          <w:sz w:val="32"/>
          <w:szCs w:val="32"/>
          <w:lang w:val="en-US" w:eastAsia="zh-CN"/>
        </w:rPr>
        <w:t>自</w:t>
      </w:r>
      <w:r>
        <w:rPr>
          <w:rFonts w:hint="eastAsia" w:ascii="仿宋_GB2312" w:eastAsia="仿宋_GB2312"/>
          <w:color w:val="auto"/>
          <w:sz w:val="32"/>
          <w:szCs w:val="32"/>
        </w:rPr>
        <w:t>印发之日起</w:t>
      </w:r>
      <w:r>
        <w:rPr>
          <w:rFonts w:hint="eastAsia" w:ascii="仿宋_GB2312" w:eastAsia="仿宋_GB2312"/>
          <w:color w:val="auto"/>
          <w:sz w:val="32"/>
          <w:szCs w:val="32"/>
          <w:lang w:val="en-US" w:eastAsia="zh-CN"/>
        </w:rPr>
        <w:t>施行</w:t>
      </w:r>
      <w:r>
        <w:rPr>
          <w:rFonts w:hint="eastAsia" w:ascii="仿宋_GB2312" w:eastAsia="仿宋_GB2312"/>
          <w:color w:val="auto"/>
          <w:sz w:val="32"/>
          <w:szCs w:val="32"/>
          <w:lang w:eastAsia="zh-CN"/>
        </w:rPr>
        <w:t>，</w:t>
      </w:r>
      <w:r>
        <w:rPr>
          <w:rFonts w:hint="eastAsia" w:ascii="仿宋_GB2312" w:hAnsi="仿宋_GB2312" w:eastAsia="仿宋_GB2312" w:cs="仿宋_GB2312"/>
          <w:i w:val="0"/>
          <w:iCs w:val="0"/>
          <w:caps w:val="0"/>
          <w:color w:val="auto"/>
          <w:spacing w:val="0"/>
          <w:sz w:val="32"/>
          <w:szCs w:val="32"/>
          <w:highlight w:val="none"/>
          <w:shd w:val="clear" w:color="auto" w:fill="FFFFFF"/>
        </w:rPr>
        <w:t>有效期五年</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w:t>
      </w:r>
      <w:r>
        <w:rPr>
          <w:rFonts w:hint="eastAsia" w:ascii="仿宋_GB2312" w:eastAsia="仿宋_GB2312"/>
          <w:color w:val="auto"/>
          <w:sz w:val="32"/>
          <w:szCs w:val="32"/>
        </w:rPr>
        <w:t>未尽事宜由区工信（商务）局负责解释。</w:t>
      </w:r>
    </w:p>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1E37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98766E">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98766E">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586AB4"/>
    <w:rsid w:val="06FF6AAE"/>
    <w:rsid w:val="211E252D"/>
    <w:rsid w:val="32674841"/>
    <w:rsid w:val="32C25245"/>
    <w:rsid w:val="360109F6"/>
    <w:rsid w:val="3D586AB4"/>
    <w:rsid w:val="456840B3"/>
    <w:rsid w:val="508362F4"/>
    <w:rsid w:val="5ADA6431"/>
    <w:rsid w:val="61732219"/>
    <w:rsid w:val="71A5210D"/>
    <w:rsid w:val="73710794"/>
    <w:rsid w:val="7BBA5E06"/>
    <w:rsid w:val="7F7830D1"/>
    <w:rsid w:val="FDFE1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next w:val="1"/>
    <w:qFormat/>
    <w:uiPriority w:val="0"/>
    <w:pPr>
      <w:spacing w:after="120" w:line="276" w:lineRule="auto"/>
    </w:pPr>
    <w:rPr>
      <w:rFonts w:asciiTheme="minorHAnsi" w:hAnsiTheme="minorHAnsi" w:eastAsiaTheme="minorEastAsia" w:cstheme="minorBidi"/>
      <w:sz w:val="22"/>
      <w:szCs w:val="2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3899</Words>
  <Characters>3939</Characters>
  <Lines>0</Lines>
  <Paragraphs>0</Paragraphs>
  <TotalTime>7</TotalTime>
  <ScaleCrop>false</ScaleCrop>
  <LinksUpToDate>false</LinksUpToDate>
  <CharactersWithSpaces>4015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2026-08-21T10:56:00Z</dcterms:created>
  <dc:creator>凌云</dc:creator>
  <cp:lastModifiedBy>张文博</cp:lastModifiedBy>
  <cp:lastPrinted>2026-08-25T11:35:00Z</cp:lastPrinted>
  <dcterms:modified xsi:type="dcterms:W3CDTF">2026-08-28T07:46:07Z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CF032C3823443AD4BE4D8D6AED3A6E8E_43</vt:lpwstr>
  </property>
  <property fmtid="{D5CDD505-2E9C-101B-9397-08002B2CF9AE}" pid="4" name="KSOTemplateDocerSaveRecord">
    <vt:lpwstr>eyJoZGlkIjoiYmFkNTliMDcwNWY0NDA4Y2VmMGFhMTc3NThhY2M4NWMiLCJ1c2VySWQiOiI0Mjg4Nzc2MjkifQ==</vt:lpwstr>
  </property>
</Properties>
</file>