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49435">
      <w:pPr>
        <w:keepNext/>
        <w:keepLines/>
        <w:ind w:firstLine="0" w:firstLineChars="0"/>
        <w:outlineLvl w:val="0"/>
        <w:rPr>
          <w:rFonts w:ascii="Times New Roman Regular" w:hAnsi="Times New Roman Regular" w:eastAsia="黑体" w:cs="Times New Roman Regular"/>
          <w:color w:val="auto"/>
          <w:kern w:val="44"/>
          <w:szCs w:val="44"/>
          <w:highlight w:val="none"/>
        </w:rPr>
      </w:pPr>
      <w:bookmarkStart w:id="5" w:name="_GoBack"/>
      <w:bookmarkEnd w:id="5"/>
      <w:bookmarkStart w:id="0" w:name="OLE_LINK1"/>
      <w:r>
        <w:rPr>
          <w:rFonts w:ascii="Times New Roman Regular" w:hAnsi="Times New Roman Regular" w:eastAsia="黑体" w:cs="Times New Roman Regular"/>
          <w:color w:val="auto"/>
          <w:kern w:val="44"/>
          <w:szCs w:val="44"/>
          <w:highlight w:val="none"/>
        </w:rPr>
        <w:t>附件3</w:t>
      </w:r>
    </w:p>
    <w:p w14:paraId="4C36B070">
      <w:pPr>
        <w:ind w:firstLine="0" w:firstLineChars="0"/>
        <w:rPr>
          <w:rFonts w:ascii="Times New Roman Regular" w:hAnsi="Times New Roman Regular" w:cs="Times New Roman Regular"/>
          <w:color w:val="auto"/>
          <w:highlight w:val="none"/>
        </w:rPr>
      </w:pPr>
    </w:p>
    <w:p w14:paraId="5D67DEDF">
      <w:pPr>
        <w:widowControl/>
        <w:overflowPunct/>
        <w:ind w:firstLine="0" w:firstLineChars="0"/>
        <w:jc w:val="center"/>
        <w:rPr>
          <w:rFonts w:hint="eastAsia" w:ascii="Times New Roman Regular" w:hAnsi="Times New Roman Regular" w:eastAsia="方正小标宋_GBK" w:cs="Times New Roman Regular"/>
          <w:color w:val="auto"/>
          <w:sz w:val="44"/>
          <w:szCs w:val="44"/>
          <w:highlight w:val="none"/>
          <w:lang w:eastAsia="zh-CN"/>
        </w:rPr>
      </w:pPr>
      <w:r>
        <w:rPr>
          <w:rFonts w:hint="eastAsia" w:ascii="Times New Roman Regular" w:hAnsi="Times New Roman Regular" w:eastAsia="方正小标宋_GBK" w:cs="Times New Roman Regular"/>
          <w:color w:val="auto"/>
          <w:sz w:val="44"/>
          <w:szCs w:val="44"/>
          <w:highlight w:val="none"/>
          <w:lang w:eastAsia="zh-CN"/>
        </w:rPr>
        <w:t>杨陵区</w:t>
      </w:r>
      <w:r>
        <w:rPr>
          <w:rFonts w:ascii="Times New Roman Regular" w:hAnsi="Times New Roman Regular" w:eastAsia="方正小标宋_GBK" w:cs="Times New Roman Regular"/>
          <w:color w:val="auto"/>
          <w:sz w:val="44"/>
          <w:szCs w:val="44"/>
          <w:highlight w:val="none"/>
        </w:rPr>
        <w:t>互联网租赁自行车</w:t>
      </w:r>
      <w:bookmarkEnd w:id="0"/>
      <w:r>
        <w:rPr>
          <w:rFonts w:ascii="Times New Roman Regular" w:hAnsi="Times New Roman Regular" w:eastAsia="方正小标宋_GBK" w:cs="Times New Roman Regular"/>
          <w:color w:val="auto"/>
          <w:sz w:val="44"/>
          <w:szCs w:val="44"/>
          <w:highlight w:val="none"/>
        </w:rPr>
        <w:t>运营服务主体</w:t>
      </w:r>
      <w:r>
        <w:rPr>
          <w:rFonts w:hint="eastAsia" w:ascii="Times New Roman Regular" w:hAnsi="Times New Roman Regular" w:eastAsia="方正小标宋_GBK" w:cs="Times New Roman Regular"/>
          <w:color w:val="auto"/>
          <w:sz w:val="44"/>
          <w:szCs w:val="44"/>
          <w:highlight w:val="none"/>
          <w:lang w:eastAsia="zh-CN"/>
        </w:rPr>
        <w:t>招募</w:t>
      </w:r>
    </w:p>
    <w:p w14:paraId="691B83D7">
      <w:pPr>
        <w:widowControl/>
        <w:overflowPunct/>
        <w:ind w:firstLine="0" w:firstLineChars="0"/>
        <w:jc w:val="center"/>
        <w:rPr>
          <w:rFonts w:ascii="Times New Roman Regular" w:hAnsi="Times New Roman Regular" w:eastAsia="方正小标宋_GBK" w:cs="Times New Roman Regular"/>
          <w:color w:val="auto"/>
          <w:sz w:val="44"/>
          <w:szCs w:val="44"/>
          <w:highlight w:val="none"/>
        </w:rPr>
      </w:pPr>
      <w:r>
        <w:rPr>
          <w:rFonts w:ascii="Times New Roman Regular" w:hAnsi="Times New Roman Regular" w:eastAsia="方正小标宋_GBK" w:cs="Times New Roman Regular"/>
          <w:color w:val="auto"/>
          <w:sz w:val="44"/>
          <w:szCs w:val="44"/>
          <w:highlight w:val="none"/>
        </w:rPr>
        <w:t>项目评审办法</w:t>
      </w:r>
    </w:p>
    <w:p w14:paraId="5F9DB010">
      <w:pPr>
        <w:widowControl/>
        <w:overflowPunct/>
        <w:ind w:firstLine="0" w:firstLineChars="0"/>
        <w:jc w:val="center"/>
        <w:rPr>
          <w:rFonts w:ascii="Times New Roman Regular" w:hAnsi="Times New Roman Regular" w:eastAsia="方正小标宋_GBK" w:cs="Times New Roman Regular"/>
          <w:color w:val="auto"/>
          <w:sz w:val="44"/>
          <w:szCs w:val="44"/>
          <w:highlight w:val="none"/>
        </w:rPr>
      </w:pPr>
    </w:p>
    <w:p w14:paraId="3F78314D">
      <w:pPr>
        <w:ind w:firstLine="640"/>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为规范</w:t>
      </w:r>
      <w:r>
        <w:rPr>
          <w:rFonts w:hint="eastAsia" w:ascii="Times New Roman Regular" w:hAnsi="Times New Roman Regular" w:cs="Times New Roman Regular"/>
          <w:color w:val="auto"/>
          <w:highlight w:val="none"/>
          <w:lang w:eastAsia="zh-CN"/>
        </w:rPr>
        <w:t>杨陵区</w:t>
      </w:r>
      <w:r>
        <w:rPr>
          <w:rFonts w:ascii="Times New Roman Regular" w:hAnsi="Times New Roman Regular" w:cs="Times New Roman Regular"/>
          <w:color w:val="auto"/>
          <w:highlight w:val="none"/>
        </w:rPr>
        <w:t>互联网租赁自行车运营服务主体</w:t>
      </w:r>
      <w:r>
        <w:rPr>
          <w:rFonts w:hint="eastAsia" w:ascii="Times New Roman Regular" w:hAnsi="Times New Roman Regular" w:cs="Times New Roman Regular"/>
          <w:color w:val="auto"/>
          <w:highlight w:val="none"/>
          <w:lang w:eastAsia="zh-CN"/>
        </w:rPr>
        <w:t>招募</w:t>
      </w:r>
      <w:r>
        <w:rPr>
          <w:rFonts w:ascii="Times New Roman Regular" w:hAnsi="Times New Roman Regular" w:cs="Times New Roman Regular"/>
          <w:color w:val="auto"/>
          <w:highlight w:val="none"/>
        </w:rPr>
        <w:t>程序，建立公开、公平、公正的市场引入机制，结合</w:t>
      </w:r>
      <w:r>
        <w:rPr>
          <w:rFonts w:hint="eastAsia" w:ascii="Times New Roman Regular" w:hAnsi="Times New Roman Regular" w:cs="Times New Roman Regular"/>
          <w:color w:val="auto"/>
          <w:highlight w:val="none"/>
          <w:lang w:eastAsia="zh-CN"/>
        </w:rPr>
        <w:t>杨陵</w:t>
      </w:r>
      <w:r>
        <w:rPr>
          <w:rFonts w:ascii="Times New Roman Regular" w:hAnsi="Times New Roman Regular" w:cs="Times New Roman Regular"/>
          <w:color w:val="auto"/>
          <w:highlight w:val="none"/>
        </w:rPr>
        <w:t>城市发展定位和城市治理实际需求，制定本办法。</w:t>
      </w:r>
    </w:p>
    <w:p w14:paraId="01082880">
      <w:pPr>
        <w:ind w:firstLine="640"/>
        <w:rPr>
          <w:rFonts w:ascii="Times New Roman Regular" w:hAnsi="Times New Roman Regular" w:eastAsia="黑体" w:cs="Times New Roman Regular"/>
          <w:color w:val="auto"/>
          <w:highlight w:val="none"/>
        </w:rPr>
      </w:pPr>
      <w:r>
        <w:rPr>
          <w:rFonts w:ascii="Times New Roman Regular" w:hAnsi="Times New Roman Regular" w:eastAsia="黑体" w:cs="Times New Roman Regular"/>
          <w:color w:val="auto"/>
          <w:highlight w:val="none"/>
        </w:rPr>
        <w:t>一、评审方法</w:t>
      </w:r>
    </w:p>
    <w:p w14:paraId="31065B97">
      <w:pPr>
        <w:ind w:firstLine="640"/>
        <w:rPr>
          <w:rFonts w:ascii="Times New Roman Regular" w:hAnsi="Times New Roman Regular" w:cs="Times New Roman Regular"/>
          <w:color w:val="auto"/>
          <w:highlight w:val="none"/>
        </w:rPr>
      </w:pPr>
      <w:r>
        <w:rPr>
          <w:rFonts w:hint="eastAsia" w:ascii="Times New Roman Regular" w:hAnsi="Times New Roman Regular" w:cs="Times New Roman Regular"/>
          <w:color w:val="auto"/>
          <w:highlight w:val="none"/>
          <w:lang w:val="en-US" w:eastAsia="zh-CN"/>
        </w:rPr>
        <w:t>本次招募由专家评委和公众评委共同组成评审委员会，采取</w:t>
      </w:r>
      <w:r>
        <w:rPr>
          <w:rFonts w:ascii="Times New Roman Regular" w:hAnsi="Times New Roman Regular" w:cs="Times New Roman Regular"/>
          <w:color w:val="auto"/>
          <w:highlight w:val="none"/>
        </w:rPr>
        <w:t>综合评分法</w:t>
      </w:r>
      <w:r>
        <w:rPr>
          <w:rFonts w:hint="eastAsia" w:ascii="Times New Roman Regular" w:hAnsi="Times New Roman Regular" w:cs="Times New Roman Regular"/>
          <w:color w:val="auto"/>
          <w:highlight w:val="none"/>
          <w:lang w:val="en-US" w:eastAsia="zh-CN"/>
        </w:rPr>
        <w:t>评审</w:t>
      </w:r>
      <w:r>
        <w:rPr>
          <w:rFonts w:hint="eastAsia" w:ascii="Times New Roman Regular" w:hAnsi="Times New Roman Regular" w:cs="Times New Roman Regular"/>
          <w:color w:val="auto"/>
          <w:highlight w:val="none"/>
          <w:lang w:eastAsia="zh-CN"/>
        </w:rPr>
        <w:t>，</w:t>
      </w:r>
      <w:r>
        <w:rPr>
          <w:rFonts w:hint="eastAsia" w:ascii="Times New Roman Regular" w:hAnsi="Times New Roman Regular" w:cs="Times New Roman Regular"/>
          <w:color w:val="auto"/>
          <w:highlight w:val="none"/>
          <w:lang w:val="en-US" w:eastAsia="zh-CN"/>
        </w:rPr>
        <w:t>总分100分，其中专家评审占70分，公众评审占30分。</w:t>
      </w:r>
      <w:r>
        <w:rPr>
          <w:rFonts w:ascii="Times New Roman Regular" w:hAnsi="Times New Roman Regular" w:cs="Times New Roman Regular"/>
          <w:color w:val="auto"/>
          <w:highlight w:val="none"/>
        </w:rPr>
        <w:t>评审委员会根据综合评审情况，按照综合评审得分由高到低排序，</w:t>
      </w:r>
      <w:r>
        <w:rPr>
          <w:rFonts w:ascii="Times New Roman Regular" w:hAnsi="Times New Roman Regular" w:cs="Times New Roman Regular"/>
          <w:color w:val="auto"/>
          <w:szCs w:val="32"/>
          <w:highlight w:val="none"/>
        </w:rPr>
        <w:t>申请人根据排名顺序依次</w:t>
      </w:r>
      <w:r>
        <w:rPr>
          <w:rFonts w:hint="eastAsia" w:ascii="Times New Roman Regular" w:hAnsi="Times New Roman Regular" w:cs="Times New Roman Regular"/>
          <w:color w:val="auto"/>
          <w:szCs w:val="32"/>
          <w:highlight w:val="none"/>
          <w:lang w:val="en-US" w:eastAsia="zh-CN"/>
        </w:rPr>
        <w:t>自主</w:t>
      </w:r>
      <w:r>
        <w:rPr>
          <w:rFonts w:hint="eastAsia" w:ascii="Times New Roman Regular" w:hAnsi="Times New Roman Regular" w:cs="Times New Roman Regular"/>
          <w:color w:val="auto"/>
          <w:szCs w:val="32"/>
          <w:highlight w:val="none"/>
          <w:lang w:eastAsia="zh-CN"/>
        </w:rPr>
        <w:t>招募</w:t>
      </w:r>
      <w:r>
        <w:rPr>
          <w:rFonts w:ascii="Times New Roman Regular" w:hAnsi="Times New Roman Regular" w:cs="Times New Roman Regular"/>
          <w:color w:val="auto"/>
          <w:szCs w:val="32"/>
          <w:highlight w:val="none"/>
        </w:rPr>
        <w:t>运营份额，并与实施主体签订运营服务协议，成为</w:t>
      </w:r>
      <w:bookmarkStart w:id="1" w:name="OLE_LINK13"/>
      <w:r>
        <w:rPr>
          <w:rFonts w:ascii="Times New Roman Regular" w:hAnsi="Times New Roman Regular" w:cs="Times New Roman Regular"/>
          <w:color w:val="auto"/>
          <w:szCs w:val="32"/>
          <w:highlight w:val="none"/>
        </w:rPr>
        <w:t>运营服务主体</w:t>
      </w:r>
      <w:bookmarkEnd w:id="1"/>
      <w:r>
        <w:rPr>
          <w:rFonts w:ascii="Times New Roman Regular" w:hAnsi="Times New Roman Regular" w:cs="Times New Roman Regular"/>
          <w:color w:val="auto"/>
          <w:highlight w:val="none"/>
        </w:rPr>
        <w:t>。若申请人综合评审得分相等，按专家评审得分由高到低排序；若专家评审得分相等，按“日常运营维护管理”得分由高到低排序；若“日常运营维护管理”得分相等，按“薪酬保障及劳动者权益保护”得分由高到低排序，以此类推。</w:t>
      </w:r>
    </w:p>
    <w:p w14:paraId="5BF48653">
      <w:pPr>
        <w:ind w:firstLine="640"/>
        <w:rPr>
          <w:rFonts w:ascii="Times New Roman Regular" w:hAnsi="Times New Roman Regular" w:eastAsia="黑体" w:cs="Times New Roman Regular"/>
          <w:color w:val="auto"/>
          <w:highlight w:val="none"/>
        </w:rPr>
      </w:pPr>
      <w:r>
        <w:rPr>
          <w:rFonts w:ascii="Times New Roman Regular" w:hAnsi="Times New Roman Regular" w:eastAsia="黑体" w:cs="Times New Roman Regular"/>
          <w:color w:val="auto"/>
          <w:highlight w:val="none"/>
        </w:rPr>
        <w:t>二、评审分工</w:t>
      </w:r>
    </w:p>
    <w:p w14:paraId="4ED1F4A8">
      <w:pPr>
        <w:ind w:firstLine="640"/>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评审委员会按照《</w:t>
      </w:r>
      <w:r>
        <w:rPr>
          <w:rFonts w:hint="eastAsia" w:ascii="Times New Roman Regular" w:hAnsi="Times New Roman Regular" w:cs="Times New Roman Regular"/>
          <w:color w:val="auto"/>
          <w:highlight w:val="none"/>
          <w:lang w:eastAsia="zh-CN"/>
        </w:rPr>
        <w:t>杨陵区</w:t>
      </w:r>
      <w:r>
        <w:rPr>
          <w:rFonts w:ascii="Times New Roman Regular" w:hAnsi="Times New Roman Regular" w:cs="Times New Roman Regular"/>
          <w:color w:val="auto"/>
          <w:highlight w:val="none"/>
        </w:rPr>
        <w:t>互联网租赁自行车运营服务主体</w:t>
      </w:r>
      <w:r>
        <w:rPr>
          <w:rFonts w:hint="eastAsia" w:ascii="Times New Roman Regular" w:hAnsi="Times New Roman Regular" w:cs="Times New Roman Regular"/>
          <w:color w:val="auto"/>
          <w:highlight w:val="none"/>
          <w:lang w:eastAsia="zh-CN"/>
        </w:rPr>
        <w:t>招募</w:t>
      </w:r>
      <w:r>
        <w:rPr>
          <w:rFonts w:ascii="Times New Roman Regular" w:hAnsi="Times New Roman Regular" w:cs="Times New Roman Regular"/>
          <w:color w:val="auto"/>
          <w:highlight w:val="none"/>
        </w:rPr>
        <w:t>项目评分标准》进行评分。评审因素共1</w:t>
      </w:r>
      <w:r>
        <w:rPr>
          <w:rFonts w:hint="eastAsia" w:ascii="Times New Roman Regular" w:hAnsi="Times New Roman Regular" w:cs="Times New Roman Regular"/>
          <w:color w:val="auto"/>
          <w:highlight w:val="none"/>
          <w:lang w:val="en-US" w:eastAsia="zh-CN"/>
        </w:rPr>
        <w:t>2</w:t>
      </w:r>
      <w:r>
        <w:rPr>
          <w:rFonts w:ascii="Times New Roman Regular" w:hAnsi="Times New Roman Regular" w:cs="Times New Roman Regular"/>
          <w:color w:val="auto"/>
          <w:highlight w:val="none"/>
        </w:rPr>
        <w:t>项，其中：专家评委负责评审“日常运营维护管理”、“薪酬保障及劳动者权益保护”、“科技创新能力”、“应急保障”、“公共交通一体化融合”、“安全保障”、“人员配备”、“承担社会责任”</w:t>
      </w:r>
      <w:r>
        <w:rPr>
          <w:rFonts w:hint="eastAsia" w:ascii="Times New Roman Regular" w:hAnsi="Times New Roman Regular" w:cs="Times New Roman Regular"/>
          <w:color w:val="auto"/>
          <w:highlight w:val="none"/>
          <w:lang w:eastAsia="zh-CN"/>
        </w:rPr>
        <w:t>、</w:t>
      </w:r>
      <w:r>
        <w:rPr>
          <w:rFonts w:ascii="Times New Roman Regular" w:hAnsi="Times New Roman Regular" w:cs="Times New Roman Regular"/>
          <w:color w:val="auto"/>
          <w:highlight w:val="none"/>
        </w:rPr>
        <w:t>“车辆投放量动态管理与调控措施”、“重大活动（</w:t>
      </w:r>
      <w:r>
        <w:rPr>
          <w:rFonts w:hint="eastAsia" w:ascii="Times New Roman Regular" w:hAnsi="Times New Roman Regular" w:cs="Times New Roman Regular"/>
          <w:color w:val="auto"/>
          <w:highlight w:val="none"/>
          <w:lang w:val="en-US" w:eastAsia="zh-CN"/>
        </w:rPr>
        <w:t>含节假日</w:t>
      </w:r>
      <w:r>
        <w:rPr>
          <w:rFonts w:ascii="Times New Roman Regular" w:hAnsi="Times New Roman Regular" w:cs="Times New Roman Regular"/>
          <w:color w:val="auto"/>
          <w:highlight w:val="none"/>
        </w:rPr>
        <w:t>）专项运营服务”</w:t>
      </w:r>
      <w:r>
        <w:rPr>
          <w:rFonts w:hint="eastAsia" w:ascii="Times New Roman Regular" w:hAnsi="Times New Roman Regular" w:cs="Times New Roman Regular"/>
          <w:color w:val="auto"/>
          <w:highlight w:val="none"/>
          <w:lang w:eastAsia="zh-CN"/>
        </w:rPr>
        <w:t>、</w:t>
      </w:r>
      <w:r>
        <w:rPr>
          <w:rFonts w:ascii="Times New Roman Regular" w:hAnsi="Times New Roman Regular" w:cs="Times New Roman Regular"/>
          <w:color w:val="auto"/>
          <w:highlight w:val="none"/>
        </w:rPr>
        <w:t>“服务承诺”1</w:t>
      </w:r>
      <w:r>
        <w:rPr>
          <w:rFonts w:hint="eastAsia" w:ascii="Times New Roman Regular" w:hAnsi="Times New Roman Regular" w:cs="Times New Roman Regular"/>
          <w:color w:val="auto"/>
          <w:highlight w:val="none"/>
          <w:lang w:val="en-US" w:eastAsia="zh-CN"/>
        </w:rPr>
        <w:t>1</w:t>
      </w:r>
      <w:r>
        <w:rPr>
          <w:rFonts w:ascii="Times New Roman Regular" w:hAnsi="Times New Roman Regular" w:cs="Times New Roman Regular"/>
          <w:color w:val="auto"/>
          <w:highlight w:val="none"/>
        </w:rPr>
        <w:t>项评审因素，共计</w:t>
      </w:r>
      <w:r>
        <w:rPr>
          <w:rFonts w:hint="eastAsia" w:ascii="Times New Roman Regular" w:hAnsi="Times New Roman Regular" w:cs="Times New Roman Regular"/>
          <w:color w:val="auto"/>
          <w:highlight w:val="none"/>
        </w:rPr>
        <w:t>7</w:t>
      </w:r>
      <w:r>
        <w:rPr>
          <w:rFonts w:ascii="Times New Roman Regular" w:hAnsi="Times New Roman Regular" w:cs="Times New Roman Regular"/>
          <w:color w:val="auto"/>
          <w:highlight w:val="none"/>
        </w:rPr>
        <w:t>0分；公众评委负责“产品/服务展示”1项评审因素，计</w:t>
      </w:r>
      <w:r>
        <w:rPr>
          <w:rFonts w:hint="eastAsia" w:ascii="Times New Roman Regular" w:hAnsi="Times New Roman Regular" w:cs="Times New Roman Regular"/>
          <w:color w:val="auto"/>
          <w:highlight w:val="none"/>
        </w:rPr>
        <w:t>3</w:t>
      </w:r>
      <w:r>
        <w:rPr>
          <w:rFonts w:ascii="Times New Roman Regular" w:hAnsi="Times New Roman Regular" w:cs="Times New Roman Regular"/>
          <w:color w:val="auto"/>
          <w:highlight w:val="none"/>
        </w:rPr>
        <w:t>0分；合计100分。</w:t>
      </w:r>
    </w:p>
    <w:p w14:paraId="67A3B2BC">
      <w:pPr>
        <w:ind w:firstLine="640"/>
        <w:rPr>
          <w:rFonts w:ascii="Times New Roman Regular" w:hAnsi="Times New Roman Regular" w:eastAsia="黑体" w:cs="Times New Roman Regular"/>
          <w:color w:val="auto"/>
          <w:highlight w:val="none"/>
        </w:rPr>
      </w:pPr>
      <w:r>
        <w:rPr>
          <w:rFonts w:ascii="Times New Roman Regular" w:hAnsi="Times New Roman Regular" w:eastAsia="黑体" w:cs="Times New Roman Regular"/>
          <w:color w:val="auto"/>
          <w:highlight w:val="none"/>
        </w:rPr>
        <w:t>三、评分规则</w:t>
      </w:r>
    </w:p>
    <w:p w14:paraId="0E0CD11C">
      <w:pPr>
        <w:ind w:firstLine="640"/>
        <w:rPr>
          <w:rFonts w:ascii="Times New Roman Regular" w:hAnsi="Times New Roman Regular" w:eastAsia="楷体_GB2312" w:cs="Times New Roman Regular"/>
          <w:color w:val="auto"/>
          <w:highlight w:val="none"/>
        </w:rPr>
      </w:pPr>
      <w:r>
        <w:rPr>
          <w:rFonts w:ascii="Times New Roman Regular" w:hAnsi="Times New Roman Regular" w:eastAsia="楷体_GB2312" w:cs="Times New Roman Regular"/>
          <w:color w:val="auto"/>
          <w:highlight w:val="none"/>
        </w:rPr>
        <w:t>（一）专家评委</w:t>
      </w:r>
    </w:p>
    <w:p w14:paraId="1CBEC77C">
      <w:pPr>
        <w:ind w:firstLine="640"/>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专家评委根据各评审因素分值和评分标准独立评分，取算术平均值作为该评审因素的最终得分。</w:t>
      </w:r>
    </w:p>
    <w:p w14:paraId="5DF7AF3F">
      <w:pPr>
        <w:ind w:firstLine="640"/>
        <w:rPr>
          <w:rFonts w:ascii="Times New Roman Regular" w:hAnsi="Times New Roman Regular" w:eastAsia="楷体_GB2312" w:cs="Times New Roman Regular"/>
          <w:color w:val="auto"/>
          <w:highlight w:val="none"/>
        </w:rPr>
      </w:pPr>
      <w:r>
        <w:rPr>
          <w:rFonts w:ascii="Times New Roman Regular" w:hAnsi="Times New Roman Regular" w:eastAsia="楷体_GB2312" w:cs="Times New Roman Regular"/>
          <w:color w:val="auto"/>
          <w:highlight w:val="none"/>
        </w:rPr>
        <w:t>（二）公众评委</w:t>
      </w:r>
    </w:p>
    <w:p w14:paraId="258E2765">
      <w:pPr>
        <w:ind w:firstLine="640"/>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公众评委基于申请人提供的产品/服务展示视频内容及个人使用场景下的主观感受进行独立评分，取算术平均值作为该评审因素的最终得分。</w:t>
      </w:r>
    </w:p>
    <w:p w14:paraId="4C0606B4">
      <w:pPr>
        <w:ind w:firstLine="640"/>
        <w:rPr>
          <w:rFonts w:ascii="Times New Roman Regular" w:hAnsi="Times New Roman Regular" w:eastAsia="黑体" w:cs="Times New Roman Regular"/>
          <w:color w:val="auto"/>
          <w:highlight w:val="none"/>
        </w:rPr>
      </w:pPr>
      <w:r>
        <w:rPr>
          <w:rFonts w:ascii="Times New Roman Regular" w:hAnsi="Times New Roman Regular" w:eastAsia="黑体" w:cs="Times New Roman Regular"/>
          <w:color w:val="auto"/>
          <w:highlight w:val="none"/>
        </w:rPr>
        <w:t>五、评分标准</w:t>
      </w:r>
    </w:p>
    <w:p w14:paraId="1E3BFB9D">
      <w:pPr>
        <w:ind w:firstLine="640"/>
        <w:rPr>
          <w:rFonts w:ascii="Times New Roman Regular" w:hAnsi="Times New Roman Regular" w:eastAsia="黑体" w:cs="Times New Roman Regular"/>
          <w:color w:val="auto"/>
          <w:highlight w:val="none"/>
        </w:rPr>
      </w:pPr>
      <w:r>
        <w:rPr>
          <w:rFonts w:ascii="Times New Roman Regular" w:hAnsi="Times New Roman Regular" w:cs="Times New Roman Regular"/>
          <w:color w:val="auto"/>
          <w:highlight w:val="none"/>
        </w:rPr>
        <w:t>详见附表。</w:t>
      </w:r>
    </w:p>
    <w:p w14:paraId="7E306FCD">
      <w:pPr>
        <w:ind w:firstLine="0" w:firstLineChars="0"/>
        <w:jc w:val="center"/>
        <w:rPr>
          <w:rFonts w:ascii="Times New Roman Regular" w:hAnsi="Times New Roman Regular" w:eastAsia="黑体" w:cs="Times New Roman Regular"/>
          <w:color w:val="auto"/>
          <w:sz w:val="44"/>
          <w:szCs w:val="44"/>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pgNumType w:fmt="decimal" w:start="1"/>
          <w:cols w:space="425" w:num="1"/>
          <w:docGrid w:type="lines" w:linePitch="312" w:charSpace="0"/>
        </w:sectPr>
      </w:pPr>
    </w:p>
    <w:p w14:paraId="233E0D67">
      <w:pPr>
        <w:spacing w:line="240" w:lineRule="auto"/>
        <w:ind w:firstLine="0" w:firstLineChars="0"/>
        <w:jc w:val="center"/>
        <w:rPr>
          <w:rFonts w:ascii="Times New Roman Regular" w:hAnsi="Times New Roman Regular" w:eastAsia="黑体" w:cs="Times New Roman Regular"/>
          <w:color w:val="auto"/>
          <w:sz w:val="44"/>
          <w:szCs w:val="44"/>
          <w:highlight w:val="none"/>
        </w:rPr>
      </w:pPr>
      <w:r>
        <w:rPr>
          <w:rFonts w:hint="eastAsia" w:ascii="Times New Roman Regular" w:hAnsi="Times New Roman Regular" w:eastAsia="黑体" w:cs="Times New Roman Regular"/>
          <w:color w:val="auto"/>
          <w:sz w:val="44"/>
          <w:szCs w:val="44"/>
          <w:highlight w:val="none"/>
          <w:lang w:eastAsia="zh-CN"/>
        </w:rPr>
        <w:t>杨陵区</w:t>
      </w:r>
      <w:r>
        <w:rPr>
          <w:rFonts w:ascii="Times New Roman Regular" w:hAnsi="Times New Roman Regular" w:eastAsia="黑体" w:cs="Times New Roman Regular"/>
          <w:color w:val="auto"/>
          <w:sz w:val="44"/>
          <w:szCs w:val="44"/>
          <w:highlight w:val="none"/>
        </w:rPr>
        <w:t>互联网租赁自行车运营服务主体</w:t>
      </w:r>
      <w:r>
        <w:rPr>
          <w:rFonts w:hint="eastAsia" w:ascii="Times New Roman Regular" w:hAnsi="Times New Roman Regular" w:eastAsia="黑体" w:cs="Times New Roman Regular"/>
          <w:color w:val="auto"/>
          <w:sz w:val="44"/>
          <w:szCs w:val="44"/>
          <w:highlight w:val="none"/>
          <w:lang w:eastAsia="zh-CN"/>
        </w:rPr>
        <w:t>招募</w:t>
      </w:r>
      <w:r>
        <w:rPr>
          <w:rFonts w:ascii="Times New Roman Regular" w:hAnsi="Times New Roman Regular" w:eastAsia="黑体" w:cs="Times New Roman Regular"/>
          <w:color w:val="auto"/>
          <w:sz w:val="44"/>
          <w:szCs w:val="44"/>
          <w:highlight w:val="none"/>
        </w:rPr>
        <w:t>项目评分标准</w:t>
      </w:r>
    </w:p>
    <w:tbl>
      <w:tblPr>
        <w:tblStyle w:val="17"/>
        <w:tblW w:w="0" w:type="auto"/>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560"/>
        <w:gridCol w:w="1275"/>
        <w:gridCol w:w="851"/>
        <w:gridCol w:w="10992"/>
      </w:tblGrid>
      <w:tr w14:paraId="796781BF">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1560" w:type="dxa"/>
            <w:tcBorders>
              <w:tl2br w:val="nil"/>
              <w:tr2bl w:val="nil"/>
            </w:tcBorders>
            <w:vAlign w:val="center"/>
          </w:tcPr>
          <w:p w14:paraId="1E94DAB2">
            <w:pPr>
              <w:spacing w:line="240" w:lineRule="auto"/>
              <w:ind w:firstLine="0" w:firstLineChars="0"/>
              <w:jc w:val="center"/>
              <w:rPr>
                <w:rFonts w:ascii="Times New Roman Regular" w:hAnsi="Times New Roman Regular" w:cs="Times New Roman Regular"/>
                <w:b/>
                <w:bCs/>
                <w:color w:val="auto"/>
                <w:sz w:val="24"/>
                <w:szCs w:val="24"/>
                <w:highlight w:val="none"/>
              </w:rPr>
            </w:pPr>
            <w:bookmarkStart w:id="2" w:name="OLE_LINK14"/>
            <w:r>
              <w:rPr>
                <w:rFonts w:hint="eastAsia" w:ascii="Times New Roman Regular" w:hAnsi="Times New Roman Regular" w:cs="Times New Roman Regular"/>
                <w:b/>
                <w:bCs/>
                <w:color w:val="auto"/>
                <w:sz w:val="24"/>
                <w:szCs w:val="24"/>
                <w:highlight w:val="none"/>
              </w:rPr>
              <w:t>评委类型</w:t>
            </w:r>
          </w:p>
        </w:tc>
        <w:tc>
          <w:tcPr>
            <w:tcW w:w="1275" w:type="dxa"/>
            <w:tcBorders>
              <w:tl2br w:val="nil"/>
              <w:tr2bl w:val="nil"/>
            </w:tcBorders>
            <w:vAlign w:val="center"/>
          </w:tcPr>
          <w:p w14:paraId="4F96B3EF">
            <w:pPr>
              <w:spacing w:line="240" w:lineRule="auto"/>
              <w:ind w:firstLine="0" w:firstLineChars="0"/>
              <w:jc w:val="center"/>
              <w:rPr>
                <w:rFonts w:ascii="Times New Roman Regular" w:hAnsi="Times New Roman Regular" w:cs="Times New Roman Regular"/>
                <w:b/>
                <w:bCs/>
                <w:color w:val="auto"/>
                <w:sz w:val="24"/>
                <w:szCs w:val="24"/>
                <w:highlight w:val="none"/>
              </w:rPr>
            </w:pPr>
            <w:r>
              <w:rPr>
                <w:rFonts w:ascii="Times New Roman Regular" w:hAnsi="Times New Roman Regular" w:cs="Times New Roman Regular"/>
                <w:b/>
                <w:bCs/>
                <w:color w:val="auto"/>
                <w:sz w:val="24"/>
                <w:szCs w:val="24"/>
                <w:highlight w:val="none"/>
              </w:rPr>
              <w:t>评审因素</w:t>
            </w:r>
          </w:p>
        </w:tc>
        <w:tc>
          <w:tcPr>
            <w:tcW w:w="851" w:type="dxa"/>
            <w:tcBorders>
              <w:tl2br w:val="nil"/>
              <w:tr2bl w:val="nil"/>
            </w:tcBorders>
            <w:vAlign w:val="center"/>
          </w:tcPr>
          <w:p w14:paraId="6381A66C">
            <w:pPr>
              <w:spacing w:line="240" w:lineRule="auto"/>
              <w:ind w:firstLine="0" w:firstLineChars="0"/>
              <w:jc w:val="center"/>
              <w:rPr>
                <w:rFonts w:ascii="Times New Roman Regular" w:hAnsi="Times New Roman Regular" w:cs="Times New Roman Regular"/>
                <w:b/>
                <w:bCs/>
                <w:color w:val="auto"/>
                <w:sz w:val="24"/>
                <w:szCs w:val="24"/>
                <w:highlight w:val="none"/>
              </w:rPr>
            </w:pPr>
            <w:r>
              <w:rPr>
                <w:rFonts w:ascii="Times New Roman Regular" w:hAnsi="Times New Roman Regular" w:cs="Times New Roman Regular"/>
                <w:b/>
                <w:bCs/>
                <w:color w:val="auto"/>
                <w:sz w:val="24"/>
                <w:szCs w:val="24"/>
                <w:highlight w:val="none"/>
              </w:rPr>
              <w:t>分值</w:t>
            </w:r>
          </w:p>
        </w:tc>
        <w:tc>
          <w:tcPr>
            <w:tcW w:w="10992" w:type="dxa"/>
            <w:tcBorders>
              <w:tl2br w:val="nil"/>
              <w:tr2bl w:val="nil"/>
            </w:tcBorders>
            <w:vAlign w:val="center"/>
          </w:tcPr>
          <w:p w14:paraId="7FDA6BD3">
            <w:pPr>
              <w:spacing w:line="240" w:lineRule="auto"/>
              <w:ind w:firstLine="0" w:firstLineChars="0"/>
              <w:jc w:val="center"/>
              <w:rPr>
                <w:rFonts w:ascii="Times New Roman Regular" w:hAnsi="Times New Roman Regular" w:cs="Times New Roman Regular"/>
                <w:b/>
                <w:bCs/>
                <w:color w:val="auto"/>
                <w:sz w:val="24"/>
                <w:szCs w:val="24"/>
                <w:highlight w:val="none"/>
              </w:rPr>
            </w:pPr>
            <w:r>
              <w:rPr>
                <w:rFonts w:ascii="Times New Roman Regular" w:hAnsi="Times New Roman Regular" w:cs="Times New Roman Regular"/>
                <w:b/>
                <w:bCs/>
                <w:color w:val="auto"/>
                <w:sz w:val="24"/>
                <w:szCs w:val="24"/>
                <w:highlight w:val="none"/>
              </w:rPr>
              <w:t>评分标准</w:t>
            </w:r>
          </w:p>
        </w:tc>
      </w:tr>
      <w:tr w14:paraId="7D4BBDEE">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60" w:type="dxa"/>
            <w:tcBorders>
              <w:tl2br w:val="nil"/>
              <w:tr2bl w:val="nil"/>
            </w:tcBorders>
            <w:vAlign w:val="center"/>
          </w:tcPr>
          <w:p w14:paraId="12E98595">
            <w:pPr>
              <w:spacing w:line="240" w:lineRule="auto"/>
              <w:ind w:firstLine="0" w:firstLineChars="0"/>
              <w:jc w:val="center"/>
              <w:rPr>
                <w:rFonts w:ascii="Times New Roman Regular" w:hAnsi="Times New Roman Regular" w:cs="Times New Roman Regular"/>
                <w:color w:val="auto"/>
                <w:sz w:val="24"/>
                <w:szCs w:val="24"/>
                <w:highlight w:val="none"/>
              </w:rPr>
            </w:pPr>
            <w:bookmarkStart w:id="3" w:name="OLE_LINK10"/>
            <w:r>
              <w:rPr>
                <w:rFonts w:ascii="Times New Roman Regular" w:hAnsi="Times New Roman Regular" w:cs="Times New Roman Regular"/>
                <w:color w:val="auto"/>
                <w:sz w:val="24"/>
                <w:szCs w:val="24"/>
                <w:highlight w:val="none"/>
              </w:rPr>
              <w:t>专家</w:t>
            </w:r>
          </w:p>
        </w:tc>
        <w:tc>
          <w:tcPr>
            <w:tcW w:w="1275" w:type="dxa"/>
            <w:tcBorders>
              <w:tl2br w:val="nil"/>
              <w:tr2bl w:val="nil"/>
            </w:tcBorders>
            <w:vAlign w:val="center"/>
          </w:tcPr>
          <w:p w14:paraId="23B66F16">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1.日常运营维护管理</w:t>
            </w:r>
          </w:p>
        </w:tc>
        <w:tc>
          <w:tcPr>
            <w:tcW w:w="851" w:type="dxa"/>
            <w:tcBorders>
              <w:tl2br w:val="nil"/>
              <w:tr2bl w:val="nil"/>
            </w:tcBorders>
            <w:vAlign w:val="center"/>
          </w:tcPr>
          <w:p w14:paraId="28D05D2F">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1</w:t>
            </w:r>
            <w:r>
              <w:rPr>
                <w:rFonts w:hint="eastAsia" w:ascii="Times New Roman Regular" w:hAnsi="Times New Roman Regular" w:cs="Times New Roman Regular"/>
                <w:color w:val="auto"/>
                <w:sz w:val="24"/>
                <w:szCs w:val="24"/>
                <w:highlight w:val="none"/>
              </w:rPr>
              <w:t>5</w:t>
            </w:r>
            <w:r>
              <w:rPr>
                <w:rFonts w:ascii="Times New Roman Regular" w:hAnsi="Times New Roman Regular" w:cs="Times New Roman Regular"/>
                <w:color w:val="auto"/>
                <w:sz w:val="24"/>
                <w:szCs w:val="24"/>
                <w:highlight w:val="none"/>
              </w:rPr>
              <w:t>分</w:t>
            </w:r>
          </w:p>
        </w:tc>
        <w:tc>
          <w:tcPr>
            <w:tcW w:w="10992" w:type="dxa"/>
            <w:tcBorders>
              <w:tl2br w:val="nil"/>
              <w:tr2bl w:val="nil"/>
            </w:tcBorders>
            <w:vAlign w:val="center"/>
          </w:tcPr>
          <w:p w14:paraId="17F34551">
            <w:pPr>
              <w:spacing w:line="240" w:lineRule="auto"/>
              <w:ind w:firstLine="480"/>
              <w:jc w:val="left"/>
              <w:rPr>
                <w:rFonts w:hint="default" w:ascii="Times New Roman Regular" w:hAnsi="Times New Roman Regular" w:eastAsia="仿宋_GB2312" w:cs="Times New Roman Regular"/>
                <w:color w:val="auto"/>
                <w:sz w:val="24"/>
                <w:szCs w:val="24"/>
                <w:highlight w:val="none"/>
                <w:lang w:val="en-US" w:eastAsia="zh-CN"/>
              </w:rPr>
            </w:pPr>
            <w:r>
              <w:rPr>
                <w:rFonts w:hint="eastAsia" w:ascii="Times New Roman Regular" w:hAnsi="Times New Roman Regular" w:cs="Times New Roman Regular"/>
                <w:color w:val="auto"/>
                <w:sz w:val="24"/>
                <w:szCs w:val="24"/>
                <w:highlight w:val="none"/>
              </w:rPr>
              <w:t>A（10分）：为确保互联网租赁自行车及时有序投放，更好</w:t>
            </w:r>
            <w:r>
              <w:rPr>
                <w:rFonts w:hint="eastAsia" w:ascii="Times New Roman Regular" w:hAnsi="Times New Roman Regular" w:cs="Times New Roman Regular"/>
                <w:color w:val="auto"/>
                <w:sz w:val="24"/>
                <w:szCs w:val="24"/>
                <w:highlight w:val="none"/>
                <w:lang w:val="en-US" w:eastAsia="zh-CN"/>
              </w:rPr>
              <w:t>地</w:t>
            </w:r>
            <w:r>
              <w:rPr>
                <w:rFonts w:hint="eastAsia" w:ascii="Times New Roman Regular" w:hAnsi="Times New Roman Regular" w:cs="Times New Roman Regular"/>
                <w:color w:val="auto"/>
                <w:sz w:val="24"/>
                <w:szCs w:val="24"/>
                <w:highlight w:val="none"/>
              </w:rPr>
              <w:t>满足市民出行需求，申请人应结合</w:t>
            </w:r>
            <w:r>
              <w:rPr>
                <w:rFonts w:hint="eastAsia" w:ascii="Times New Roman Regular" w:hAnsi="Times New Roman Regular" w:cs="Times New Roman Regular"/>
                <w:color w:val="auto"/>
                <w:sz w:val="24"/>
                <w:szCs w:val="24"/>
                <w:highlight w:val="none"/>
                <w:lang w:eastAsia="zh-CN"/>
              </w:rPr>
              <w:t>杨陵区</w:t>
            </w:r>
            <w:r>
              <w:rPr>
                <w:rFonts w:hint="eastAsia" w:ascii="Times New Roman Regular" w:hAnsi="Times New Roman Regular" w:cs="Times New Roman Regular"/>
                <w:color w:val="auto"/>
                <w:sz w:val="24"/>
                <w:szCs w:val="24"/>
                <w:highlight w:val="none"/>
              </w:rPr>
              <w:t>实际情况，制定落实保障运营服务配套设施（包括但不限于经营场所、停放点位、应用平台等</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其中经营场所包括但不限于办公场所、中转调度场所、仓储场地等；停放点位应当方便骑行者停取车辆，包括但不限于产权所有方或实际管理方所能提供的空地或者场所，以及其他可供停放的点位；应用平台包括但不限于</w:t>
            </w:r>
            <w:r>
              <w:rPr>
                <w:rFonts w:hint="eastAsia" w:ascii="Times New Roman Regular" w:hAnsi="Times New Roman Regular" w:cs="Times New Roman Regular"/>
                <w:color w:val="auto"/>
                <w:sz w:val="24"/>
                <w:szCs w:val="24"/>
                <w:highlight w:val="none"/>
              </w:rPr>
              <w:t>自有</w:t>
            </w:r>
            <w:r>
              <w:rPr>
                <w:rFonts w:hint="eastAsia" w:ascii="Times New Roman Regular" w:hAnsi="Times New Roman Regular" w:cs="Times New Roman Regular"/>
                <w:color w:val="auto"/>
                <w:sz w:val="24"/>
                <w:szCs w:val="24"/>
                <w:highlight w:val="none"/>
                <w:lang w:val="en-US" w:eastAsia="zh-CN"/>
              </w:rPr>
              <w:t>或以</w:t>
            </w:r>
            <w:r>
              <w:rPr>
                <w:rFonts w:hint="eastAsia" w:ascii="Times New Roman Regular" w:hAnsi="Times New Roman Regular" w:cs="Times New Roman Regular"/>
                <w:color w:val="auto"/>
                <w:sz w:val="24"/>
                <w:szCs w:val="24"/>
                <w:highlight w:val="none"/>
              </w:rPr>
              <w:t>合作</w:t>
            </w:r>
            <w:r>
              <w:rPr>
                <w:rFonts w:hint="eastAsia" w:ascii="Times New Roman Regular" w:hAnsi="Times New Roman Regular" w:cs="Times New Roman Regular"/>
                <w:color w:val="auto"/>
                <w:sz w:val="24"/>
                <w:szCs w:val="24"/>
                <w:highlight w:val="none"/>
                <w:lang w:val="en-US" w:eastAsia="zh-CN"/>
              </w:rPr>
              <w:t>方式获取的平台服务资源</w:t>
            </w:r>
            <w:r>
              <w:rPr>
                <w:rFonts w:hint="eastAsia" w:ascii="Times New Roman Regular" w:hAnsi="Times New Roman Regular" w:cs="Times New Roman Regular"/>
                <w:color w:val="auto"/>
                <w:sz w:val="24"/>
                <w:szCs w:val="24"/>
                <w:highlight w:val="none"/>
              </w:rPr>
              <w:t>）</w:t>
            </w:r>
            <w:r>
              <w:rPr>
                <w:rFonts w:hint="eastAsia" w:ascii="Times New Roman Regular" w:hAnsi="Times New Roman Regular" w:cs="Times New Roman Regular"/>
                <w:color w:val="auto"/>
                <w:sz w:val="24"/>
                <w:szCs w:val="24"/>
                <w:highlight w:val="none"/>
                <w:lang w:val="en-US" w:eastAsia="zh-CN"/>
              </w:rPr>
              <w:t>的</w:t>
            </w:r>
            <w:r>
              <w:rPr>
                <w:rFonts w:hint="eastAsia" w:ascii="Times New Roman Regular" w:hAnsi="Times New Roman Regular" w:cs="Times New Roman Regular"/>
                <w:color w:val="auto"/>
                <w:sz w:val="24"/>
                <w:szCs w:val="24"/>
                <w:highlight w:val="none"/>
              </w:rPr>
              <w:t>相关措施。</w:t>
            </w:r>
          </w:p>
          <w:p w14:paraId="4F0D174A">
            <w:pPr>
              <w:spacing w:line="240" w:lineRule="auto"/>
              <w:ind w:firstLine="480"/>
              <w:jc w:val="left"/>
              <w:rPr>
                <w:rFonts w:hint="eastAsia" w:ascii="Times New Roman Regular" w:hAnsi="Times New Roman Regular" w:eastAsia="仿宋_GB2312" w:cs="Times New Roman Regular"/>
                <w:color w:val="auto"/>
                <w:kern w:val="0"/>
                <w:sz w:val="32"/>
                <w:szCs w:val="32"/>
                <w:highlight w:val="none"/>
              </w:rPr>
            </w:pPr>
            <w:r>
              <w:rPr>
                <w:rFonts w:hint="eastAsia" w:ascii="Times New Roman Regular" w:hAnsi="Times New Roman Regular" w:cs="Times New Roman Regular"/>
                <w:color w:val="auto"/>
                <w:sz w:val="24"/>
                <w:szCs w:val="24"/>
                <w:highlight w:val="none"/>
              </w:rPr>
              <w:t>评分规则如下：</w:t>
            </w:r>
          </w:p>
          <w:p w14:paraId="0067D339">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第一档次：</w:t>
            </w:r>
            <w:r>
              <w:rPr>
                <w:rFonts w:hint="eastAsia" w:ascii="Times New Roman Regular" w:hAnsi="Times New Roman Regular" w:cs="Times New Roman Regular"/>
                <w:color w:val="auto"/>
                <w:sz w:val="24"/>
                <w:szCs w:val="24"/>
                <w:highlight w:val="none"/>
              </w:rPr>
              <w:t>配套设施落实措施全面，内容描述详细、科学、合理、可行</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rPr>
              <w:t>或配套设施</w:t>
            </w:r>
            <w:r>
              <w:rPr>
                <w:rFonts w:hint="eastAsia" w:ascii="Times New Roman Regular" w:hAnsi="Times New Roman Regular" w:cs="Times New Roman Regular"/>
                <w:color w:val="auto"/>
                <w:sz w:val="24"/>
                <w:szCs w:val="24"/>
                <w:highlight w:val="none"/>
                <w:lang w:val="en-US" w:eastAsia="zh-CN"/>
              </w:rPr>
              <w:t>全部</w:t>
            </w:r>
            <w:r>
              <w:rPr>
                <w:rFonts w:hint="eastAsia" w:ascii="Times New Roman Regular" w:hAnsi="Times New Roman Regular" w:cs="Times New Roman Regular"/>
                <w:color w:val="auto"/>
                <w:sz w:val="24"/>
                <w:szCs w:val="24"/>
                <w:highlight w:val="none"/>
              </w:rPr>
              <w:t>落实，</w:t>
            </w:r>
            <w:r>
              <w:rPr>
                <w:rFonts w:hint="eastAsia" w:ascii="Times New Roman Regular" w:hAnsi="Times New Roman Regular" w:cs="Times New Roman Regular"/>
                <w:color w:val="auto"/>
                <w:sz w:val="24"/>
                <w:szCs w:val="24"/>
                <w:highlight w:val="none"/>
                <w:lang w:val="en-US" w:eastAsia="zh-CN"/>
              </w:rPr>
              <w:t>且科学合理、充分满足项目运营需求，</w:t>
            </w:r>
            <w:r>
              <w:rPr>
                <w:rFonts w:hint="eastAsia" w:ascii="Times New Roman Regular" w:hAnsi="Times New Roman Regular" w:cs="Times New Roman Regular"/>
                <w:color w:val="auto"/>
                <w:sz w:val="24"/>
                <w:szCs w:val="24"/>
                <w:highlight w:val="none"/>
              </w:rPr>
              <w:t>能够提供有效证明材料的，得</w:t>
            </w:r>
            <w:r>
              <w:rPr>
                <w:rFonts w:hint="eastAsia" w:ascii="Times New Roman Regular" w:hAnsi="Times New Roman Regular" w:cs="Times New Roman Regular"/>
                <w:color w:val="auto"/>
                <w:sz w:val="24"/>
                <w:szCs w:val="24"/>
                <w:highlight w:val="none"/>
                <w:lang w:val="en-US" w:eastAsia="zh-CN"/>
              </w:rPr>
              <w:t>7</w:t>
            </w:r>
            <w:r>
              <w:rPr>
                <w:rFonts w:hint="eastAsia" w:ascii="Times New Roman Regular" w:hAnsi="Times New Roman Regular" w:cs="Times New Roman Regular"/>
                <w:color w:val="auto"/>
                <w:sz w:val="24"/>
                <w:szCs w:val="24"/>
                <w:highlight w:val="none"/>
              </w:rPr>
              <w:t>-10分。</w:t>
            </w:r>
          </w:p>
          <w:p w14:paraId="57FACD7F">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第二档次：</w:t>
            </w:r>
            <w:r>
              <w:rPr>
                <w:rFonts w:hint="eastAsia" w:ascii="Times New Roman Regular" w:hAnsi="Times New Roman Regular" w:cs="Times New Roman Regular"/>
                <w:color w:val="auto"/>
                <w:sz w:val="24"/>
                <w:szCs w:val="24"/>
                <w:highlight w:val="none"/>
              </w:rPr>
              <w:t>配套设施落实措施基本全面，内容描述基本清晰、合理、可行</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rPr>
              <w:t>或配套设施</w:t>
            </w:r>
            <w:r>
              <w:rPr>
                <w:rFonts w:hint="eastAsia" w:ascii="Times New Roman Regular" w:hAnsi="Times New Roman Regular" w:cs="Times New Roman Regular"/>
                <w:color w:val="auto"/>
                <w:sz w:val="24"/>
                <w:szCs w:val="24"/>
                <w:highlight w:val="none"/>
                <w:lang w:val="en-US" w:eastAsia="zh-CN"/>
              </w:rPr>
              <w:t>全部</w:t>
            </w:r>
            <w:r>
              <w:rPr>
                <w:rFonts w:hint="eastAsia" w:ascii="Times New Roman Regular" w:hAnsi="Times New Roman Regular" w:cs="Times New Roman Regular"/>
                <w:color w:val="auto"/>
                <w:sz w:val="24"/>
                <w:szCs w:val="24"/>
                <w:highlight w:val="none"/>
              </w:rPr>
              <w:t>落实，</w:t>
            </w:r>
            <w:r>
              <w:rPr>
                <w:rFonts w:hint="eastAsia" w:ascii="Times New Roman Regular" w:hAnsi="Times New Roman Regular" w:cs="Times New Roman Regular"/>
                <w:color w:val="auto"/>
                <w:sz w:val="24"/>
                <w:szCs w:val="24"/>
                <w:highlight w:val="none"/>
                <w:lang w:val="en-US" w:eastAsia="zh-CN"/>
              </w:rPr>
              <w:t>基本满足项目运营需求，</w:t>
            </w:r>
            <w:r>
              <w:rPr>
                <w:rFonts w:hint="eastAsia" w:ascii="Times New Roman Regular" w:hAnsi="Times New Roman Regular" w:cs="Times New Roman Regular"/>
                <w:color w:val="auto"/>
                <w:sz w:val="24"/>
                <w:szCs w:val="24"/>
                <w:highlight w:val="none"/>
              </w:rPr>
              <w:t>能够提供有效证明材料的</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rPr>
              <w:t>得</w:t>
            </w:r>
            <w:r>
              <w:rPr>
                <w:rFonts w:hint="eastAsia" w:ascii="Times New Roman Regular" w:hAnsi="Times New Roman Regular" w:cs="Times New Roman Regular"/>
                <w:color w:val="auto"/>
                <w:sz w:val="24"/>
                <w:szCs w:val="24"/>
                <w:highlight w:val="none"/>
                <w:lang w:val="en-US" w:eastAsia="zh-CN"/>
              </w:rPr>
              <w:t>4</w:t>
            </w:r>
            <w:r>
              <w:rPr>
                <w:rFonts w:ascii="Times New Roman Regular" w:hAnsi="Times New Roman Regular" w:cs="Times New Roman Regular"/>
                <w:color w:val="auto"/>
                <w:sz w:val="24"/>
                <w:szCs w:val="24"/>
                <w:highlight w:val="none"/>
              </w:rPr>
              <w:t>-</w:t>
            </w:r>
            <w:r>
              <w:rPr>
                <w:rFonts w:hint="eastAsia" w:ascii="Times New Roman Regular" w:hAnsi="Times New Roman Regular" w:cs="Times New Roman Regular"/>
                <w:color w:val="auto"/>
                <w:sz w:val="24"/>
                <w:szCs w:val="24"/>
                <w:highlight w:val="none"/>
                <w:lang w:val="en-US" w:eastAsia="zh-CN"/>
              </w:rPr>
              <w:t>7</w:t>
            </w:r>
            <w:r>
              <w:rPr>
                <w:rFonts w:ascii="Times New Roman Regular" w:hAnsi="Times New Roman Regular" w:cs="Times New Roman Regular"/>
                <w:color w:val="auto"/>
                <w:sz w:val="24"/>
                <w:szCs w:val="24"/>
                <w:highlight w:val="none"/>
              </w:rPr>
              <w:t>分（不含</w:t>
            </w:r>
            <w:r>
              <w:rPr>
                <w:rFonts w:hint="eastAsia" w:ascii="Times New Roman Regular" w:hAnsi="Times New Roman Regular" w:cs="Times New Roman Regular"/>
                <w:color w:val="auto"/>
                <w:sz w:val="24"/>
                <w:szCs w:val="24"/>
                <w:highlight w:val="none"/>
                <w:lang w:val="en-US" w:eastAsia="zh-CN"/>
              </w:rPr>
              <w:t>7</w:t>
            </w:r>
            <w:r>
              <w:rPr>
                <w:rFonts w:ascii="Times New Roman Regular" w:hAnsi="Times New Roman Regular" w:cs="Times New Roman Regular"/>
                <w:color w:val="auto"/>
                <w:sz w:val="24"/>
                <w:szCs w:val="24"/>
                <w:highlight w:val="none"/>
              </w:rPr>
              <w:t>分）。</w:t>
            </w:r>
          </w:p>
          <w:p w14:paraId="3E853A93">
            <w:pPr>
              <w:spacing w:line="240" w:lineRule="auto"/>
              <w:ind w:firstLine="480"/>
              <w:jc w:val="left"/>
              <w:rPr>
                <w:rFonts w:hint="eastAsia" w:ascii="Times New Roman Regular" w:hAnsi="Times New Roman Regular" w:eastAsia="仿宋_GB2312" w:cs="Times New Roman Regular"/>
                <w:color w:val="auto"/>
                <w:sz w:val="24"/>
                <w:szCs w:val="24"/>
                <w:highlight w:val="none"/>
                <w:lang w:eastAsia="zh-CN"/>
              </w:rPr>
            </w:pPr>
            <w:r>
              <w:rPr>
                <w:rFonts w:hint="eastAsia" w:ascii="Times New Roman Regular" w:hAnsi="Times New Roman Regular" w:cs="Times New Roman Regular"/>
                <w:color w:val="auto"/>
                <w:sz w:val="24"/>
                <w:szCs w:val="24"/>
                <w:highlight w:val="none"/>
              </w:rPr>
              <w:t>第三档次：配套设施落实措施不全面，内容描述不清晰</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rPr>
              <w:t>或配套设施</w:t>
            </w:r>
            <w:r>
              <w:rPr>
                <w:rFonts w:hint="eastAsia" w:ascii="Times New Roman Regular" w:hAnsi="Times New Roman Regular" w:cs="Times New Roman Regular"/>
                <w:color w:val="auto"/>
                <w:sz w:val="24"/>
                <w:szCs w:val="24"/>
                <w:highlight w:val="none"/>
                <w:lang w:val="en-US" w:eastAsia="zh-CN"/>
              </w:rPr>
              <w:t>部分</w:t>
            </w:r>
            <w:r>
              <w:rPr>
                <w:rFonts w:hint="eastAsia" w:ascii="Times New Roman Regular" w:hAnsi="Times New Roman Regular" w:cs="Times New Roman Regular"/>
                <w:color w:val="auto"/>
                <w:sz w:val="24"/>
                <w:szCs w:val="24"/>
                <w:highlight w:val="none"/>
              </w:rPr>
              <w:t>落实，</w:t>
            </w:r>
            <w:r>
              <w:rPr>
                <w:rFonts w:hint="eastAsia" w:ascii="Times New Roman Regular" w:hAnsi="Times New Roman Regular" w:cs="Times New Roman Regular"/>
                <w:color w:val="auto"/>
                <w:sz w:val="24"/>
                <w:szCs w:val="24"/>
                <w:highlight w:val="none"/>
                <w:lang w:val="en-US" w:eastAsia="zh-CN"/>
              </w:rPr>
              <w:t>证明材料不全的，</w:t>
            </w:r>
            <w:r>
              <w:rPr>
                <w:rFonts w:hint="eastAsia" w:ascii="Times New Roman Regular" w:hAnsi="Times New Roman Regular" w:cs="Times New Roman Regular"/>
                <w:color w:val="auto"/>
                <w:sz w:val="24"/>
                <w:szCs w:val="24"/>
                <w:highlight w:val="none"/>
              </w:rPr>
              <w:t>得0</w:t>
            </w:r>
            <w:r>
              <w:rPr>
                <w:rFonts w:ascii="Times New Roman Regular" w:hAnsi="Times New Roman Regular" w:cs="Times New Roman Regular"/>
                <w:color w:val="auto"/>
                <w:sz w:val="24"/>
                <w:szCs w:val="24"/>
                <w:highlight w:val="none"/>
              </w:rPr>
              <w:t>-</w:t>
            </w:r>
            <w:r>
              <w:rPr>
                <w:rFonts w:hint="eastAsia" w:ascii="Times New Roman Regular" w:hAnsi="Times New Roman Regular" w:cs="Times New Roman Regular"/>
                <w:color w:val="auto"/>
                <w:sz w:val="24"/>
                <w:szCs w:val="24"/>
                <w:highlight w:val="none"/>
                <w:lang w:val="en-US" w:eastAsia="zh-CN"/>
              </w:rPr>
              <w:t>4</w:t>
            </w:r>
            <w:r>
              <w:rPr>
                <w:rFonts w:ascii="Times New Roman Regular" w:hAnsi="Times New Roman Regular" w:cs="Times New Roman Regular"/>
                <w:color w:val="auto"/>
                <w:sz w:val="24"/>
                <w:szCs w:val="24"/>
                <w:highlight w:val="none"/>
              </w:rPr>
              <w:t>分（不含</w:t>
            </w:r>
            <w:r>
              <w:rPr>
                <w:rFonts w:hint="eastAsia" w:ascii="Times New Roman Regular" w:hAnsi="Times New Roman Regular" w:cs="Times New Roman Regular"/>
                <w:color w:val="auto"/>
                <w:sz w:val="24"/>
                <w:szCs w:val="24"/>
                <w:highlight w:val="none"/>
                <w:lang w:val="en-US" w:eastAsia="zh-CN"/>
              </w:rPr>
              <w:t>4</w:t>
            </w:r>
            <w:r>
              <w:rPr>
                <w:rFonts w:ascii="Times New Roman Regular" w:hAnsi="Times New Roman Regular" w:cs="Times New Roman Regular"/>
                <w:color w:val="auto"/>
                <w:sz w:val="24"/>
                <w:szCs w:val="24"/>
                <w:highlight w:val="none"/>
              </w:rPr>
              <w:t>分）。</w:t>
            </w:r>
          </w:p>
          <w:p w14:paraId="5F5308AB">
            <w:pPr>
              <w:spacing w:line="240" w:lineRule="auto"/>
              <w:ind w:firstLine="480"/>
              <w:jc w:val="left"/>
              <w:rPr>
                <w:rFonts w:hint="eastAsia"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注：配套设施证明材料包括但不限于经营场所房屋租赁合同或自有不动产权属证明，停放点位、应用平台等</w:t>
            </w:r>
            <w:r>
              <w:rPr>
                <w:rFonts w:hint="default" w:ascii="Times New Roman Regular" w:hAnsi="Times New Roman Regular" w:cs="Times New Roman Regular"/>
                <w:color w:val="auto"/>
                <w:sz w:val="24"/>
                <w:szCs w:val="24"/>
                <w:highlight w:val="none"/>
                <w:lang w:val="en-US" w:eastAsia="zh-CN"/>
              </w:rPr>
              <w:t>配套设施的使用权限</w:t>
            </w:r>
            <w:r>
              <w:rPr>
                <w:rFonts w:hint="eastAsia" w:ascii="Times New Roman Regular" w:hAnsi="Times New Roman Regular" w:cs="Times New Roman Regular"/>
                <w:color w:val="auto"/>
                <w:sz w:val="24"/>
                <w:szCs w:val="24"/>
                <w:highlight w:val="none"/>
              </w:rPr>
              <w:t>书面证明</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包括</w:t>
            </w:r>
            <w:r>
              <w:rPr>
                <w:rFonts w:hint="eastAsia" w:ascii="Times New Roman Regular" w:hAnsi="Times New Roman Regular" w:cs="Times New Roman Regular"/>
                <w:color w:val="auto"/>
                <w:sz w:val="24"/>
                <w:szCs w:val="24"/>
                <w:highlight w:val="none"/>
              </w:rPr>
              <w:t>自有、合作、租赁等</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rPr>
              <w:t>。</w:t>
            </w:r>
          </w:p>
          <w:p w14:paraId="7B211387">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B（5分）：</w:t>
            </w:r>
            <w:r>
              <w:rPr>
                <w:rFonts w:ascii="Times New Roman Regular" w:hAnsi="Times New Roman Regular" w:cs="Times New Roman Regular"/>
                <w:color w:val="auto"/>
                <w:sz w:val="24"/>
                <w:szCs w:val="24"/>
                <w:highlight w:val="none"/>
              </w:rPr>
              <w:t>申请人应根据相关法律法规、行业标准、规程规范等，结合项目特点编制日常运营维护管理方案，方案包括但不限于互联网租赁自行车车辆调度、停放秩序管控、车辆检修保养、用户信用管理、运维人员分工及常态化服务质量</w:t>
            </w:r>
            <w:r>
              <w:rPr>
                <w:rFonts w:hint="eastAsia" w:ascii="Times New Roman Regular" w:hAnsi="Times New Roman Regular" w:cs="Times New Roman Regular"/>
                <w:color w:val="auto"/>
                <w:sz w:val="24"/>
                <w:szCs w:val="24"/>
                <w:highlight w:val="none"/>
                <w:lang w:val="en-US" w:eastAsia="zh-CN"/>
              </w:rPr>
              <w:t>管理</w:t>
            </w:r>
            <w:r>
              <w:rPr>
                <w:rFonts w:ascii="Times New Roman Regular" w:hAnsi="Times New Roman Regular" w:cs="Times New Roman Regular"/>
                <w:color w:val="auto"/>
                <w:sz w:val="24"/>
                <w:szCs w:val="24"/>
                <w:highlight w:val="none"/>
              </w:rPr>
              <w:t>措施等。评分规则如下：</w:t>
            </w:r>
          </w:p>
          <w:p w14:paraId="3EF70E77">
            <w:pPr>
              <w:pStyle w:val="40"/>
              <w:spacing w:line="240" w:lineRule="auto"/>
              <w:ind w:firstLine="480"/>
              <w:jc w:val="left"/>
              <w:rPr>
                <w:rFonts w:ascii="Times New Roman Regular" w:hAnsi="Times New Roman Regular" w:cs="Times New Roman Regular"/>
                <w:b w:val="0"/>
                <w:color w:val="auto"/>
                <w:sz w:val="24"/>
                <w:szCs w:val="24"/>
                <w:highlight w:val="none"/>
              </w:rPr>
            </w:pPr>
            <w:r>
              <w:rPr>
                <w:rFonts w:ascii="Times New Roman Regular" w:hAnsi="Times New Roman Regular" w:cs="Times New Roman Regular"/>
                <w:b w:val="0"/>
                <w:color w:val="auto"/>
                <w:sz w:val="24"/>
                <w:szCs w:val="24"/>
                <w:highlight w:val="none"/>
              </w:rPr>
              <w:t>第一档次：方案</w:t>
            </w:r>
            <w:r>
              <w:rPr>
                <w:rFonts w:hint="eastAsia" w:ascii="Times New Roman Regular" w:hAnsi="Times New Roman Regular" w:cs="Times New Roman Regular"/>
                <w:b w:val="0"/>
                <w:color w:val="auto"/>
                <w:sz w:val="24"/>
                <w:szCs w:val="24"/>
                <w:highlight w:val="none"/>
              </w:rPr>
              <w:t>全面</w:t>
            </w:r>
            <w:r>
              <w:rPr>
                <w:rFonts w:ascii="Times New Roman Regular" w:hAnsi="Times New Roman Regular" w:cs="Times New Roman Regular"/>
                <w:b w:val="0"/>
                <w:color w:val="auto"/>
                <w:sz w:val="24"/>
                <w:szCs w:val="24"/>
                <w:highlight w:val="none"/>
              </w:rPr>
              <w:t>，内容描述详细、科学、合理、可行，能很好满足项目日常运营维护管理，且明确列出自愿承担违约责任</w:t>
            </w:r>
            <w:r>
              <w:rPr>
                <w:rFonts w:hint="eastAsia" w:ascii="Times New Roman Regular" w:hAnsi="Times New Roman Regular" w:cs="Times New Roman Regular"/>
                <w:b w:val="0"/>
                <w:color w:val="auto"/>
                <w:sz w:val="24"/>
                <w:szCs w:val="24"/>
                <w:highlight w:val="none"/>
              </w:rPr>
              <w:t>的</w:t>
            </w:r>
            <w:r>
              <w:rPr>
                <w:rFonts w:ascii="Times New Roman Regular" w:hAnsi="Times New Roman Regular" w:cs="Times New Roman Regular"/>
                <w:b w:val="0"/>
                <w:color w:val="auto"/>
                <w:sz w:val="24"/>
                <w:szCs w:val="24"/>
                <w:highlight w:val="none"/>
              </w:rPr>
              <w:t>具体情形和违约后的补救措施，以及对应责任承担方式</w:t>
            </w:r>
            <w:r>
              <w:rPr>
                <w:rFonts w:hint="eastAsia" w:ascii="Times New Roman Regular" w:hAnsi="Times New Roman Regular" w:cs="Times New Roman Regular"/>
                <w:b w:val="0"/>
                <w:color w:val="auto"/>
                <w:sz w:val="24"/>
                <w:szCs w:val="24"/>
                <w:highlight w:val="none"/>
              </w:rPr>
              <w:t>和</w:t>
            </w:r>
            <w:r>
              <w:rPr>
                <w:rFonts w:ascii="Times New Roman Regular" w:hAnsi="Times New Roman Regular" w:cs="Times New Roman Regular"/>
                <w:b w:val="0"/>
                <w:color w:val="auto"/>
                <w:sz w:val="24"/>
                <w:szCs w:val="24"/>
                <w:highlight w:val="none"/>
              </w:rPr>
              <w:t>承诺的，得</w:t>
            </w:r>
            <w:r>
              <w:rPr>
                <w:rFonts w:hint="eastAsia" w:ascii="Times New Roman Regular" w:hAnsi="Times New Roman Regular" w:cs="Times New Roman Regular"/>
                <w:b w:val="0"/>
                <w:color w:val="auto"/>
                <w:sz w:val="24"/>
                <w:szCs w:val="24"/>
                <w:highlight w:val="none"/>
              </w:rPr>
              <w:t>4</w:t>
            </w:r>
            <w:r>
              <w:rPr>
                <w:rFonts w:ascii="Times New Roman Regular" w:hAnsi="Times New Roman Regular" w:cs="Times New Roman Regular"/>
                <w:b w:val="0"/>
                <w:color w:val="auto"/>
                <w:sz w:val="24"/>
                <w:szCs w:val="24"/>
                <w:highlight w:val="none"/>
              </w:rPr>
              <w:t>-</w:t>
            </w:r>
            <w:r>
              <w:rPr>
                <w:rFonts w:hint="eastAsia" w:ascii="Times New Roman Regular" w:hAnsi="Times New Roman Regular" w:cs="Times New Roman Regular"/>
                <w:b w:val="0"/>
                <w:color w:val="auto"/>
                <w:sz w:val="24"/>
                <w:szCs w:val="24"/>
                <w:highlight w:val="none"/>
              </w:rPr>
              <w:t>5</w:t>
            </w:r>
            <w:r>
              <w:rPr>
                <w:rFonts w:ascii="Times New Roman Regular" w:hAnsi="Times New Roman Regular" w:cs="Times New Roman Regular"/>
                <w:b w:val="0"/>
                <w:color w:val="auto"/>
                <w:sz w:val="24"/>
                <w:szCs w:val="24"/>
                <w:highlight w:val="none"/>
              </w:rPr>
              <w:t>分。</w:t>
            </w:r>
          </w:p>
          <w:p w14:paraId="26F2BEC7">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第二档次：方案基本</w:t>
            </w:r>
            <w:r>
              <w:rPr>
                <w:rFonts w:hint="eastAsia" w:ascii="Times New Roman Regular" w:hAnsi="Times New Roman Regular" w:cs="Times New Roman Regular"/>
                <w:color w:val="auto"/>
                <w:sz w:val="24"/>
                <w:szCs w:val="24"/>
                <w:highlight w:val="none"/>
              </w:rPr>
              <w:t>全面，内容</w:t>
            </w:r>
            <w:r>
              <w:rPr>
                <w:rFonts w:ascii="Times New Roman Regular" w:hAnsi="Times New Roman Regular" w:cs="Times New Roman Regular"/>
                <w:color w:val="auto"/>
                <w:sz w:val="24"/>
                <w:szCs w:val="24"/>
                <w:highlight w:val="none"/>
              </w:rPr>
              <w:t>描述基本清晰、合理、可行，能较好满足项目日常运营维护管理，有自愿承担违约责任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承诺，但描述不清晰</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不具体</w:t>
            </w:r>
            <w:r>
              <w:rPr>
                <w:rFonts w:ascii="Times New Roman Regular" w:hAnsi="Times New Roman Regular" w:cs="Times New Roman Regular"/>
                <w:color w:val="auto"/>
                <w:sz w:val="24"/>
                <w:szCs w:val="24"/>
                <w:highlight w:val="none"/>
              </w:rPr>
              <w:t>的，得</w:t>
            </w:r>
            <w:r>
              <w:rPr>
                <w:rFonts w:hint="eastAsia" w:ascii="Times New Roman Regular" w:hAnsi="Times New Roman Regular" w:cs="Times New Roman Regular"/>
                <w:color w:val="auto"/>
                <w:sz w:val="24"/>
                <w:szCs w:val="24"/>
                <w:highlight w:val="none"/>
              </w:rPr>
              <w:t>3</w:t>
            </w:r>
            <w:r>
              <w:rPr>
                <w:rFonts w:ascii="Times New Roman Regular" w:hAnsi="Times New Roman Regular" w:cs="Times New Roman Regular"/>
                <w:color w:val="auto"/>
                <w:sz w:val="24"/>
                <w:szCs w:val="24"/>
                <w:highlight w:val="none"/>
              </w:rPr>
              <w:t>-</w:t>
            </w:r>
            <w:r>
              <w:rPr>
                <w:rFonts w:hint="eastAsia" w:ascii="Times New Roman Regular" w:hAnsi="Times New Roman Regular" w:cs="Times New Roman Regular"/>
                <w:color w:val="auto"/>
                <w:sz w:val="24"/>
                <w:szCs w:val="24"/>
                <w:highlight w:val="none"/>
              </w:rPr>
              <w:t>4</w:t>
            </w:r>
            <w:r>
              <w:rPr>
                <w:rFonts w:ascii="Times New Roman Regular" w:hAnsi="Times New Roman Regular" w:cs="Times New Roman Regular"/>
                <w:color w:val="auto"/>
                <w:sz w:val="24"/>
                <w:szCs w:val="24"/>
                <w:highlight w:val="none"/>
              </w:rPr>
              <w:t>分（不含</w:t>
            </w:r>
            <w:r>
              <w:rPr>
                <w:rFonts w:hint="eastAsia" w:ascii="Times New Roman Regular" w:hAnsi="Times New Roman Regular" w:cs="Times New Roman Regular"/>
                <w:color w:val="auto"/>
                <w:sz w:val="24"/>
                <w:szCs w:val="24"/>
                <w:highlight w:val="none"/>
              </w:rPr>
              <w:t>4</w:t>
            </w:r>
            <w:r>
              <w:rPr>
                <w:rFonts w:ascii="Times New Roman Regular" w:hAnsi="Times New Roman Regular" w:cs="Times New Roman Regular"/>
                <w:color w:val="auto"/>
                <w:sz w:val="24"/>
                <w:szCs w:val="24"/>
                <w:highlight w:val="none"/>
              </w:rPr>
              <w:t>分）。</w:t>
            </w:r>
          </w:p>
          <w:p w14:paraId="71BD1140">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第三档次：方案</w:t>
            </w:r>
            <w:r>
              <w:rPr>
                <w:rFonts w:hint="eastAsia" w:ascii="Times New Roman Regular" w:hAnsi="Times New Roman Regular" w:cs="Times New Roman Regular"/>
                <w:color w:val="auto"/>
                <w:sz w:val="24"/>
                <w:szCs w:val="24"/>
                <w:highlight w:val="none"/>
              </w:rPr>
              <w:t>不全面</w:t>
            </w:r>
            <w:r>
              <w:rPr>
                <w:rFonts w:ascii="Times New Roman Regular" w:hAnsi="Times New Roman Regular" w:cs="Times New Roman Regular"/>
                <w:color w:val="auto"/>
                <w:sz w:val="24"/>
                <w:szCs w:val="24"/>
                <w:highlight w:val="none"/>
              </w:rPr>
              <w:t>，或</w:t>
            </w:r>
            <w:r>
              <w:rPr>
                <w:rFonts w:hint="eastAsia" w:ascii="Times New Roman Regular" w:hAnsi="Times New Roman Regular" w:cs="Times New Roman Regular"/>
                <w:color w:val="auto"/>
                <w:sz w:val="24"/>
                <w:szCs w:val="24"/>
                <w:highlight w:val="none"/>
              </w:rPr>
              <w:t>内容</w:t>
            </w:r>
            <w:r>
              <w:rPr>
                <w:rFonts w:ascii="Times New Roman Regular" w:hAnsi="Times New Roman Regular" w:cs="Times New Roman Regular"/>
                <w:color w:val="auto"/>
                <w:sz w:val="24"/>
                <w:szCs w:val="24"/>
                <w:highlight w:val="none"/>
              </w:rPr>
              <w:t>描述不清晰，存在一定问题，</w:t>
            </w:r>
            <w:r>
              <w:rPr>
                <w:rFonts w:hint="eastAsia" w:ascii="Times New Roman Regular" w:hAnsi="Times New Roman Regular" w:cs="Times New Roman Regular"/>
                <w:color w:val="auto"/>
                <w:sz w:val="24"/>
                <w:szCs w:val="24"/>
                <w:highlight w:val="none"/>
              </w:rPr>
              <w:t>能</w:t>
            </w:r>
            <w:r>
              <w:rPr>
                <w:rFonts w:ascii="Times New Roman Regular" w:hAnsi="Times New Roman Regular" w:cs="Times New Roman Regular"/>
                <w:color w:val="auto"/>
                <w:sz w:val="24"/>
                <w:szCs w:val="24"/>
                <w:highlight w:val="none"/>
              </w:rPr>
              <w:t>基本满足项目日常运营维护管理，</w:t>
            </w:r>
            <w:r>
              <w:rPr>
                <w:rFonts w:hint="eastAsia" w:ascii="Times New Roman Regular" w:hAnsi="Times New Roman Regular" w:cs="Times New Roman Regular"/>
                <w:color w:val="auto"/>
                <w:sz w:val="24"/>
                <w:szCs w:val="24"/>
                <w:highlight w:val="none"/>
                <w:lang w:val="en-US" w:eastAsia="zh-CN"/>
              </w:rPr>
              <w:t>无</w:t>
            </w:r>
            <w:r>
              <w:rPr>
                <w:rFonts w:ascii="Times New Roman Regular" w:hAnsi="Times New Roman Regular" w:cs="Times New Roman Regular"/>
                <w:color w:val="auto"/>
                <w:sz w:val="24"/>
                <w:szCs w:val="24"/>
                <w:highlight w:val="none"/>
              </w:rPr>
              <w:t>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w:t>
            </w:r>
            <w:r>
              <w:rPr>
                <w:rFonts w:hint="eastAsia" w:ascii="Times New Roman Regular" w:hAnsi="Times New Roman Regular" w:cs="Times New Roman Regular"/>
                <w:color w:val="auto"/>
                <w:sz w:val="24"/>
                <w:szCs w:val="24"/>
                <w:highlight w:val="none"/>
              </w:rPr>
              <w:t>对应</w:t>
            </w:r>
            <w:r>
              <w:rPr>
                <w:rFonts w:ascii="Times New Roman Regular" w:hAnsi="Times New Roman Regular" w:cs="Times New Roman Regular"/>
                <w:color w:val="auto"/>
                <w:sz w:val="24"/>
                <w:szCs w:val="24"/>
                <w:highlight w:val="none"/>
              </w:rPr>
              <w:t>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承诺的，得0-</w:t>
            </w:r>
            <w:r>
              <w:rPr>
                <w:rFonts w:hint="eastAsia" w:ascii="Times New Roman Regular" w:hAnsi="Times New Roman Regular" w:cs="Times New Roman Regular"/>
                <w:color w:val="auto"/>
                <w:sz w:val="24"/>
                <w:szCs w:val="24"/>
                <w:highlight w:val="none"/>
              </w:rPr>
              <w:t>3</w:t>
            </w:r>
            <w:r>
              <w:rPr>
                <w:rFonts w:ascii="Times New Roman Regular" w:hAnsi="Times New Roman Regular" w:cs="Times New Roman Regular"/>
                <w:color w:val="auto"/>
                <w:sz w:val="24"/>
                <w:szCs w:val="24"/>
                <w:highlight w:val="none"/>
              </w:rPr>
              <w:t>分（不含</w:t>
            </w:r>
            <w:r>
              <w:rPr>
                <w:rFonts w:hint="eastAsia" w:ascii="Times New Roman Regular" w:hAnsi="Times New Roman Regular" w:cs="Times New Roman Regular"/>
                <w:color w:val="auto"/>
                <w:sz w:val="24"/>
                <w:szCs w:val="24"/>
                <w:highlight w:val="none"/>
              </w:rPr>
              <w:t>3</w:t>
            </w:r>
            <w:r>
              <w:rPr>
                <w:rFonts w:ascii="Times New Roman Regular" w:hAnsi="Times New Roman Regular" w:cs="Times New Roman Regular"/>
                <w:color w:val="auto"/>
                <w:sz w:val="24"/>
                <w:szCs w:val="24"/>
                <w:highlight w:val="none"/>
              </w:rPr>
              <w:t>分）。</w:t>
            </w:r>
          </w:p>
        </w:tc>
      </w:tr>
      <w:tr w14:paraId="28CE075F">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60" w:type="dxa"/>
            <w:tcBorders>
              <w:tl2br w:val="nil"/>
              <w:tr2bl w:val="nil"/>
            </w:tcBorders>
            <w:vAlign w:val="center"/>
          </w:tcPr>
          <w:p w14:paraId="5DC25310">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专家</w:t>
            </w:r>
          </w:p>
        </w:tc>
        <w:tc>
          <w:tcPr>
            <w:tcW w:w="1275" w:type="dxa"/>
            <w:tcBorders>
              <w:tl2br w:val="nil"/>
              <w:tr2bl w:val="nil"/>
            </w:tcBorders>
            <w:vAlign w:val="center"/>
          </w:tcPr>
          <w:p w14:paraId="02F9738B">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2.薪酬保障及劳动者权益保护</w:t>
            </w:r>
          </w:p>
        </w:tc>
        <w:tc>
          <w:tcPr>
            <w:tcW w:w="851" w:type="dxa"/>
            <w:tcBorders>
              <w:tl2br w:val="nil"/>
              <w:tr2bl w:val="nil"/>
            </w:tcBorders>
            <w:vAlign w:val="center"/>
          </w:tcPr>
          <w:p w14:paraId="36D25019">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8</w:t>
            </w:r>
            <w:r>
              <w:rPr>
                <w:rFonts w:ascii="Times New Roman Regular" w:hAnsi="Times New Roman Regular" w:cs="Times New Roman Regular"/>
                <w:color w:val="auto"/>
                <w:sz w:val="24"/>
                <w:szCs w:val="24"/>
                <w:highlight w:val="none"/>
              </w:rPr>
              <w:t>分</w:t>
            </w:r>
          </w:p>
        </w:tc>
        <w:tc>
          <w:tcPr>
            <w:tcW w:w="10992" w:type="dxa"/>
            <w:tcBorders>
              <w:tl2br w:val="nil"/>
              <w:tr2bl w:val="nil"/>
            </w:tcBorders>
            <w:vAlign w:val="center"/>
          </w:tcPr>
          <w:p w14:paraId="3D579631">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为响应国家及省、市关于完善劳动者工资决定、合理增长、支付保障机制</w:t>
            </w:r>
            <w:r>
              <w:rPr>
                <w:rFonts w:hint="eastAsia" w:ascii="Times New Roman Regular" w:hAnsi="Times New Roman Regular" w:cs="Times New Roman Regular"/>
                <w:color w:val="auto"/>
                <w:sz w:val="24"/>
                <w:szCs w:val="24"/>
                <w:highlight w:val="none"/>
                <w:lang w:val="en-US" w:eastAsia="zh-CN"/>
              </w:rPr>
              <w:t>以及</w:t>
            </w:r>
            <w:r>
              <w:rPr>
                <w:rFonts w:ascii="Times New Roman Regular" w:hAnsi="Times New Roman Regular" w:cs="Times New Roman Regular"/>
                <w:color w:val="auto"/>
                <w:sz w:val="24"/>
                <w:szCs w:val="24"/>
                <w:highlight w:val="none"/>
              </w:rPr>
              <w:t>促进劳动报酬合理增长有关</w:t>
            </w:r>
            <w:r>
              <w:rPr>
                <w:rFonts w:hint="eastAsia" w:ascii="Times New Roman Regular" w:hAnsi="Times New Roman Regular" w:cs="Times New Roman Regular"/>
                <w:color w:val="auto"/>
                <w:sz w:val="24"/>
                <w:szCs w:val="24"/>
                <w:highlight w:val="none"/>
                <w:lang w:val="en-US" w:eastAsia="zh-CN"/>
              </w:rPr>
              <w:t>政策</w:t>
            </w:r>
            <w:r>
              <w:rPr>
                <w:rFonts w:ascii="Times New Roman Regular" w:hAnsi="Times New Roman Regular" w:cs="Times New Roman Regular"/>
                <w:color w:val="auto"/>
                <w:sz w:val="24"/>
                <w:szCs w:val="24"/>
                <w:highlight w:val="none"/>
              </w:rPr>
              <w:t>精神，保护劳动者合法权益，推动企业切实履行社会责任，评分规则如下：</w:t>
            </w:r>
          </w:p>
          <w:p w14:paraId="6429AEBD">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申请人拟投入本项目且符合劳动关系认定条件的管理、运维、找摆等所有用工人员（自有、劳务派遣、劳务外包等均可），达到</w:t>
            </w:r>
            <w:r>
              <w:rPr>
                <w:rFonts w:hint="eastAsia" w:ascii="Times New Roman Regular" w:hAnsi="Times New Roman Regular" w:cs="Times New Roman Regular"/>
                <w:color w:val="auto"/>
                <w:sz w:val="24"/>
                <w:szCs w:val="24"/>
                <w:highlight w:val="none"/>
                <w:lang w:val="en-US" w:eastAsia="zh-CN"/>
              </w:rPr>
              <w:t>杨陵区一类地区</w:t>
            </w:r>
            <w:r>
              <w:rPr>
                <w:rFonts w:ascii="Times New Roman Regular" w:hAnsi="Times New Roman Regular" w:cs="Times New Roman Regular"/>
                <w:color w:val="auto"/>
                <w:sz w:val="24"/>
                <w:szCs w:val="24"/>
                <w:highlight w:val="none"/>
              </w:rPr>
              <w:t>最低工资标准</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现行为2376元/月</w:t>
            </w:r>
            <w:r>
              <w:rPr>
                <w:rFonts w:hint="eastAsia" w:ascii="Times New Roman Regular" w:hAnsi="Times New Roman Regular" w:cs="Times New Roman Regular"/>
                <w:color w:val="auto"/>
                <w:sz w:val="24"/>
                <w:szCs w:val="24"/>
                <w:highlight w:val="none"/>
                <w:lang w:eastAsia="zh-CN"/>
              </w:rPr>
              <w:t>）</w:t>
            </w:r>
            <w:r>
              <w:rPr>
                <w:rFonts w:ascii="Times New Roman Regular" w:hAnsi="Times New Roman Regular" w:cs="Times New Roman Regular"/>
                <w:color w:val="auto"/>
                <w:sz w:val="24"/>
                <w:szCs w:val="24"/>
                <w:highlight w:val="none"/>
              </w:rPr>
              <w:t>的，得基本分</w:t>
            </w:r>
            <w:r>
              <w:rPr>
                <w:rFonts w:hint="eastAsia" w:ascii="Times New Roman Regular" w:hAnsi="Times New Roman Regular" w:cs="Times New Roman Regular"/>
                <w:color w:val="auto"/>
                <w:sz w:val="24"/>
                <w:szCs w:val="24"/>
                <w:highlight w:val="none"/>
              </w:rPr>
              <w:t>3</w:t>
            </w:r>
            <w:r>
              <w:rPr>
                <w:rFonts w:ascii="Times New Roman Regular" w:hAnsi="Times New Roman Regular" w:cs="Times New Roman Regular"/>
                <w:color w:val="auto"/>
                <w:sz w:val="24"/>
                <w:szCs w:val="24"/>
                <w:highlight w:val="none"/>
              </w:rPr>
              <w:t>分；在此基础上，申请人明确承诺的薪酬标准每增加500元</w:t>
            </w:r>
            <w:r>
              <w:rPr>
                <w:rFonts w:hint="eastAsia" w:ascii="Times New Roman Regular" w:hAnsi="Times New Roman Regular" w:cs="Times New Roman Regular"/>
                <w:color w:val="auto"/>
                <w:sz w:val="24"/>
                <w:szCs w:val="24"/>
                <w:highlight w:val="none"/>
                <w:lang w:val="en-US" w:eastAsia="zh-CN"/>
              </w:rPr>
              <w:t>/月</w:t>
            </w:r>
            <w:r>
              <w:rPr>
                <w:rFonts w:ascii="Times New Roman Regular" w:hAnsi="Times New Roman Regular" w:cs="Times New Roman Regular"/>
                <w:color w:val="auto"/>
                <w:sz w:val="24"/>
                <w:szCs w:val="24"/>
                <w:highlight w:val="none"/>
              </w:rPr>
              <w:t>，加1分，最多加5分。</w:t>
            </w:r>
          </w:p>
          <w:p w14:paraId="2E2179CE">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注：（1）申请人</w:t>
            </w:r>
            <w:r>
              <w:rPr>
                <w:rFonts w:hint="eastAsia" w:ascii="Times New Roman Regular" w:hAnsi="Times New Roman Regular" w:cs="Times New Roman Regular"/>
                <w:color w:val="auto"/>
                <w:sz w:val="24"/>
                <w:szCs w:val="24"/>
                <w:highlight w:val="none"/>
              </w:rPr>
              <w:t>应</w:t>
            </w:r>
            <w:r>
              <w:rPr>
                <w:rFonts w:ascii="Times New Roman Regular" w:hAnsi="Times New Roman Regular" w:cs="Times New Roman Regular"/>
                <w:color w:val="auto"/>
                <w:sz w:val="24"/>
                <w:szCs w:val="24"/>
                <w:highlight w:val="none"/>
              </w:rPr>
              <w:t>提供书面承诺书，明确承诺薪酬标准真实并足额支付；未提供承诺书的，</w:t>
            </w:r>
            <w:r>
              <w:rPr>
                <w:rFonts w:hint="eastAsia" w:ascii="Times New Roman Regular" w:hAnsi="Times New Roman Regular" w:cs="Times New Roman Regular"/>
                <w:color w:val="auto"/>
                <w:sz w:val="24"/>
                <w:szCs w:val="24"/>
                <w:highlight w:val="none"/>
              </w:rPr>
              <w:t>本</w:t>
            </w:r>
            <w:r>
              <w:rPr>
                <w:rFonts w:ascii="Times New Roman Regular" w:hAnsi="Times New Roman Regular" w:cs="Times New Roman Regular"/>
                <w:color w:val="auto"/>
                <w:sz w:val="24"/>
                <w:szCs w:val="24"/>
                <w:highlight w:val="none"/>
              </w:rPr>
              <w:t>项不得分。</w:t>
            </w:r>
          </w:p>
          <w:p w14:paraId="554A91F3">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（2）申请人可自愿补充薪酬支付相关证明材料，如自有用工的劳动合同、工资证明及流水、社保证明或满足评分标准的劳务外包合作单位相关证明材料（此项材料提供与否不作强制要求）。</w:t>
            </w:r>
          </w:p>
        </w:tc>
      </w:tr>
      <w:tr w14:paraId="1DC1543F">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60" w:type="dxa"/>
            <w:tcBorders>
              <w:tl2br w:val="nil"/>
              <w:tr2bl w:val="nil"/>
            </w:tcBorders>
            <w:vAlign w:val="center"/>
          </w:tcPr>
          <w:p w14:paraId="6BB44D88">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专家</w:t>
            </w:r>
          </w:p>
        </w:tc>
        <w:tc>
          <w:tcPr>
            <w:tcW w:w="1275" w:type="dxa"/>
            <w:tcBorders>
              <w:tl2br w:val="nil"/>
              <w:tr2bl w:val="nil"/>
            </w:tcBorders>
            <w:vAlign w:val="center"/>
          </w:tcPr>
          <w:p w14:paraId="7F0F48D9">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3</w:t>
            </w:r>
            <w:r>
              <w:rPr>
                <w:rFonts w:ascii="Times New Roman Regular" w:hAnsi="Times New Roman Regular" w:cs="Times New Roman Regular"/>
                <w:color w:val="auto"/>
                <w:sz w:val="24"/>
                <w:szCs w:val="24"/>
                <w:highlight w:val="none"/>
              </w:rPr>
              <w:t>.科技创新能力</w:t>
            </w:r>
          </w:p>
        </w:tc>
        <w:tc>
          <w:tcPr>
            <w:tcW w:w="851" w:type="dxa"/>
            <w:tcBorders>
              <w:tl2br w:val="nil"/>
              <w:tr2bl w:val="nil"/>
            </w:tcBorders>
            <w:vAlign w:val="center"/>
          </w:tcPr>
          <w:p w14:paraId="086AA326">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8分</w:t>
            </w:r>
          </w:p>
        </w:tc>
        <w:tc>
          <w:tcPr>
            <w:tcW w:w="10992" w:type="dxa"/>
            <w:tcBorders>
              <w:tl2br w:val="nil"/>
              <w:tr2bl w:val="nil"/>
            </w:tcBorders>
            <w:vAlign w:val="center"/>
          </w:tcPr>
          <w:p w14:paraId="4938066B">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为充分发挥科技创新对加快建设交通强国的支撑和引领作用，推进互联网租赁自行车领域科技创新发展，申请人应具备行业科技创新能力。申请人需提供与互联网租赁自行车运营服务直接相关且真实有效的、具备自主知识产权的科技创新证明材料，包括但不限于软件著作权登记证书、专利技术证书、技术鉴定报告、技术应用落地验证报告等。。评分规则如下：</w:t>
            </w:r>
          </w:p>
          <w:p w14:paraId="055B16B5">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（1）每提供1项相关</w:t>
            </w:r>
            <w:r>
              <w:rPr>
                <w:rFonts w:hint="eastAsia" w:ascii="Times New Roman Regular" w:hAnsi="Times New Roman Regular" w:cs="Times New Roman Regular"/>
                <w:color w:val="auto"/>
                <w:sz w:val="24"/>
                <w:szCs w:val="24"/>
                <w:highlight w:val="none"/>
              </w:rPr>
              <w:t>且</w:t>
            </w:r>
            <w:r>
              <w:rPr>
                <w:rFonts w:ascii="Times New Roman Regular" w:hAnsi="Times New Roman Regular" w:cs="Times New Roman Regular"/>
                <w:color w:val="auto"/>
                <w:sz w:val="24"/>
                <w:szCs w:val="24"/>
                <w:highlight w:val="none"/>
              </w:rPr>
              <w:t>有效</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软件著作权登记证书得0.5分，满分3分。</w:t>
            </w:r>
          </w:p>
          <w:p w14:paraId="1282DD72">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（2）每提供1项</w:t>
            </w:r>
            <w:r>
              <w:rPr>
                <w:rFonts w:hint="eastAsia" w:ascii="Times New Roman Regular" w:hAnsi="Times New Roman Regular" w:cs="Times New Roman Regular"/>
                <w:color w:val="auto"/>
                <w:sz w:val="24"/>
                <w:szCs w:val="24"/>
                <w:highlight w:val="none"/>
              </w:rPr>
              <w:t>相关且</w:t>
            </w:r>
            <w:r>
              <w:rPr>
                <w:rFonts w:ascii="Times New Roman Regular" w:hAnsi="Times New Roman Regular" w:cs="Times New Roman Regular"/>
                <w:color w:val="auto"/>
                <w:sz w:val="24"/>
                <w:szCs w:val="24"/>
                <w:highlight w:val="none"/>
              </w:rPr>
              <w:t>有效</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专利技术证书（发明、实用新型和外观设计均可）或技术鉴定报告或符合要求的技术应用落地验证报告得1分，满分5分。其中：技术应用落地验证报告应明确应用场景、实施时间、规模及实际效果数据</w:t>
            </w:r>
            <w:r>
              <w:rPr>
                <w:rFonts w:hint="eastAsia" w:ascii="Times New Roman Regular" w:hAnsi="Times New Roman Regular" w:cs="Times New Roman Regular"/>
                <w:color w:val="auto"/>
                <w:sz w:val="24"/>
                <w:szCs w:val="24"/>
                <w:highlight w:val="none"/>
              </w:rPr>
              <w:t>等</w:t>
            </w:r>
            <w:r>
              <w:rPr>
                <w:rFonts w:ascii="Times New Roman Regular" w:hAnsi="Times New Roman Regular" w:cs="Times New Roman Regular"/>
                <w:color w:val="auto"/>
                <w:sz w:val="24"/>
                <w:szCs w:val="24"/>
                <w:highlight w:val="none"/>
              </w:rPr>
              <w:t>，否则不计分。</w:t>
            </w:r>
          </w:p>
          <w:p w14:paraId="41762107">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（3）未提供任何证明材料</w:t>
            </w:r>
            <w:r>
              <w:rPr>
                <w:rFonts w:hint="eastAsia" w:ascii="Times New Roman Regular" w:hAnsi="Times New Roman Regular" w:cs="Times New Roman Regular"/>
                <w:color w:val="auto"/>
                <w:sz w:val="24"/>
                <w:szCs w:val="24"/>
                <w:highlight w:val="none"/>
              </w:rPr>
              <w:t>本</w:t>
            </w:r>
            <w:r>
              <w:rPr>
                <w:rFonts w:ascii="Times New Roman Regular" w:hAnsi="Times New Roman Regular" w:cs="Times New Roman Regular"/>
                <w:color w:val="auto"/>
                <w:sz w:val="24"/>
                <w:szCs w:val="24"/>
                <w:highlight w:val="none"/>
              </w:rPr>
              <w:t>项不得分。</w:t>
            </w:r>
          </w:p>
          <w:p w14:paraId="7E019515">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注：证明材料</w:t>
            </w:r>
            <w:r>
              <w:rPr>
                <w:rFonts w:hint="eastAsia" w:ascii="Times New Roman Regular" w:hAnsi="Times New Roman Regular" w:cs="Times New Roman Regular"/>
                <w:color w:val="auto"/>
                <w:sz w:val="24"/>
                <w:szCs w:val="24"/>
                <w:highlight w:val="none"/>
              </w:rPr>
              <w:t>应</w:t>
            </w:r>
            <w:r>
              <w:rPr>
                <w:rFonts w:ascii="Times New Roman Regular" w:hAnsi="Times New Roman Regular" w:cs="Times New Roman Regular"/>
                <w:color w:val="auto"/>
                <w:sz w:val="24"/>
                <w:szCs w:val="24"/>
                <w:highlight w:val="none"/>
              </w:rPr>
              <w:t>与互联网租赁自行车直接相关，且在有效期内；同一技术成果的不同证明形式（如同一技术的专利证书与应用落地验证报告）不重复计分</w:t>
            </w:r>
            <w:r>
              <w:rPr>
                <w:rFonts w:hint="eastAsia" w:ascii="Times New Roman Regular" w:hAnsi="Times New Roman Regular" w:cs="Times New Roman Regular"/>
                <w:color w:val="auto"/>
                <w:sz w:val="24"/>
                <w:szCs w:val="24"/>
                <w:highlight w:val="none"/>
              </w:rPr>
              <w:t>；</w:t>
            </w:r>
            <w:r>
              <w:rPr>
                <w:rFonts w:ascii="Times New Roman Regular" w:hAnsi="Times New Roman Regular" w:cs="Times New Roman Regular"/>
                <w:color w:val="auto"/>
                <w:sz w:val="24"/>
                <w:szCs w:val="24"/>
                <w:highlight w:val="none"/>
              </w:rPr>
              <w:t>所有专利证书应为申请人自主申请或买断专利权，合作专利不予认可。</w:t>
            </w:r>
          </w:p>
        </w:tc>
      </w:tr>
      <w:tr w14:paraId="7FA5B0E9">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60" w:type="dxa"/>
            <w:tcBorders>
              <w:tl2br w:val="nil"/>
              <w:tr2bl w:val="nil"/>
            </w:tcBorders>
            <w:vAlign w:val="center"/>
          </w:tcPr>
          <w:p w14:paraId="02FD972A">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专家</w:t>
            </w:r>
          </w:p>
        </w:tc>
        <w:tc>
          <w:tcPr>
            <w:tcW w:w="1275" w:type="dxa"/>
            <w:tcBorders>
              <w:tl2br w:val="nil"/>
              <w:tr2bl w:val="nil"/>
            </w:tcBorders>
            <w:vAlign w:val="center"/>
          </w:tcPr>
          <w:p w14:paraId="559CDCF4">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4</w:t>
            </w:r>
            <w:r>
              <w:rPr>
                <w:rFonts w:ascii="Times New Roman Regular" w:hAnsi="Times New Roman Regular" w:cs="Times New Roman Regular"/>
                <w:color w:val="auto"/>
                <w:sz w:val="24"/>
                <w:szCs w:val="24"/>
                <w:highlight w:val="none"/>
              </w:rPr>
              <w:t>.应急保障</w:t>
            </w:r>
          </w:p>
        </w:tc>
        <w:tc>
          <w:tcPr>
            <w:tcW w:w="851" w:type="dxa"/>
            <w:tcBorders>
              <w:tl2br w:val="nil"/>
              <w:tr2bl w:val="nil"/>
            </w:tcBorders>
            <w:vAlign w:val="center"/>
          </w:tcPr>
          <w:p w14:paraId="7DD56D68">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5</w:t>
            </w:r>
            <w:r>
              <w:rPr>
                <w:rFonts w:ascii="Times New Roman Regular" w:hAnsi="Times New Roman Regular" w:cs="Times New Roman Regular"/>
                <w:color w:val="auto"/>
                <w:sz w:val="24"/>
                <w:szCs w:val="24"/>
                <w:highlight w:val="none"/>
              </w:rPr>
              <w:t>分</w:t>
            </w:r>
          </w:p>
        </w:tc>
        <w:tc>
          <w:tcPr>
            <w:tcW w:w="10992" w:type="dxa"/>
            <w:tcBorders>
              <w:tl2br w:val="nil"/>
              <w:tr2bl w:val="nil"/>
            </w:tcBorders>
            <w:vAlign w:val="center"/>
          </w:tcPr>
          <w:p w14:paraId="7FD32DC8">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A（</w:t>
            </w:r>
            <w:r>
              <w:rPr>
                <w:rFonts w:hint="eastAsia" w:ascii="Times New Roman Regular" w:hAnsi="Times New Roman Regular" w:cs="Times New Roman Regular"/>
                <w:color w:val="auto"/>
                <w:sz w:val="24"/>
                <w:szCs w:val="24"/>
                <w:highlight w:val="none"/>
              </w:rPr>
              <w:t>3</w:t>
            </w:r>
            <w:r>
              <w:rPr>
                <w:rFonts w:ascii="Times New Roman Regular" w:hAnsi="Times New Roman Regular" w:cs="Times New Roman Regular"/>
                <w:color w:val="auto"/>
                <w:sz w:val="24"/>
                <w:szCs w:val="24"/>
                <w:highlight w:val="none"/>
              </w:rPr>
              <w:t>分）：申请人应根据相关法律法规、行业标准、规程规范等，结合项目特点编制应急保障方案，方案包括但不限于</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汛期等极端天气应急处置、重点区域车辆应急调度、骑行安全事件处置（应包含为骑行者购买相关保险、保险未赔付前垫付相关费用等措施及承诺）、纠纷处置、政企联动应急机制等。评分规则如下：</w:t>
            </w:r>
          </w:p>
          <w:p w14:paraId="4C9AAD32">
            <w:pPr>
              <w:widowControl/>
              <w:overflowPunct/>
              <w:spacing w:line="240" w:lineRule="auto"/>
              <w:ind w:firstLine="480"/>
              <w:jc w:val="left"/>
              <w:rPr>
                <w:rFonts w:hint="default" w:ascii="Times New Roman Regular" w:hAnsi="Times New Roman Regular" w:cs="Times New Roman Regular"/>
                <w:color w:val="auto"/>
                <w:sz w:val="24"/>
                <w:szCs w:val="24"/>
                <w:highlight w:val="none"/>
              </w:rPr>
            </w:pPr>
            <w:r>
              <w:rPr>
                <w:rFonts w:hint="default" w:ascii="Times New Roman Regular" w:hAnsi="Times New Roman Regular" w:cs="Times New Roman Regular"/>
                <w:color w:val="auto"/>
                <w:sz w:val="24"/>
                <w:szCs w:val="24"/>
                <w:highlight w:val="none"/>
              </w:rPr>
              <w:t>第一档次：方案全面，内容描述详细、科学、合理、可行，能很好保障项目应急处置</w:t>
            </w:r>
            <w:r>
              <w:rPr>
                <w:rFonts w:hint="default" w:ascii="Times New Roman Regular" w:hAnsi="Times New Roman Regular" w:cs="Times New Roman Regular"/>
                <w:color w:val="auto"/>
                <w:sz w:val="24"/>
                <w:szCs w:val="24"/>
                <w:highlight w:val="none"/>
                <w:lang w:eastAsia="zh-CN"/>
              </w:rPr>
              <w:t>，</w:t>
            </w:r>
            <w:r>
              <w:rPr>
                <w:rFonts w:hint="default" w:ascii="Times New Roman Regular" w:hAnsi="Times New Roman Regular" w:cs="Times New Roman Regular"/>
                <w:color w:val="auto"/>
                <w:sz w:val="24"/>
                <w:szCs w:val="24"/>
                <w:highlight w:val="none"/>
              </w:rPr>
              <w:t>明确列出自愿承担违约责任的具体情形和违约后的补救措施，以及对应责任承担方式和承诺的，得2-3分。</w:t>
            </w:r>
          </w:p>
          <w:p w14:paraId="767D6495">
            <w:pPr>
              <w:widowControl/>
              <w:overflowPunct/>
              <w:spacing w:line="240" w:lineRule="auto"/>
              <w:ind w:firstLine="480"/>
              <w:jc w:val="left"/>
              <w:rPr>
                <w:rFonts w:hint="default" w:ascii="Times New Roman Regular" w:hAnsi="Times New Roman Regular" w:cs="Times New Roman Regular"/>
                <w:color w:val="auto"/>
                <w:sz w:val="24"/>
                <w:szCs w:val="24"/>
                <w:highlight w:val="none"/>
              </w:rPr>
            </w:pPr>
            <w:r>
              <w:rPr>
                <w:rFonts w:hint="default" w:ascii="Times New Roman Regular" w:hAnsi="Times New Roman Regular" w:cs="Times New Roman Regular"/>
                <w:color w:val="auto"/>
                <w:sz w:val="24"/>
                <w:szCs w:val="24"/>
                <w:highlight w:val="none"/>
              </w:rPr>
              <w:t>第二档次：方案基本全面，内容描述基本清晰、合理、可行，能较好保障项目应急处置，</w:t>
            </w:r>
            <w:r>
              <w:rPr>
                <w:rFonts w:hint="eastAsia" w:ascii="Times New Roman Regular" w:hAnsi="Times New Roman Regular" w:cs="Times New Roman Regular"/>
                <w:color w:val="auto"/>
                <w:sz w:val="24"/>
                <w:szCs w:val="24"/>
                <w:highlight w:val="none"/>
                <w:lang w:val="en-US" w:eastAsia="zh-CN"/>
              </w:rPr>
              <w:t>有</w:t>
            </w:r>
            <w:r>
              <w:rPr>
                <w:rFonts w:hint="default" w:ascii="Times New Roman Regular" w:hAnsi="Times New Roman Regular" w:cs="Times New Roman Regular"/>
                <w:color w:val="auto"/>
                <w:sz w:val="24"/>
                <w:szCs w:val="24"/>
                <w:highlight w:val="none"/>
              </w:rPr>
              <w:t>自愿承担违约责任的情形和违约后的补救措施，以及对应责任承担方式和承诺</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但</w:t>
            </w:r>
            <w:r>
              <w:rPr>
                <w:rFonts w:hint="default" w:ascii="Times New Roman Regular" w:hAnsi="Times New Roman Regular" w:cs="Times New Roman Regular"/>
                <w:color w:val="auto"/>
                <w:sz w:val="24"/>
                <w:szCs w:val="24"/>
                <w:highlight w:val="none"/>
              </w:rPr>
              <w:t>描述不清晰</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不具体</w:t>
            </w:r>
            <w:r>
              <w:rPr>
                <w:rFonts w:hint="default" w:ascii="Times New Roman Regular" w:hAnsi="Times New Roman Regular" w:cs="Times New Roman Regular"/>
                <w:color w:val="auto"/>
                <w:sz w:val="24"/>
                <w:szCs w:val="24"/>
                <w:highlight w:val="none"/>
              </w:rPr>
              <w:t>的，得1-2分（不含2分）。</w:t>
            </w:r>
          </w:p>
          <w:p w14:paraId="3B2E84C1">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hint="default" w:ascii="Times New Roman Regular" w:hAnsi="Times New Roman Regular" w:cs="Times New Roman Regular"/>
                <w:color w:val="auto"/>
                <w:sz w:val="24"/>
                <w:szCs w:val="24"/>
                <w:highlight w:val="none"/>
              </w:rPr>
              <w:t>第三档次：方案不全面，或内容描述不清晰，存在一定问题，能基本保障项目应急处置，</w:t>
            </w:r>
            <w:r>
              <w:rPr>
                <w:rFonts w:hint="eastAsia" w:ascii="Times New Roman Regular" w:hAnsi="Times New Roman Regular" w:cs="Times New Roman Regular"/>
                <w:color w:val="auto"/>
                <w:sz w:val="24"/>
                <w:szCs w:val="24"/>
                <w:highlight w:val="none"/>
                <w:lang w:val="en-US" w:eastAsia="zh-CN"/>
              </w:rPr>
              <w:t>无</w:t>
            </w:r>
            <w:r>
              <w:rPr>
                <w:rFonts w:hint="default" w:ascii="Times New Roman Regular" w:hAnsi="Times New Roman Regular" w:cs="Times New Roman Regular"/>
                <w:color w:val="auto"/>
                <w:sz w:val="24"/>
                <w:szCs w:val="24"/>
                <w:highlight w:val="none"/>
              </w:rPr>
              <w:t>自愿承担违约责任的情形和违约后的补救措施，以及对应责任承担方式和承诺的，得0-1分（不含1分）。</w:t>
            </w:r>
          </w:p>
          <w:p w14:paraId="78AA529E">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B（</w:t>
            </w:r>
            <w:r>
              <w:rPr>
                <w:rFonts w:hint="eastAsia" w:ascii="Times New Roman Regular" w:hAnsi="Times New Roman Regular" w:cs="Times New Roman Regular"/>
                <w:color w:val="auto"/>
                <w:sz w:val="24"/>
                <w:szCs w:val="24"/>
                <w:highlight w:val="none"/>
              </w:rPr>
              <w:t>2</w:t>
            </w:r>
            <w:r>
              <w:rPr>
                <w:rFonts w:ascii="Times New Roman Regular" w:hAnsi="Times New Roman Regular" w:cs="Times New Roman Regular"/>
                <w:color w:val="auto"/>
                <w:sz w:val="24"/>
                <w:szCs w:val="24"/>
                <w:highlight w:val="none"/>
              </w:rPr>
              <w:t>分）：为完善骑行用户保障体系，构建</w:t>
            </w:r>
            <w:r>
              <w:rPr>
                <w:rFonts w:hint="eastAsia" w:ascii="Times New Roman Regular" w:hAnsi="Times New Roman Regular" w:cs="Times New Roman Regular"/>
                <w:color w:val="auto"/>
                <w:sz w:val="24"/>
                <w:szCs w:val="24"/>
                <w:highlight w:val="none"/>
                <w:lang w:val="en-US" w:eastAsia="zh-CN"/>
              </w:rPr>
              <w:t>全面</w:t>
            </w:r>
            <w:r>
              <w:rPr>
                <w:rFonts w:ascii="Times New Roman Regular" w:hAnsi="Times New Roman Regular" w:cs="Times New Roman Regular"/>
                <w:color w:val="auto"/>
                <w:sz w:val="24"/>
                <w:szCs w:val="24"/>
                <w:highlight w:val="none"/>
              </w:rPr>
              <w:t>的兜底保障机制，鼓励运营服务主体购买非机动车驾驶人意外伤害险、非机动车第三者责任险和平台责任险等。根据累计保险额度，评分规则如下：</w:t>
            </w:r>
          </w:p>
          <w:p w14:paraId="0C2923E4">
            <w:pPr>
              <w:spacing w:line="240" w:lineRule="auto"/>
              <w:ind w:firstLine="480"/>
              <w:jc w:val="left"/>
              <w:rPr>
                <w:rFonts w:hint="eastAsia" w:ascii="Times New Roman Regular" w:hAnsi="Times New Roman Regular" w:eastAsia="仿宋_GB2312" w:cs="Times New Roman Regular"/>
                <w:color w:val="auto"/>
                <w:sz w:val="24"/>
                <w:szCs w:val="24"/>
                <w:highlight w:val="none"/>
                <w:lang w:eastAsia="zh-CN"/>
              </w:rPr>
            </w:pPr>
            <w:r>
              <w:rPr>
                <w:rFonts w:ascii="Times New Roman Regular" w:hAnsi="Times New Roman Regular" w:cs="Times New Roman Regular"/>
                <w:color w:val="auto"/>
                <w:sz w:val="24"/>
                <w:szCs w:val="24"/>
                <w:highlight w:val="none"/>
              </w:rPr>
              <w:t>（</w:t>
            </w:r>
            <w:r>
              <w:rPr>
                <w:rFonts w:hint="eastAsia" w:ascii="Times New Roman Regular" w:hAnsi="Times New Roman Regular" w:cs="Times New Roman Regular"/>
                <w:color w:val="auto"/>
                <w:sz w:val="24"/>
                <w:szCs w:val="24"/>
                <w:highlight w:val="none"/>
                <w:lang w:val="en-US" w:eastAsia="zh-CN"/>
              </w:rPr>
              <w:t>1</w:t>
            </w:r>
            <w:r>
              <w:rPr>
                <w:rFonts w:ascii="Times New Roman Regular" w:hAnsi="Times New Roman Regular" w:cs="Times New Roman Regular"/>
                <w:color w:val="auto"/>
                <w:sz w:val="24"/>
                <w:szCs w:val="24"/>
                <w:highlight w:val="none"/>
              </w:rPr>
              <w:t>）累计保险额度≥</w:t>
            </w:r>
            <w:r>
              <w:rPr>
                <w:rFonts w:hint="eastAsia" w:ascii="Times New Roman Regular" w:hAnsi="Times New Roman Regular" w:cs="Times New Roman Regular"/>
                <w:color w:val="auto"/>
                <w:sz w:val="24"/>
                <w:szCs w:val="24"/>
                <w:highlight w:val="none"/>
              </w:rPr>
              <w:t>2</w:t>
            </w:r>
            <w:r>
              <w:rPr>
                <w:rFonts w:ascii="Times New Roman Regular" w:hAnsi="Times New Roman Regular" w:cs="Times New Roman Regular"/>
                <w:color w:val="auto"/>
                <w:sz w:val="24"/>
                <w:szCs w:val="24"/>
                <w:highlight w:val="none"/>
              </w:rPr>
              <w:t>00万元，得</w:t>
            </w:r>
            <w:r>
              <w:rPr>
                <w:rFonts w:hint="eastAsia" w:ascii="Times New Roman Regular" w:hAnsi="Times New Roman Regular" w:cs="Times New Roman Regular"/>
                <w:color w:val="auto"/>
                <w:sz w:val="24"/>
                <w:szCs w:val="24"/>
                <w:highlight w:val="none"/>
              </w:rPr>
              <w:t>2</w:t>
            </w:r>
            <w:r>
              <w:rPr>
                <w:rFonts w:ascii="Times New Roman Regular" w:hAnsi="Times New Roman Regular" w:cs="Times New Roman Regular"/>
                <w:color w:val="auto"/>
                <w:sz w:val="24"/>
                <w:szCs w:val="24"/>
                <w:highlight w:val="none"/>
              </w:rPr>
              <w:t>分</w:t>
            </w:r>
            <w:r>
              <w:rPr>
                <w:rFonts w:hint="eastAsia" w:ascii="Times New Roman Regular" w:hAnsi="Times New Roman Regular" w:cs="Times New Roman Regular"/>
                <w:color w:val="auto"/>
                <w:sz w:val="24"/>
                <w:szCs w:val="24"/>
                <w:highlight w:val="none"/>
                <w:lang w:eastAsia="zh-CN"/>
              </w:rPr>
              <w:t>；</w:t>
            </w:r>
          </w:p>
          <w:p w14:paraId="5F781DE5">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w:t>
            </w:r>
            <w:r>
              <w:rPr>
                <w:rFonts w:hint="eastAsia" w:ascii="Times New Roman Regular" w:hAnsi="Times New Roman Regular" w:cs="Times New Roman Regular"/>
                <w:color w:val="auto"/>
                <w:sz w:val="24"/>
                <w:szCs w:val="24"/>
                <w:highlight w:val="none"/>
                <w:lang w:val="en-US" w:eastAsia="zh-CN"/>
              </w:rPr>
              <w:t>2</w:t>
            </w:r>
            <w:r>
              <w:rPr>
                <w:rFonts w:ascii="Times New Roman Regular" w:hAnsi="Times New Roman Regular" w:cs="Times New Roman Regular"/>
                <w:color w:val="auto"/>
                <w:sz w:val="24"/>
                <w:szCs w:val="24"/>
                <w:highlight w:val="none"/>
              </w:rPr>
              <w:t>）100万元≤累计保险额度＜200万元，得1分；</w:t>
            </w:r>
          </w:p>
          <w:p w14:paraId="39307D5F">
            <w:pPr>
              <w:spacing w:line="240" w:lineRule="auto"/>
              <w:ind w:firstLine="480"/>
              <w:jc w:val="left"/>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3</w:t>
            </w:r>
            <w:r>
              <w:rPr>
                <w:rFonts w:hint="eastAsia" w:ascii="Times New Roman Regular" w:hAnsi="Times New Roman Regular" w:cs="Times New Roman Regular"/>
                <w:color w:val="auto"/>
                <w:sz w:val="24"/>
                <w:szCs w:val="24"/>
                <w:highlight w:val="none"/>
                <w:lang w:eastAsia="zh-CN"/>
              </w:rPr>
              <w:t>）</w:t>
            </w:r>
            <w:r>
              <w:rPr>
                <w:rFonts w:ascii="Times New Roman Regular" w:hAnsi="Times New Roman Regular" w:cs="Times New Roman Regular"/>
                <w:color w:val="auto"/>
                <w:sz w:val="24"/>
                <w:szCs w:val="24"/>
                <w:highlight w:val="none"/>
              </w:rPr>
              <w:t>累计保险额度＜</w:t>
            </w:r>
            <w:r>
              <w:rPr>
                <w:rFonts w:hint="eastAsia" w:ascii="Times New Roman Regular" w:hAnsi="Times New Roman Regular" w:cs="Times New Roman Regular"/>
                <w:color w:val="auto"/>
                <w:sz w:val="24"/>
                <w:szCs w:val="24"/>
                <w:highlight w:val="none"/>
                <w:lang w:val="en-US" w:eastAsia="zh-CN"/>
              </w:rPr>
              <w:t>1</w:t>
            </w:r>
            <w:r>
              <w:rPr>
                <w:rFonts w:ascii="Times New Roman Regular" w:hAnsi="Times New Roman Regular" w:cs="Times New Roman Regular"/>
                <w:color w:val="auto"/>
                <w:sz w:val="24"/>
                <w:szCs w:val="24"/>
                <w:highlight w:val="none"/>
              </w:rPr>
              <w:t>00万元，</w:t>
            </w:r>
            <w:r>
              <w:rPr>
                <w:rFonts w:hint="eastAsia" w:ascii="Times New Roman Regular" w:hAnsi="Times New Roman Regular" w:cs="Times New Roman Regular"/>
                <w:color w:val="auto"/>
                <w:sz w:val="24"/>
                <w:szCs w:val="24"/>
                <w:highlight w:val="none"/>
                <w:lang w:val="en-US" w:eastAsia="zh-CN"/>
              </w:rPr>
              <w:t>不得分。</w:t>
            </w:r>
          </w:p>
          <w:p w14:paraId="1B720139">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注：申请人</w:t>
            </w:r>
            <w:r>
              <w:rPr>
                <w:rFonts w:hint="eastAsia" w:ascii="Times New Roman Regular" w:hAnsi="Times New Roman Regular" w:cs="Times New Roman Regular"/>
                <w:color w:val="auto"/>
                <w:sz w:val="24"/>
                <w:szCs w:val="24"/>
                <w:highlight w:val="none"/>
              </w:rPr>
              <w:t>应</w:t>
            </w:r>
            <w:r>
              <w:rPr>
                <w:rFonts w:ascii="Times New Roman Regular" w:hAnsi="Times New Roman Regular" w:cs="Times New Roman Regular"/>
                <w:color w:val="auto"/>
                <w:sz w:val="24"/>
                <w:szCs w:val="24"/>
                <w:highlight w:val="none"/>
              </w:rPr>
              <w:t>提供书面承诺书，明确承诺购买</w:t>
            </w:r>
            <w:r>
              <w:rPr>
                <w:rFonts w:hint="eastAsia" w:ascii="Times New Roman Regular" w:hAnsi="Times New Roman Regular" w:cs="Times New Roman Regular"/>
                <w:color w:val="auto"/>
                <w:sz w:val="24"/>
                <w:szCs w:val="24"/>
                <w:highlight w:val="none"/>
              </w:rPr>
              <w:t>相关</w:t>
            </w:r>
            <w:r>
              <w:rPr>
                <w:rFonts w:ascii="Times New Roman Regular" w:hAnsi="Times New Roman Regular" w:cs="Times New Roman Regular"/>
                <w:color w:val="auto"/>
                <w:sz w:val="24"/>
                <w:szCs w:val="24"/>
                <w:highlight w:val="none"/>
              </w:rPr>
              <w:t>保险及</w:t>
            </w:r>
            <w:r>
              <w:rPr>
                <w:rFonts w:hint="eastAsia" w:ascii="Times New Roman Regular" w:hAnsi="Times New Roman Regular" w:cs="Times New Roman Regular"/>
                <w:color w:val="auto"/>
                <w:sz w:val="24"/>
                <w:szCs w:val="24"/>
                <w:highlight w:val="none"/>
              </w:rPr>
              <w:t>对应</w:t>
            </w:r>
            <w:r>
              <w:rPr>
                <w:rFonts w:ascii="Times New Roman Regular" w:hAnsi="Times New Roman Regular" w:cs="Times New Roman Regular"/>
                <w:color w:val="auto"/>
                <w:sz w:val="24"/>
                <w:szCs w:val="24"/>
                <w:highlight w:val="none"/>
              </w:rPr>
              <w:t>额度；未提供承诺书的，不</w:t>
            </w:r>
            <w:r>
              <w:rPr>
                <w:rFonts w:hint="eastAsia" w:ascii="Times New Roman Regular" w:hAnsi="Times New Roman Regular" w:cs="Times New Roman Regular"/>
                <w:color w:val="auto"/>
                <w:sz w:val="24"/>
                <w:szCs w:val="24"/>
                <w:highlight w:val="none"/>
                <w:lang w:val="en-US" w:eastAsia="zh-CN"/>
              </w:rPr>
              <w:t>得</w:t>
            </w:r>
            <w:r>
              <w:rPr>
                <w:rFonts w:ascii="Times New Roman Regular" w:hAnsi="Times New Roman Regular" w:cs="Times New Roman Regular"/>
                <w:color w:val="auto"/>
                <w:sz w:val="24"/>
                <w:szCs w:val="24"/>
                <w:highlight w:val="none"/>
              </w:rPr>
              <w:t>分。</w:t>
            </w:r>
          </w:p>
        </w:tc>
      </w:tr>
      <w:tr w14:paraId="020F623B">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60" w:type="dxa"/>
            <w:tcBorders>
              <w:tl2br w:val="nil"/>
              <w:tr2bl w:val="nil"/>
            </w:tcBorders>
            <w:vAlign w:val="center"/>
          </w:tcPr>
          <w:p w14:paraId="57E41D7F">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专家</w:t>
            </w:r>
          </w:p>
        </w:tc>
        <w:tc>
          <w:tcPr>
            <w:tcW w:w="1275" w:type="dxa"/>
            <w:tcBorders>
              <w:tl2br w:val="nil"/>
              <w:tr2bl w:val="nil"/>
            </w:tcBorders>
            <w:vAlign w:val="center"/>
          </w:tcPr>
          <w:p w14:paraId="654C6EA5">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5</w:t>
            </w:r>
            <w:r>
              <w:rPr>
                <w:rFonts w:ascii="Times New Roman Regular" w:hAnsi="Times New Roman Regular" w:cs="Times New Roman Regular"/>
                <w:color w:val="auto"/>
                <w:sz w:val="24"/>
                <w:szCs w:val="24"/>
                <w:highlight w:val="none"/>
              </w:rPr>
              <w:t>.公共交通一体化融合</w:t>
            </w:r>
          </w:p>
        </w:tc>
        <w:tc>
          <w:tcPr>
            <w:tcW w:w="851" w:type="dxa"/>
            <w:tcBorders>
              <w:tl2br w:val="nil"/>
              <w:tr2bl w:val="nil"/>
            </w:tcBorders>
            <w:vAlign w:val="center"/>
          </w:tcPr>
          <w:p w14:paraId="403DA428">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5分</w:t>
            </w:r>
          </w:p>
        </w:tc>
        <w:tc>
          <w:tcPr>
            <w:tcW w:w="10992" w:type="dxa"/>
            <w:tcBorders>
              <w:tl2br w:val="nil"/>
              <w:tr2bl w:val="nil"/>
            </w:tcBorders>
            <w:vAlign w:val="center"/>
          </w:tcPr>
          <w:p w14:paraId="17CF61CF">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申请人应围绕</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公共交通一体化融合发展需求，结合项目特点编制互联网租赁自行车与公交一体化融合方案，方案包括但不限于数据接入共享、站点接驳点位优化与线路衔接规划，以及“骑行+公交”联乘服务设计、票务协同及换乘引导等。评分规则如下：</w:t>
            </w:r>
          </w:p>
          <w:p w14:paraId="09E7FC6C">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第一档次：方案</w:t>
            </w:r>
            <w:r>
              <w:rPr>
                <w:rFonts w:hint="eastAsia" w:ascii="Times New Roman Regular" w:hAnsi="Times New Roman Regular" w:cs="Times New Roman Regular"/>
                <w:color w:val="auto"/>
                <w:sz w:val="24"/>
                <w:szCs w:val="24"/>
                <w:highlight w:val="none"/>
              </w:rPr>
              <w:t>全面</w:t>
            </w:r>
            <w:r>
              <w:rPr>
                <w:rFonts w:ascii="Times New Roman Regular" w:hAnsi="Times New Roman Regular" w:cs="Times New Roman Regular"/>
                <w:color w:val="auto"/>
                <w:sz w:val="24"/>
                <w:szCs w:val="24"/>
                <w:highlight w:val="none"/>
              </w:rPr>
              <w:t>，内容描述详细、科学、合理、可行，能很好满足</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公共交通一体化融合发展需求，且明确列出自愿承担违约责任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具体情形和违约后的补救措施，以及对应责任承担方式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承诺的，得4-5分。</w:t>
            </w:r>
          </w:p>
          <w:p w14:paraId="23CB73E2">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第二档次：方案基本</w:t>
            </w:r>
            <w:r>
              <w:rPr>
                <w:rFonts w:hint="eastAsia" w:ascii="Times New Roman Regular" w:hAnsi="Times New Roman Regular" w:cs="Times New Roman Regular"/>
                <w:color w:val="auto"/>
                <w:sz w:val="24"/>
                <w:szCs w:val="24"/>
                <w:highlight w:val="none"/>
              </w:rPr>
              <w:t>全面，内容</w:t>
            </w:r>
            <w:r>
              <w:rPr>
                <w:rFonts w:ascii="Times New Roman Regular" w:hAnsi="Times New Roman Regular" w:cs="Times New Roman Regular"/>
                <w:color w:val="auto"/>
                <w:sz w:val="24"/>
                <w:szCs w:val="24"/>
                <w:highlight w:val="none"/>
              </w:rPr>
              <w:t>描述基本清晰、合理、可行，能较好满足</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公共交通一体化融合发展需求，有自愿承担违约责任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承诺，但描述不清晰</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不具体</w:t>
            </w:r>
            <w:r>
              <w:rPr>
                <w:rFonts w:ascii="Times New Roman Regular" w:hAnsi="Times New Roman Regular" w:cs="Times New Roman Regular"/>
                <w:color w:val="auto"/>
                <w:sz w:val="24"/>
                <w:szCs w:val="24"/>
                <w:highlight w:val="none"/>
              </w:rPr>
              <w:t>的，得3-4分（不含4分）。</w:t>
            </w:r>
          </w:p>
          <w:p w14:paraId="4F2964DD">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第三档次：方案</w:t>
            </w:r>
            <w:r>
              <w:rPr>
                <w:rFonts w:hint="eastAsia" w:ascii="Times New Roman Regular" w:hAnsi="Times New Roman Regular" w:cs="Times New Roman Regular"/>
                <w:color w:val="auto"/>
                <w:sz w:val="24"/>
                <w:szCs w:val="24"/>
                <w:highlight w:val="none"/>
              </w:rPr>
              <w:t>不全面</w:t>
            </w:r>
            <w:r>
              <w:rPr>
                <w:rFonts w:ascii="Times New Roman Regular" w:hAnsi="Times New Roman Regular" w:cs="Times New Roman Regular"/>
                <w:color w:val="auto"/>
                <w:sz w:val="24"/>
                <w:szCs w:val="24"/>
                <w:highlight w:val="none"/>
              </w:rPr>
              <w:t>，</w:t>
            </w:r>
            <w:r>
              <w:rPr>
                <w:rFonts w:hint="eastAsia" w:ascii="Times New Roman Regular" w:hAnsi="Times New Roman Regular" w:cs="Times New Roman Regular"/>
                <w:color w:val="auto"/>
                <w:sz w:val="24"/>
                <w:szCs w:val="24"/>
                <w:highlight w:val="none"/>
              </w:rPr>
              <w:t>内容</w:t>
            </w:r>
            <w:r>
              <w:rPr>
                <w:rFonts w:ascii="Times New Roman Regular" w:hAnsi="Times New Roman Regular" w:cs="Times New Roman Regular"/>
                <w:color w:val="auto"/>
                <w:sz w:val="24"/>
                <w:szCs w:val="24"/>
                <w:highlight w:val="none"/>
              </w:rPr>
              <w:t>描述不清晰，存在一定问题，</w:t>
            </w:r>
            <w:r>
              <w:rPr>
                <w:rFonts w:hint="eastAsia" w:ascii="Times New Roman Regular" w:hAnsi="Times New Roman Regular" w:cs="Times New Roman Regular"/>
                <w:color w:val="auto"/>
                <w:sz w:val="24"/>
                <w:szCs w:val="24"/>
                <w:highlight w:val="none"/>
              </w:rPr>
              <w:t>能</w:t>
            </w:r>
            <w:r>
              <w:rPr>
                <w:rFonts w:ascii="Times New Roman Regular" w:hAnsi="Times New Roman Regular" w:cs="Times New Roman Regular"/>
                <w:color w:val="auto"/>
                <w:sz w:val="24"/>
                <w:szCs w:val="24"/>
                <w:highlight w:val="none"/>
              </w:rPr>
              <w:t>基本满足</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公共交通一体化融合发展需求，</w:t>
            </w:r>
            <w:r>
              <w:rPr>
                <w:rFonts w:hint="eastAsia" w:ascii="Times New Roman Regular" w:hAnsi="Times New Roman Regular" w:cs="Times New Roman Regular"/>
                <w:color w:val="auto"/>
                <w:sz w:val="24"/>
                <w:szCs w:val="24"/>
                <w:highlight w:val="none"/>
                <w:lang w:val="en-US" w:eastAsia="zh-CN"/>
              </w:rPr>
              <w:t>无</w:t>
            </w:r>
            <w:r>
              <w:rPr>
                <w:rFonts w:ascii="Times New Roman Regular" w:hAnsi="Times New Roman Regular" w:cs="Times New Roman Regular"/>
                <w:color w:val="auto"/>
                <w:sz w:val="24"/>
                <w:szCs w:val="24"/>
                <w:highlight w:val="none"/>
              </w:rPr>
              <w:t>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承诺的，得0-3分（不含3分）。</w:t>
            </w:r>
          </w:p>
        </w:tc>
      </w:tr>
      <w:tr w14:paraId="5EB3AF2F">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60" w:type="dxa"/>
            <w:tcBorders>
              <w:tl2br w:val="nil"/>
              <w:tr2bl w:val="nil"/>
            </w:tcBorders>
            <w:vAlign w:val="center"/>
          </w:tcPr>
          <w:p w14:paraId="23383326">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专家</w:t>
            </w:r>
          </w:p>
        </w:tc>
        <w:tc>
          <w:tcPr>
            <w:tcW w:w="1275" w:type="dxa"/>
            <w:tcBorders>
              <w:tl2br w:val="nil"/>
              <w:tr2bl w:val="nil"/>
            </w:tcBorders>
            <w:vAlign w:val="center"/>
          </w:tcPr>
          <w:p w14:paraId="3E0EF7BF">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6</w:t>
            </w:r>
            <w:r>
              <w:rPr>
                <w:rFonts w:ascii="Times New Roman Regular" w:hAnsi="Times New Roman Regular" w:cs="Times New Roman Regular"/>
                <w:color w:val="auto"/>
                <w:sz w:val="24"/>
                <w:szCs w:val="24"/>
                <w:highlight w:val="none"/>
              </w:rPr>
              <w:t>.安全保障</w:t>
            </w:r>
          </w:p>
        </w:tc>
        <w:tc>
          <w:tcPr>
            <w:tcW w:w="851" w:type="dxa"/>
            <w:tcBorders>
              <w:tl2br w:val="nil"/>
              <w:tr2bl w:val="nil"/>
            </w:tcBorders>
            <w:vAlign w:val="center"/>
          </w:tcPr>
          <w:p w14:paraId="5F433B0B">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5</w:t>
            </w:r>
            <w:r>
              <w:rPr>
                <w:rFonts w:hint="eastAsia" w:ascii="Times New Roman Regular" w:hAnsi="Times New Roman Regular" w:cs="Times New Roman Regular"/>
                <w:color w:val="auto"/>
                <w:sz w:val="24"/>
                <w:szCs w:val="24"/>
                <w:highlight w:val="none"/>
              </w:rPr>
              <w:t>分</w:t>
            </w:r>
          </w:p>
        </w:tc>
        <w:tc>
          <w:tcPr>
            <w:tcW w:w="10992" w:type="dxa"/>
            <w:tcBorders>
              <w:tl2br w:val="nil"/>
              <w:tr2bl w:val="nil"/>
            </w:tcBorders>
            <w:vAlign w:val="center"/>
          </w:tcPr>
          <w:p w14:paraId="313CFAFA">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申请人应根据相关法律法规、行业标准、规程规范等，结合项目特点编制安全保障方案，方案包括但不限于</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汛期等极端天气的骑行安全、特殊群体安全、用户权益保障、用户信息数据安全、资金安全（押金或骑行卡预付资金监管、套餐透明无隐性扣费</w:t>
            </w:r>
            <w:r>
              <w:rPr>
                <w:rFonts w:hint="eastAsia" w:ascii="Times New Roman Regular" w:hAnsi="Times New Roman Regular" w:cs="Times New Roman Regular"/>
                <w:color w:val="auto"/>
                <w:sz w:val="24"/>
                <w:szCs w:val="24"/>
                <w:highlight w:val="none"/>
                <w:lang w:val="en-US" w:eastAsia="zh-CN"/>
              </w:rPr>
              <w:t>等</w:t>
            </w:r>
            <w:r>
              <w:rPr>
                <w:rFonts w:ascii="Times New Roman Regular" w:hAnsi="Times New Roman Regular" w:cs="Times New Roman Regular"/>
                <w:color w:val="auto"/>
                <w:sz w:val="24"/>
                <w:szCs w:val="24"/>
                <w:highlight w:val="none"/>
              </w:rPr>
              <w:t>）、充换电消防安全，以及车辆运营安全等。评分规则如下：</w:t>
            </w:r>
          </w:p>
          <w:p w14:paraId="0B750477">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第一档次：方案</w:t>
            </w:r>
            <w:r>
              <w:rPr>
                <w:rFonts w:hint="eastAsia" w:ascii="Times New Roman Regular" w:hAnsi="Times New Roman Regular" w:cs="Times New Roman Regular"/>
                <w:color w:val="auto"/>
                <w:sz w:val="24"/>
                <w:szCs w:val="24"/>
                <w:highlight w:val="none"/>
              </w:rPr>
              <w:t>全面</w:t>
            </w:r>
            <w:r>
              <w:rPr>
                <w:rFonts w:ascii="Times New Roman Regular" w:hAnsi="Times New Roman Regular" w:cs="Times New Roman Regular"/>
                <w:color w:val="auto"/>
                <w:sz w:val="24"/>
                <w:szCs w:val="24"/>
                <w:highlight w:val="none"/>
              </w:rPr>
              <w:t>，内容描述详细、科学、合理、可行，能很好保障项目安全运营，且明确列出自愿承担违约责任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具体情形和违约后的补救措施，以及对应责任承担方式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承诺的，得4-5分。</w:t>
            </w:r>
          </w:p>
          <w:p w14:paraId="23391330">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第二档次：方案基本</w:t>
            </w:r>
            <w:r>
              <w:rPr>
                <w:rFonts w:hint="eastAsia" w:ascii="Times New Roman Regular" w:hAnsi="Times New Roman Regular" w:cs="Times New Roman Regular"/>
                <w:color w:val="auto"/>
                <w:sz w:val="24"/>
                <w:szCs w:val="24"/>
                <w:highlight w:val="none"/>
              </w:rPr>
              <w:t>全面，内容</w:t>
            </w:r>
            <w:r>
              <w:rPr>
                <w:rFonts w:ascii="Times New Roman Regular" w:hAnsi="Times New Roman Regular" w:cs="Times New Roman Regular"/>
                <w:color w:val="auto"/>
                <w:sz w:val="24"/>
                <w:szCs w:val="24"/>
                <w:highlight w:val="none"/>
              </w:rPr>
              <w:t>描述基本清晰、合理、可行，能较好保障项目安全运营，有自愿承担违约责任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承诺，但描述不清晰</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不具体</w:t>
            </w:r>
            <w:r>
              <w:rPr>
                <w:rFonts w:ascii="Times New Roman Regular" w:hAnsi="Times New Roman Regular" w:cs="Times New Roman Regular"/>
                <w:color w:val="auto"/>
                <w:sz w:val="24"/>
                <w:szCs w:val="24"/>
                <w:highlight w:val="none"/>
              </w:rPr>
              <w:t>的，得3-4分（不含4分）。</w:t>
            </w:r>
          </w:p>
          <w:p w14:paraId="5FA1D6A0">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第三档次：方案</w:t>
            </w:r>
            <w:r>
              <w:rPr>
                <w:rFonts w:hint="eastAsia" w:ascii="Times New Roman Regular" w:hAnsi="Times New Roman Regular" w:cs="Times New Roman Regular"/>
                <w:color w:val="auto"/>
                <w:sz w:val="24"/>
                <w:szCs w:val="24"/>
                <w:highlight w:val="none"/>
              </w:rPr>
              <w:t>不全面</w:t>
            </w:r>
            <w:r>
              <w:rPr>
                <w:rFonts w:ascii="Times New Roman Regular" w:hAnsi="Times New Roman Regular" w:cs="Times New Roman Regular"/>
                <w:color w:val="auto"/>
                <w:sz w:val="24"/>
                <w:szCs w:val="24"/>
                <w:highlight w:val="none"/>
              </w:rPr>
              <w:t>，或</w:t>
            </w:r>
            <w:r>
              <w:rPr>
                <w:rFonts w:hint="eastAsia" w:ascii="Times New Roman Regular" w:hAnsi="Times New Roman Regular" w:cs="Times New Roman Regular"/>
                <w:color w:val="auto"/>
                <w:sz w:val="24"/>
                <w:szCs w:val="24"/>
                <w:highlight w:val="none"/>
              </w:rPr>
              <w:t>内容</w:t>
            </w:r>
            <w:r>
              <w:rPr>
                <w:rFonts w:ascii="Times New Roman Regular" w:hAnsi="Times New Roman Regular" w:cs="Times New Roman Regular"/>
                <w:color w:val="auto"/>
                <w:sz w:val="24"/>
                <w:szCs w:val="24"/>
                <w:highlight w:val="none"/>
              </w:rPr>
              <w:t>描述不清晰，存在一定问题，能基本保障项目安全运营，</w:t>
            </w:r>
            <w:r>
              <w:rPr>
                <w:rFonts w:hint="eastAsia" w:ascii="Times New Roman Regular" w:hAnsi="Times New Roman Regular" w:cs="Times New Roman Regular"/>
                <w:color w:val="auto"/>
                <w:sz w:val="24"/>
                <w:szCs w:val="24"/>
                <w:highlight w:val="none"/>
                <w:lang w:val="en-US" w:eastAsia="zh-CN"/>
              </w:rPr>
              <w:t>无</w:t>
            </w:r>
            <w:r>
              <w:rPr>
                <w:rFonts w:ascii="Times New Roman Regular" w:hAnsi="Times New Roman Regular" w:cs="Times New Roman Regular"/>
                <w:color w:val="auto"/>
                <w:sz w:val="24"/>
                <w:szCs w:val="24"/>
                <w:highlight w:val="none"/>
              </w:rPr>
              <w:t>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承诺的，得0-3分（不含3分）。</w:t>
            </w:r>
          </w:p>
        </w:tc>
      </w:tr>
      <w:bookmarkEnd w:id="3"/>
      <w:tr w14:paraId="52C8BCA8">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60" w:type="dxa"/>
            <w:tcBorders>
              <w:tl2br w:val="nil"/>
              <w:tr2bl w:val="nil"/>
            </w:tcBorders>
            <w:vAlign w:val="center"/>
          </w:tcPr>
          <w:p w14:paraId="2E548FF7">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专家</w:t>
            </w:r>
          </w:p>
        </w:tc>
        <w:tc>
          <w:tcPr>
            <w:tcW w:w="1275" w:type="dxa"/>
            <w:tcBorders>
              <w:tl2br w:val="nil"/>
              <w:tr2bl w:val="nil"/>
            </w:tcBorders>
            <w:vAlign w:val="center"/>
          </w:tcPr>
          <w:p w14:paraId="7D23D42A">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7</w:t>
            </w:r>
            <w:r>
              <w:rPr>
                <w:rFonts w:ascii="Times New Roman Regular" w:hAnsi="Times New Roman Regular" w:cs="Times New Roman Regular"/>
                <w:color w:val="auto"/>
                <w:sz w:val="24"/>
                <w:szCs w:val="24"/>
                <w:highlight w:val="none"/>
              </w:rPr>
              <w:t>.人员配备</w:t>
            </w:r>
          </w:p>
        </w:tc>
        <w:tc>
          <w:tcPr>
            <w:tcW w:w="851" w:type="dxa"/>
            <w:tcBorders>
              <w:tl2br w:val="nil"/>
              <w:tr2bl w:val="nil"/>
            </w:tcBorders>
            <w:vAlign w:val="center"/>
          </w:tcPr>
          <w:p w14:paraId="628F3C80">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5分</w:t>
            </w:r>
          </w:p>
        </w:tc>
        <w:tc>
          <w:tcPr>
            <w:tcW w:w="10992" w:type="dxa"/>
            <w:tcBorders>
              <w:tl2br w:val="nil"/>
              <w:tr2bl w:val="nil"/>
            </w:tcBorders>
            <w:vAlign w:val="center"/>
          </w:tcPr>
          <w:p w14:paraId="2C10F469">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根据互联网租赁自行车运维服务保障需求，</w:t>
            </w:r>
            <w:r>
              <w:rPr>
                <w:rFonts w:hint="eastAsia" w:ascii="Times New Roman Regular" w:hAnsi="Times New Roman Regular" w:cs="Times New Roman Regular"/>
                <w:color w:val="auto"/>
                <w:sz w:val="24"/>
                <w:szCs w:val="24"/>
                <w:highlight w:val="none"/>
                <w:lang w:val="en-US" w:eastAsia="zh-CN"/>
              </w:rPr>
              <w:t>从</w:t>
            </w:r>
            <w:r>
              <w:rPr>
                <w:rFonts w:ascii="Times New Roman Regular" w:hAnsi="Times New Roman Regular" w:cs="Times New Roman Regular"/>
                <w:color w:val="auto"/>
                <w:sz w:val="24"/>
                <w:szCs w:val="24"/>
                <w:highlight w:val="none"/>
              </w:rPr>
              <w:t>拟投入运维管理人员与车辆配比</w:t>
            </w:r>
            <w:r>
              <w:rPr>
                <w:rFonts w:hint="eastAsia" w:ascii="Times New Roman Regular" w:hAnsi="Times New Roman Regular" w:cs="Times New Roman Regular"/>
                <w:color w:val="auto"/>
                <w:sz w:val="24"/>
                <w:szCs w:val="24"/>
                <w:highlight w:val="none"/>
                <w:lang w:val="en-US" w:eastAsia="zh-CN"/>
              </w:rPr>
              <w:t>合理</w:t>
            </w:r>
            <w:r>
              <w:rPr>
                <w:rFonts w:ascii="Times New Roman Regular" w:hAnsi="Times New Roman Regular" w:cs="Times New Roman Regular"/>
                <w:color w:val="auto"/>
                <w:sz w:val="24"/>
                <w:szCs w:val="24"/>
                <w:highlight w:val="none"/>
              </w:rPr>
              <w:t>性、人员管理方案完备性、岗位职责清晰度、用工计划详实度及人员</w:t>
            </w:r>
            <w:r>
              <w:rPr>
                <w:rFonts w:hint="eastAsia" w:ascii="Times New Roman Regular" w:hAnsi="Times New Roman Regular" w:cs="Times New Roman Regular"/>
                <w:color w:val="auto"/>
                <w:sz w:val="24"/>
                <w:szCs w:val="24"/>
                <w:highlight w:val="none"/>
                <w:lang w:val="en-US" w:eastAsia="zh-CN"/>
              </w:rPr>
              <w:t>结构合理性</w:t>
            </w:r>
            <w:r>
              <w:rPr>
                <w:rFonts w:hint="eastAsia" w:ascii="Times New Roman Regular" w:hAnsi="Times New Roman Regular" w:cs="Times New Roman Regular"/>
                <w:color w:val="auto"/>
                <w:sz w:val="24"/>
                <w:szCs w:val="24"/>
                <w:highlight w:val="none"/>
              </w:rPr>
              <w:t>等</w:t>
            </w:r>
            <w:r>
              <w:rPr>
                <w:rFonts w:hint="eastAsia" w:ascii="Times New Roman Regular" w:hAnsi="Times New Roman Regular" w:cs="Times New Roman Regular"/>
                <w:color w:val="auto"/>
                <w:sz w:val="24"/>
                <w:szCs w:val="24"/>
                <w:highlight w:val="none"/>
                <w:lang w:val="en-US" w:eastAsia="zh-CN"/>
              </w:rPr>
              <w:t>方面</w:t>
            </w:r>
            <w:r>
              <w:rPr>
                <w:rFonts w:ascii="Times New Roman Regular" w:hAnsi="Times New Roman Regular" w:cs="Times New Roman Regular"/>
                <w:color w:val="auto"/>
                <w:sz w:val="24"/>
                <w:szCs w:val="24"/>
                <w:highlight w:val="none"/>
              </w:rPr>
              <w:t>进行评分。评分规则如下：</w:t>
            </w:r>
          </w:p>
          <w:p w14:paraId="217D27EE">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第一档次：拟投入运维管理人员与车辆配比合理，有具体的人员管理方案、岗位职责说明、详细的用工计划，拟派往本项目</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人员</w:t>
            </w:r>
            <w:r>
              <w:rPr>
                <w:rFonts w:hint="eastAsia" w:ascii="Times New Roman Regular" w:hAnsi="Times New Roman Regular" w:cs="Times New Roman Regular"/>
                <w:color w:val="auto"/>
                <w:sz w:val="24"/>
                <w:szCs w:val="24"/>
                <w:highlight w:val="none"/>
              </w:rPr>
              <w:t>结构合理性、科学性较强的</w:t>
            </w:r>
            <w:r>
              <w:rPr>
                <w:rFonts w:ascii="Times New Roman Regular" w:hAnsi="Times New Roman Regular" w:cs="Times New Roman Regular"/>
                <w:color w:val="auto"/>
                <w:sz w:val="24"/>
                <w:szCs w:val="24"/>
                <w:highlight w:val="none"/>
              </w:rPr>
              <w:t>，得4-5分。</w:t>
            </w:r>
          </w:p>
          <w:p w14:paraId="59718963">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第二档次：拟投入运维管理人员与车辆配比</w:t>
            </w:r>
            <w:r>
              <w:rPr>
                <w:rFonts w:hint="eastAsia" w:ascii="Times New Roman Regular" w:hAnsi="Times New Roman Regular" w:cs="Times New Roman Regular"/>
                <w:color w:val="auto"/>
                <w:sz w:val="24"/>
                <w:szCs w:val="24"/>
                <w:highlight w:val="none"/>
              </w:rPr>
              <w:t>较</w:t>
            </w:r>
            <w:r>
              <w:rPr>
                <w:rFonts w:ascii="Times New Roman Regular" w:hAnsi="Times New Roman Regular" w:cs="Times New Roman Regular"/>
                <w:color w:val="auto"/>
                <w:sz w:val="24"/>
                <w:szCs w:val="24"/>
                <w:highlight w:val="none"/>
              </w:rPr>
              <w:t>合理，人员管理方案、岗位职责说明</w:t>
            </w:r>
            <w:r>
              <w:rPr>
                <w:rFonts w:hint="eastAsia" w:ascii="Times New Roman Regular" w:hAnsi="Times New Roman Regular" w:cs="Times New Roman Regular"/>
                <w:color w:val="auto"/>
                <w:sz w:val="24"/>
                <w:szCs w:val="24"/>
                <w:highlight w:val="none"/>
              </w:rPr>
              <w:t>较具体，</w:t>
            </w:r>
            <w:r>
              <w:rPr>
                <w:rFonts w:ascii="Times New Roman Regular" w:hAnsi="Times New Roman Regular" w:cs="Times New Roman Regular"/>
                <w:color w:val="auto"/>
                <w:sz w:val="24"/>
                <w:szCs w:val="24"/>
                <w:highlight w:val="none"/>
              </w:rPr>
              <w:t>用工计划</w:t>
            </w:r>
            <w:r>
              <w:rPr>
                <w:rFonts w:hint="eastAsia" w:ascii="Times New Roman Regular" w:hAnsi="Times New Roman Regular" w:cs="Times New Roman Regular"/>
                <w:color w:val="auto"/>
                <w:sz w:val="24"/>
                <w:szCs w:val="24"/>
                <w:highlight w:val="none"/>
              </w:rPr>
              <w:t>较</w:t>
            </w:r>
            <w:r>
              <w:rPr>
                <w:rFonts w:ascii="Times New Roman Regular" w:hAnsi="Times New Roman Regular" w:cs="Times New Roman Regular"/>
                <w:color w:val="auto"/>
                <w:sz w:val="24"/>
                <w:szCs w:val="24"/>
                <w:highlight w:val="none"/>
              </w:rPr>
              <w:t>详细，拟派往本项目</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人员</w:t>
            </w:r>
            <w:r>
              <w:rPr>
                <w:rFonts w:hint="eastAsia" w:ascii="Times New Roman Regular" w:hAnsi="Times New Roman Regular" w:cs="Times New Roman Regular"/>
                <w:color w:val="auto"/>
                <w:sz w:val="24"/>
                <w:szCs w:val="24"/>
                <w:highlight w:val="none"/>
              </w:rPr>
              <w:t>结构合理性、科学性</w:t>
            </w:r>
            <w:r>
              <w:rPr>
                <w:rFonts w:ascii="Times New Roman Regular" w:hAnsi="Times New Roman Regular" w:cs="Times New Roman Regular"/>
                <w:color w:val="auto"/>
                <w:sz w:val="24"/>
                <w:szCs w:val="24"/>
                <w:highlight w:val="none"/>
              </w:rPr>
              <w:t>一般的，得3-4分（不含4分）。</w:t>
            </w:r>
          </w:p>
          <w:p w14:paraId="73B07015">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第三档次：拟投入运维管理人员与车辆配比</w:t>
            </w:r>
            <w:r>
              <w:rPr>
                <w:rFonts w:hint="eastAsia" w:ascii="Times New Roman Regular" w:hAnsi="Times New Roman Regular" w:cs="Times New Roman Regular"/>
                <w:color w:val="auto"/>
                <w:sz w:val="24"/>
                <w:szCs w:val="24"/>
                <w:highlight w:val="none"/>
              </w:rPr>
              <w:t>基本</w:t>
            </w:r>
            <w:r>
              <w:rPr>
                <w:rFonts w:ascii="Times New Roman Regular" w:hAnsi="Times New Roman Regular" w:cs="Times New Roman Regular"/>
                <w:color w:val="auto"/>
                <w:sz w:val="24"/>
                <w:szCs w:val="24"/>
                <w:highlight w:val="none"/>
              </w:rPr>
              <w:t>合理，有人员管理方案、岗位职责说明</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用工计划</w:t>
            </w:r>
            <w:r>
              <w:rPr>
                <w:rFonts w:hint="eastAsia" w:ascii="Times New Roman Regular" w:hAnsi="Times New Roman Regular" w:cs="Times New Roman Regular"/>
                <w:color w:val="auto"/>
                <w:sz w:val="24"/>
                <w:szCs w:val="24"/>
                <w:highlight w:val="none"/>
              </w:rPr>
              <w:t>但不具体、不详细</w:t>
            </w:r>
            <w:r>
              <w:rPr>
                <w:rFonts w:ascii="Times New Roman Regular" w:hAnsi="Times New Roman Regular" w:cs="Times New Roman Regular"/>
                <w:color w:val="auto"/>
                <w:sz w:val="24"/>
                <w:szCs w:val="24"/>
                <w:highlight w:val="none"/>
              </w:rPr>
              <w:t>，拟派往本项目</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人员</w:t>
            </w:r>
            <w:r>
              <w:rPr>
                <w:rFonts w:hint="eastAsia" w:ascii="Times New Roman Regular" w:hAnsi="Times New Roman Regular" w:cs="Times New Roman Regular"/>
                <w:color w:val="auto"/>
                <w:sz w:val="24"/>
                <w:szCs w:val="24"/>
                <w:highlight w:val="none"/>
              </w:rPr>
              <w:t>结构合理性、科学性</w:t>
            </w:r>
            <w:r>
              <w:rPr>
                <w:rFonts w:ascii="Times New Roman Regular" w:hAnsi="Times New Roman Regular" w:cs="Times New Roman Regular"/>
                <w:color w:val="auto"/>
                <w:sz w:val="24"/>
                <w:szCs w:val="24"/>
                <w:highlight w:val="none"/>
              </w:rPr>
              <w:t>较差的，得0-3分（不含3分）。</w:t>
            </w:r>
          </w:p>
        </w:tc>
      </w:tr>
      <w:tr w14:paraId="1AA1E70B">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60" w:type="dxa"/>
            <w:tcBorders>
              <w:tl2br w:val="nil"/>
              <w:tr2bl w:val="nil"/>
            </w:tcBorders>
            <w:vAlign w:val="center"/>
          </w:tcPr>
          <w:p w14:paraId="79FA4993">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专家</w:t>
            </w:r>
          </w:p>
        </w:tc>
        <w:tc>
          <w:tcPr>
            <w:tcW w:w="1275" w:type="dxa"/>
            <w:tcBorders>
              <w:tl2br w:val="nil"/>
              <w:tr2bl w:val="nil"/>
            </w:tcBorders>
            <w:vAlign w:val="center"/>
          </w:tcPr>
          <w:p w14:paraId="11E596B9">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8</w:t>
            </w:r>
            <w:r>
              <w:rPr>
                <w:rFonts w:ascii="Times New Roman Regular" w:hAnsi="Times New Roman Regular" w:cs="Times New Roman Regular"/>
                <w:color w:val="auto"/>
                <w:sz w:val="24"/>
                <w:szCs w:val="24"/>
                <w:highlight w:val="none"/>
              </w:rPr>
              <w:t>.承担社会责任</w:t>
            </w:r>
          </w:p>
        </w:tc>
        <w:tc>
          <w:tcPr>
            <w:tcW w:w="851" w:type="dxa"/>
            <w:tcBorders>
              <w:tl2br w:val="nil"/>
              <w:tr2bl w:val="nil"/>
            </w:tcBorders>
            <w:vAlign w:val="center"/>
          </w:tcPr>
          <w:p w14:paraId="2FD3F6AC">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5分</w:t>
            </w:r>
          </w:p>
        </w:tc>
        <w:tc>
          <w:tcPr>
            <w:tcW w:w="10992" w:type="dxa"/>
            <w:tcBorders>
              <w:tl2br w:val="nil"/>
              <w:tr2bl w:val="nil"/>
            </w:tcBorders>
            <w:vAlign w:val="center"/>
          </w:tcPr>
          <w:p w14:paraId="71AAF88D">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A（3分）：为鼓励互联网租赁自行车运营服务主体积极践行绿色便民与城市发展</w:t>
            </w:r>
            <w:r>
              <w:rPr>
                <w:rFonts w:hint="eastAsia" w:ascii="Times New Roman Regular" w:hAnsi="Times New Roman Regular" w:cs="Times New Roman Regular"/>
                <w:color w:val="auto"/>
                <w:sz w:val="24"/>
                <w:szCs w:val="24"/>
                <w:highlight w:val="none"/>
              </w:rPr>
              <w:t>相</w:t>
            </w:r>
            <w:r>
              <w:rPr>
                <w:rFonts w:ascii="Times New Roman Regular" w:hAnsi="Times New Roman Regular" w:cs="Times New Roman Regular"/>
                <w:color w:val="auto"/>
                <w:sz w:val="24"/>
                <w:szCs w:val="24"/>
                <w:highlight w:val="none"/>
              </w:rPr>
              <w:t>契合的社会责任，申请人应贴合</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实际编制社会责任承担方案，方案包括但不限于市容</w:t>
            </w:r>
            <w:r>
              <w:rPr>
                <w:rFonts w:hint="eastAsia" w:ascii="Times New Roman Regular" w:hAnsi="Times New Roman Regular" w:cs="Times New Roman Regular"/>
                <w:color w:val="auto"/>
                <w:sz w:val="24"/>
                <w:szCs w:val="24"/>
                <w:highlight w:val="none"/>
                <w:lang w:val="en-US" w:eastAsia="zh-CN"/>
              </w:rPr>
              <w:t>环境</w:t>
            </w:r>
            <w:r>
              <w:rPr>
                <w:rFonts w:ascii="Times New Roman Regular" w:hAnsi="Times New Roman Regular" w:cs="Times New Roman Regular"/>
                <w:color w:val="auto"/>
                <w:sz w:val="24"/>
                <w:szCs w:val="24"/>
                <w:highlight w:val="none"/>
              </w:rPr>
              <w:t>维护（杜绝乱停乱放、禁止超额投放</w:t>
            </w:r>
            <w:r>
              <w:rPr>
                <w:rFonts w:hint="eastAsia" w:ascii="Times New Roman Regular" w:hAnsi="Times New Roman Regular" w:cs="Times New Roman Regular"/>
                <w:color w:val="auto"/>
                <w:sz w:val="24"/>
                <w:szCs w:val="24"/>
                <w:highlight w:val="none"/>
                <w:lang w:eastAsia="zh-CN"/>
              </w:rPr>
              <w:t>、</w:t>
            </w:r>
            <w:r>
              <w:rPr>
                <w:rFonts w:ascii="Times New Roman Regular" w:hAnsi="Times New Roman Regular" w:cs="Times New Roman Regular"/>
                <w:color w:val="auto"/>
                <w:sz w:val="24"/>
                <w:szCs w:val="24"/>
                <w:highlight w:val="none"/>
              </w:rPr>
              <w:t>推进废旧车辆绿色回收等）、特殊群体差异化服务、劳动力吸纳、便民出行保障等。评分规则如下：</w:t>
            </w:r>
          </w:p>
          <w:p w14:paraId="470E31C8">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第一档次：方案内容全面、科学、合理，针对性、可操作性较强的，得3分。</w:t>
            </w:r>
          </w:p>
          <w:p w14:paraId="0698A98A">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第二档次：方案内容</w:t>
            </w:r>
            <w:r>
              <w:rPr>
                <w:rFonts w:hint="eastAsia" w:ascii="Times New Roman Regular" w:hAnsi="Times New Roman Regular" w:cs="Times New Roman Regular"/>
                <w:color w:val="auto"/>
                <w:sz w:val="24"/>
                <w:szCs w:val="24"/>
                <w:highlight w:val="none"/>
              </w:rPr>
              <w:t>基本全面</w:t>
            </w:r>
            <w:r>
              <w:rPr>
                <w:rFonts w:ascii="Times New Roman Regular" w:hAnsi="Times New Roman Regular" w:cs="Times New Roman Regular"/>
                <w:color w:val="auto"/>
                <w:sz w:val="24"/>
                <w:szCs w:val="24"/>
                <w:highlight w:val="none"/>
              </w:rPr>
              <w:t>，科学性、合理性、针对性和可操作性一般的，得2分。</w:t>
            </w:r>
          </w:p>
          <w:p w14:paraId="29ACCB7B">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第三档次：方案内容</w:t>
            </w:r>
            <w:r>
              <w:rPr>
                <w:rFonts w:hint="eastAsia" w:ascii="Times New Roman Regular" w:hAnsi="Times New Roman Regular" w:cs="Times New Roman Regular"/>
                <w:color w:val="auto"/>
                <w:sz w:val="24"/>
                <w:szCs w:val="24"/>
                <w:highlight w:val="none"/>
              </w:rPr>
              <w:t>不全面</w:t>
            </w:r>
            <w:r>
              <w:rPr>
                <w:rFonts w:ascii="Times New Roman Regular" w:hAnsi="Times New Roman Regular" w:cs="Times New Roman Regular"/>
                <w:color w:val="auto"/>
                <w:sz w:val="24"/>
                <w:szCs w:val="24"/>
                <w:highlight w:val="none"/>
              </w:rPr>
              <w:t>，科学性、合理性、针对性和可操作性较差的，得1分。</w:t>
            </w:r>
          </w:p>
          <w:p w14:paraId="6506F7F0">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B（2分）：为号召互联网租赁自行车运营服务主体助推</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高质量发展贡献行业力量，鼓励运营服务主体结合</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城市发展定位开展“骑行+”活动。申请人可编制“骑行+”活动方案。“骑行+”活动由申请人自主策划，</w:t>
            </w:r>
            <w:r>
              <w:rPr>
                <w:rFonts w:hint="eastAsia" w:ascii="Times New Roman Regular" w:hAnsi="Times New Roman Regular" w:cs="Times New Roman Regular"/>
                <w:color w:val="auto"/>
                <w:sz w:val="24"/>
                <w:szCs w:val="24"/>
                <w:highlight w:val="none"/>
                <w:lang w:val="en-US" w:eastAsia="zh-CN"/>
              </w:rPr>
              <w:t>评分</w:t>
            </w:r>
            <w:r>
              <w:rPr>
                <w:rFonts w:ascii="Times New Roman Regular" w:hAnsi="Times New Roman Regular" w:cs="Times New Roman Regular"/>
                <w:color w:val="auto"/>
                <w:sz w:val="24"/>
                <w:szCs w:val="24"/>
                <w:highlight w:val="none"/>
              </w:rPr>
              <w:t>规则如下：</w:t>
            </w:r>
          </w:p>
          <w:p w14:paraId="57628C40">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第一档次：“骑行+”活动内容丰富，有明确的主题定位及实施步骤，有明显传播目标、推广节点及预期效果，能有效助力</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城市形象宣传，方案完整详实，可操作性强，且有具体组织实施计划和承诺的，</w:t>
            </w:r>
            <w:r>
              <w:rPr>
                <w:rFonts w:hint="eastAsia" w:ascii="Times New Roman Regular" w:hAnsi="Times New Roman Regular" w:cs="Times New Roman Regular"/>
                <w:color w:val="auto"/>
                <w:sz w:val="24"/>
                <w:szCs w:val="24"/>
                <w:highlight w:val="none"/>
              </w:rPr>
              <w:t>得</w:t>
            </w:r>
            <w:r>
              <w:rPr>
                <w:rFonts w:ascii="Times New Roman Regular" w:hAnsi="Times New Roman Regular" w:cs="Times New Roman Regular"/>
                <w:color w:val="auto"/>
                <w:sz w:val="24"/>
                <w:szCs w:val="24"/>
                <w:highlight w:val="none"/>
              </w:rPr>
              <w:t>2分。</w:t>
            </w:r>
          </w:p>
          <w:p w14:paraId="7AAB59D3">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第二档次：“骑行+”活动内容丰富度一般，主题定位及实施步骤不明确，传播目标、推广节点及预期效果不够明显，对</w:t>
            </w:r>
            <w:r>
              <w:rPr>
                <w:rFonts w:hint="eastAsia" w:ascii="Times New Roman Regular" w:hAnsi="Times New Roman Regular" w:cs="Times New Roman Regular"/>
                <w:color w:val="auto"/>
                <w:sz w:val="24"/>
                <w:szCs w:val="24"/>
                <w:highlight w:val="none"/>
                <w:lang w:eastAsia="zh-CN"/>
              </w:rPr>
              <w:t>杨陵</w:t>
            </w:r>
            <w:r>
              <w:rPr>
                <w:rFonts w:ascii="Times New Roman Regular" w:hAnsi="Times New Roman Regular" w:cs="Times New Roman Regular"/>
                <w:color w:val="auto"/>
                <w:sz w:val="24"/>
                <w:szCs w:val="24"/>
                <w:highlight w:val="none"/>
              </w:rPr>
              <w:t>城市形象宣传助力效果一般，方案基本完整，活动可操作性一般，有组织实施计划和承诺，但组织实施计划不详细，承诺约束性不强的，</w:t>
            </w:r>
            <w:r>
              <w:rPr>
                <w:rFonts w:hint="eastAsia" w:ascii="Times New Roman Regular" w:hAnsi="Times New Roman Regular" w:cs="Times New Roman Regular"/>
                <w:color w:val="auto"/>
                <w:sz w:val="24"/>
                <w:szCs w:val="24"/>
                <w:highlight w:val="none"/>
              </w:rPr>
              <w:t>得</w:t>
            </w:r>
            <w:r>
              <w:rPr>
                <w:rFonts w:ascii="Times New Roman Regular" w:hAnsi="Times New Roman Regular" w:cs="Times New Roman Regular"/>
                <w:color w:val="auto"/>
                <w:sz w:val="24"/>
                <w:szCs w:val="24"/>
                <w:highlight w:val="none"/>
              </w:rPr>
              <w:t>1分。</w:t>
            </w:r>
          </w:p>
        </w:tc>
      </w:tr>
      <w:tr w14:paraId="787D7266">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560" w:type="dxa"/>
            <w:tcBorders>
              <w:tl2br w:val="nil"/>
              <w:tr2bl w:val="nil"/>
            </w:tcBorders>
            <w:vAlign w:val="center"/>
          </w:tcPr>
          <w:p w14:paraId="4019547C">
            <w:pPr>
              <w:spacing w:line="240" w:lineRule="auto"/>
              <w:ind w:firstLine="0" w:firstLineChars="0"/>
              <w:jc w:val="center"/>
              <w:rPr>
                <w:rFonts w:ascii="Times New Roman Regular" w:hAnsi="Times New Roman Regular" w:cs="Times New Roman Regular"/>
                <w:color w:val="auto"/>
                <w:sz w:val="24"/>
                <w:szCs w:val="24"/>
                <w:highlight w:val="none"/>
              </w:rPr>
            </w:pPr>
            <w:bookmarkStart w:id="4" w:name="OLE_LINK11"/>
            <w:r>
              <w:rPr>
                <w:rFonts w:ascii="Times New Roman Regular" w:hAnsi="Times New Roman Regular" w:cs="Times New Roman Regular"/>
                <w:color w:val="auto"/>
                <w:sz w:val="24"/>
                <w:szCs w:val="24"/>
                <w:highlight w:val="none"/>
              </w:rPr>
              <w:t>专家</w:t>
            </w:r>
          </w:p>
        </w:tc>
        <w:tc>
          <w:tcPr>
            <w:tcW w:w="1275" w:type="dxa"/>
            <w:tcBorders>
              <w:tl2br w:val="nil"/>
              <w:tr2bl w:val="nil"/>
            </w:tcBorders>
            <w:vAlign w:val="center"/>
          </w:tcPr>
          <w:p w14:paraId="26CAE733">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lang w:val="en-US" w:eastAsia="zh-CN"/>
              </w:rPr>
              <w:t>9</w:t>
            </w:r>
            <w:r>
              <w:rPr>
                <w:rFonts w:ascii="Times New Roman Regular" w:hAnsi="Times New Roman Regular" w:cs="Times New Roman Regular"/>
                <w:color w:val="auto"/>
                <w:sz w:val="24"/>
                <w:szCs w:val="24"/>
                <w:highlight w:val="none"/>
              </w:rPr>
              <w:t>.车辆投放量动态管理与调控</w:t>
            </w:r>
          </w:p>
        </w:tc>
        <w:tc>
          <w:tcPr>
            <w:tcW w:w="851" w:type="dxa"/>
            <w:tcBorders>
              <w:tl2br w:val="nil"/>
              <w:tr2bl w:val="nil"/>
            </w:tcBorders>
            <w:vAlign w:val="center"/>
          </w:tcPr>
          <w:p w14:paraId="51145450">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lang w:val="en-US" w:eastAsia="zh-CN"/>
              </w:rPr>
              <w:t>4</w:t>
            </w:r>
            <w:r>
              <w:rPr>
                <w:rFonts w:ascii="Times New Roman Regular" w:hAnsi="Times New Roman Regular" w:cs="Times New Roman Regular"/>
                <w:color w:val="auto"/>
                <w:sz w:val="24"/>
                <w:szCs w:val="24"/>
                <w:highlight w:val="none"/>
              </w:rPr>
              <w:t>分</w:t>
            </w:r>
          </w:p>
        </w:tc>
        <w:tc>
          <w:tcPr>
            <w:tcW w:w="10992" w:type="dxa"/>
            <w:tcBorders>
              <w:tl2br w:val="nil"/>
              <w:tr2bl w:val="nil"/>
            </w:tcBorders>
            <w:vAlign w:val="center"/>
          </w:tcPr>
          <w:p w14:paraId="5207B7B3">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为建立健全</w:t>
            </w:r>
            <w:r>
              <w:rPr>
                <w:rFonts w:hint="eastAsia" w:ascii="Times New Roman Regular" w:hAnsi="Times New Roman Regular" w:cs="Times New Roman Regular"/>
                <w:color w:val="auto"/>
                <w:sz w:val="24"/>
                <w:szCs w:val="24"/>
                <w:highlight w:val="none"/>
                <w:lang w:eastAsia="zh-CN"/>
              </w:rPr>
              <w:t>杨陵区</w:t>
            </w:r>
            <w:r>
              <w:rPr>
                <w:rFonts w:ascii="Times New Roman Regular" w:hAnsi="Times New Roman Regular" w:cs="Times New Roman Regular"/>
                <w:color w:val="auto"/>
                <w:sz w:val="24"/>
                <w:szCs w:val="24"/>
                <w:highlight w:val="none"/>
              </w:rPr>
              <w:t>互联网租赁自行车协同治理长效机制，本项目拟构建以政府监管（科学投放与动态调整）为核心、行业自治（制定行业规范与协同机制）为纽带、企业自律（落实投放规模承诺与合规责任）为基础、群众监督（畅通投放乱象反馈渠道）为补充、平台管控（依托大数据与电子围栏精准调度）为支撑、投放点分布（结合地铁公交接驳需求、商圈人流优化布局）为锚点的多层</w:t>
            </w:r>
            <w:r>
              <w:rPr>
                <w:rFonts w:hint="eastAsia" w:ascii="Times New Roman Regular" w:hAnsi="Times New Roman Regular" w:cs="Times New Roman Regular"/>
                <w:color w:val="auto"/>
                <w:sz w:val="24"/>
                <w:szCs w:val="24"/>
                <w:highlight w:val="none"/>
              </w:rPr>
              <w:t>次</w:t>
            </w:r>
            <w:r>
              <w:rPr>
                <w:rFonts w:ascii="Times New Roman Regular" w:hAnsi="Times New Roman Regular" w:cs="Times New Roman Regular"/>
                <w:color w:val="auto"/>
                <w:sz w:val="24"/>
                <w:szCs w:val="24"/>
                <w:highlight w:val="none"/>
              </w:rPr>
              <w:t>协同</w:t>
            </w:r>
            <w:r>
              <w:rPr>
                <w:rFonts w:hint="eastAsia" w:ascii="Times New Roman Regular" w:hAnsi="Times New Roman Regular" w:cs="Times New Roman Regular"/>
                <w:color w:val="auto"/>
                <w:sz w:val="24"/>
                <w:szCs w:val="24"/>
                <w:highlight w:val="none"/>
              </w:rPr>
              <w:t>治理</w:t>
            </w:r>
            <w:r>
              <w:rPr>
                <w:rFonts w:ascii="Times New Roman Regular" w:hAnsi="Times New Roman Regular" w:cs="Times New Roman Regular"/>
                <w:color w:val="auto"/>
                <w:sz w:val="24"/>
                <w:szCs w:val="24"/>
                <w:highlight w:val="none"/>
              </w:rPr>
              <w:t>体系，确保投放规模与</w:t>
            </w:r>
            <w:r>
              <w:rPr>
                <w:rFonts w:hint="eastAsia" w:ascii="Times New Roman Regular" w:hAnsi="Times New Roman Regular" w:cs="Times New Roman Regular"/>
                <w:color w:val="auto"/>
                <w:sz w:val="24"/>
                <w:szCs w:val="24"/>
                <w:highlight w:val="none"/>
              </w:rPr>
              <w:t>城市空间承载能力、停放设施资源、公众出行需求</w:t>
            </w:r>
            <w:r>
              <w:rPr>
                <w:rFonts w:ascii="Times New Roman Regular" w:hAnsi="Times New Roman Regular" w:cs="Times New Roman Regular"/>
                <w:color w:val="auto"/>
                <w:sz w:val="24"/>
                <w:szCs w:val="24"/>
                <w:highlight w:val="none"/>
              </w:rPr>
              <w:t>相适配。围绕上述工作目标，申请人应制定精准、科学，有针对性和可操作性的车辆投放量动态管理与调控措施。评分规则如下：</w:t>
            </w:r>
          </w:p>
          <w:p w14:paraId="0D1F2FF6">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第一档次：申请人编制的车辆投放量动态管理与调控措施精准性、针对性、科学性与可操作性较强，且明确列出自愿承担违约责任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具体情形和违约后的补救措施，以及对应责任承担方式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w:t>
            </w:r>
            <w:r>
              <w:rPr>
                <w:rFonts w:hint="eastAsia" w:ascii="Times New Roman Regular" w:hAnsi="Times New Roman Regular" w:cs="Times New Roman Regular"/>
                <w:color w:val="auto"/>
                <w:sz w:val="24"/>
                <w:szCs w:val="24"/>
                <w:highlight w:val="none"/>
                <w:lang w:val="en-US" w:eastAsia="zh-CN"/>
              </w:rPr>
              <w:t>3-4</w:t>
            </w:r>
            <w:r>
              <w:rPr>
                <w:rFonts w:ascii="Times New Roman Regular" w:hAnsi="Times New Roman Regular" w:cs="Times New Roman Regular"/>
                <w:color w:val="auto"/>
                <w:sz w:val="24"/>
                <w:szCs w:val="24"/>
                <w:highlight w:val="none"/>
              </w:rPr>
              <w:t>分。</w:t>
            </w:r>
          </w:p>
          <w:p w14:paraId="007FB35B">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第二档次：申请人编制的车辆投放量动态管理与调控措施精准性、针对性、科学性与可操作性一般，有自愿承担违约责任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承诺，但描述不清晰</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不具体</w:t>
            </w:r>
            <w:r>
              <w:rPr>
                <w:rFonts w:ascii="Times New Roman Regular" w:hAnsi="Times New Roman Regular" w:cs="Times New Roman Regular"/>
                <w:color w:val="auto"/>
                <w:sz w:val="24"/>
                <w:szCs w:val="24"/>
                <w:highlight w:val="none"/>
              </w:rPr>
              <w:t>的，得</w:t>
            </w:r>
            <w:r>
              <w:rPr>
                <w:rFonts w:hint="eastAsia" w:ascii="Times New Roman Regular" w:hAnsi="Times New Roman Regular" w:cs="Times New Roman Regular"/>
                <w:color w:val="auto"/>
                <w:sz w:val="24"/>
                <w:szCs w:val="24"/>
                <w:highlight w:val="none"/>
                <w:lang w:val="en-US" w:eastAsia="zh-CN"/>
              </w:rPr>
              <w:t>1-3</w:t>
            </w:r>
            <w:r>
              <w:rPr>
                <w:rFonts w:ascii="Times New Roman Regular" w:hAnsi="Times New Roman Regular" w:cs="Times New Roman Regular"/>
                <w:color w:val="auto"/>
                <w:sz w:val="24"/>
                <w:szCs w:val="24"/>
                <w:highlight w:val="none"/>
              </w:rPr>
              <w:t>分（不含</w:t>
            </w:r>
            <w:r>
              <w:rPr>
                <w:rFonts w:hint="eastAsia" w:ascii="Times New Roman Regular" w:hAnsi="Times New Roman Regular" w:cs="Times New Roman Regular"/>
                <w:color w:val="auto"/>
                <w:sz w:val="24"/>
                <w:szCs w:val="24"/>
                <w:highlight w:val="none"/>
                <w:lang w:val="en-US" w:eastAsia="zh-CN"/>
              </w:rPr>
              <w:t>3</w:t>
            </w:r>
            <w:r>
              <w:rPr>
                <w:rFonts w:ascii="Times New Roman Regular" w:hAnsi="Times New Roman Regular" w:cs="Times New Roman Regular"/>
                <w:color w:val="auto"/>
                <w:sz w:val="24"/>
                <w:szCs w:val="24"/>
                <w:highlight w:val="none"/>
              </w:rPr>
              <w:t>分）。</w:t>
            </w:r>
          </w:p>
          <w:p w14:paraId="13F3512A">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第三档次：申请人编制的车辆投放量动态管理与调控措施精准性、针对性、科学性与可操作性较差的，</w:t>
            </w:r>
            <w:r>
              <w:rPr>
                <w:rFonts w:hint="eastAsia" w:ascii="Times New Roman Regular" w:hAnsi="Times New Roman Regular" w:cs="Times New Roman Regular"/>
                <w:color w:val="auto"/>
                <w:sz w:val="24"/>
                <w:szCs w:val="24"/>
                <w:highlight w:val="none"/>
                <w:lang w:val="en-US" w:eastAsia="zh-CN"/>
              </w:rPr>
              <w:t>无</w:t>
            </w:r>
            <w:r>
              <w:rPr>
                <w:rFonts w:ascii="Times New Roman Regular" w:hAnsi="Times New Roman Regular" w:cs="Times New Roman Regular"/>
                <w:color w:val="auto"/>
                <w:sz w:val="24"/>
                <w:szCs w:val="24"/>
                <w:highlight w:val="none"/>
              </w:rPr>
              <w:t>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承诺的，得0-</w:t>
            </w:r>
            <w:r>
              <w:rPr>
                <w:rFonts w:hint="eastAsia" w:ascii="Times New Roman Regular" w:hAnsi="Times New Roman Regular" w:cs="Times New Roman Regular"/>
                <w:color w:val="auto"/>
                <w:sz w:val="24"/>
                <w:szCs w:val="24"/>
                <w:highlight w:val="none"/>
              </w:rPr>
              <w:t>1</w:t>
            </w:r>
            <w:r>
              <w:rPr>
                <w:rFonts w:ascii="Times New Roman Regular" w:hAnsi="Times New Roman Regular" w:cs="Times New Roman Regular"/>
                <w:color w:val="auto"/>
                <w:sz w:val="24"/>
                <w:szCs w:val="24"/>
                <w:highlight w:val="none"/>
              </w:rPr>
              <w:t>分（不含</w:t>
            </w:r>
            <w:r>
              <w:rPr>
                <w:rFonts w:hint="eastAsia" w:ascii="Times New Roman Regular" w:hAnsi="Times New Roman Regular" w:cs="Times New Roman Regular"/>
                <w:color w:val="auto"/>
                <w:sz w:val="24"/>
                <w:szCs w:val="24"/>
                <w:highlight w:val="none"/>
              </w:rPr>
              <w:t>1</w:t>
            </w:r>
            <w:r>
              <w:rPr>
                <w:rFonts w:ascii="Times New Roman Regular" w:hAnsi="Times New Roman Regular" w:cs="Times New Roman Regular"/>
                <w:color w:val="auto"/>
                <w:sz w:val="24"/>
                <w:szCs w:val="24"/>
                <w:highlight w:val="none"/>
              </w:rPr>
              <w:t>分）。</w:t>
            </w:r>
          </w:p>
        </w:tc>
      </w:tr>
      <w:tr w14:paraId="51FD2D23">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560" w:type="dxa"/>
            <w:tcBorders>
              <w:tl2br w:val="nil"/>
              <w:tr2bl w:val="nil"/>
            </w:tcBorders>
            <w:vAlign w:val="center"/>
          </w:tcPr>
          <w:p w14:paraId="17819EC4">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专家</w:t>
            </w:r>
          </w:p>
        </w:tc>
        <w:tc>
          <w:tcPr>
            <w:tcW w:w="1275" w:type="dxa"/>
            <w:tcBorders>
              <w:tl2br w:val="nil"/>
              <w:tr2bl w:val="nil"/>
            </w:tcBorders>
            <w:vAlign w:val="center"/>
          </w:tcPr>
          <w:p w14:paraId="62B48CAF">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rPr>
              <w:t>1</w:t>
            </w:r>
            <w:r>
              <w:rPr>
                <w:rFonts w:hint="eastAsia" w:ascii="Times New Roman Regular" w:hAnsi="Times New Roman Regular" w:cs="Times New Roman Regular"/>
                <w:color w:val="auto"/>
                <w:sz w:val="24"/>
                <w:szCs w:val="24"/>
                <w:highlight w:val="none"/>
                <w:lang w:val="en-US" w:eastAsia="zh-CN"/>
              </w:rPr>
              <w:t>0</w:t>
            </w:r>
            <w:r>
              <w:rPr>
                <w:rFonts w:ascii="Times New Roman Regular" w:hAnsi="Times New Roman Regular" w:cs="Times New Roman Regular"/>
                <w:color w:val="auto"/>
                <w:sz w:val="24"/>
                <w:szCs w:val="24"/>
                <w:highlight w:val="none"/>
              </w:rPr>
              <w:t>.重大活动（</w:t>
            </w:r>
            <w:r>
              <w:rPr>
                <w:rFonts w:hint="eastAsia" w:ascii="Times New Roman Regular" w:hAnsi="Times New Roman Regular" w:cs="Times New Roman Regular"/>
                <w:color w:val="auto"/>
                <w:sz w:val="24"/>
                <w:szCs w:val="24"/>
                <w:highlight w:val="none"/>
              </w:rPr>
              <w:t>含</w:t>
            </w:r>
            <w:r>
              <w:rPr>
                <w:rFonts w:hint="eastAsia" w:ascii="Times New Roman Regular" w:hAnsi="Times New Roman Regular" w:cs="Times New Roman Regular"/>
                <w:color w:val="auto"/>
                <w:sz w:val="24"/>
                <w:szCs w:val="24"/>
                <w:highlight w:val="none"/>
                <w:lang w:val="en-US" w:eastAsia="zh-CN"/>
              </w:rPr>
              <w:t>节假日</w:t>
            </w:r>
            <w:r>
              <w:rPr>
                <w:rFonts w:ascii="Times New Roman Regular" w:hAnsi="Times New Roman Regular" w:cs="Times New Roman Regular"/>
                <w:color w:val="auto"/>
                <w:sz w:val="24"/>
                <w:szCs w:val="24"/>
                <w:highlight w:val="none"/>
              </w:rPr>
              <w:t>）专项运营服务</w:t>
            </w:r>
          </w:p>
        </w:tc>
        <w:tc>
          <w:tcPr>
            <w:tcW w:w="851" w:type="dxa"/>
            <w:tcBorders>
              <w:tl2br w:val="nil"/>
              <w:tr2bl w:val="nil"/>
            </w:tcBorders>
            <w:vAlign w:val="center"/>
          </w:tcPr>
          <w:p w14:paraId="4385FA5A">
            <w:pPr>
              <w:spacing w:line="240" w:lineRule="auto"/>
              <w:ind w:firstLine="0" w:firstLineChars="0"/>
              <w:jc w:val="center"/>
              <w:rPr>
                <w:rFonts w:ascii="Times New Roman Regular" w:hAnsi="Times New Roman Regular" w:cs="Times New Roman Regular"/>
                <w:color w:val="auto"/>
                <w:sz w:val="24"/>
                <w:szCs w:val="24"/>
                <w:highlight w:val="none"/>
              </w:rPr>
            </w:pPr>
            <w:r>
              <w:rPr>
                <w:rFonts w:hint="eastAsia" w:ascii="Times New Roman Regular" w:hAnsi="Times New Roman Regular" w:cs="Times New Roman Regular"/>
                <w:color w:val="auto"/>
                <w:sz w:val="24"/>
                <w:szCs w:val="24"/>
                <w:highlight w:val="none"/>
                <w:lang w:val="en-US" w:eastAsia="zh-CN"/>
              </w:rPr>
              <w:t>5</w:t>
            </w:r>
            <w:r>
              <w:rPr>
                <w:rFonts w:ascii="Times New Roman Regular" w:hAnsi="Times New Roman Regular" w:cs="Times New Roman Regular"/>
                <w:color w:val="auto"/>
                <w:sz w:val="24"/>
                <w:szCs w:val="24"/>
                <w:highlight w:val="none"/>
              </w:rPr>
              <w:t>分</w:t>
            </w:r>
          </w:p>
        </w:tc>
        <w:tc>
          <w:tcPr>
            <w:tcW w:w="10992" w:type="dxa"/>
            <w:tcBorders>
              <w:tl2br w:val="nil"/>
              <w:tr2bl w:val="nil"/>
            </w:tcBorders>
            <w:vAlign w:val="center"/>
          </w:tcPr>
          <w:p w14:paraId="376EA6E1">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申请人应根据相关法律法规、行业标准、规程规范等，结合项目特点编制重大活动（</w:t>
            </w:r>
            <w:r>
              <w:rPr>
                <w:rFonts w:hint="eastAsia" w:ascii="Times New Roman Regular" w:hAnsi="Times New Roman Regular" w:cs="Times New Roman Regular"/>
                <w:color w:val="auto"/>
                <w:sz w:val="24"/>
                <w:szCs w:val="24"/>
                <w:highlight w:val="none"/>
              </w:rPr>
              <w:t>含</w:t>
            </w:r>
            <w:r>
              <w:rPr>
                <w:rFonts w:hint="eastAsia" w:ascii="Times New Roman Regular" w:hAnsi="Times New Roman Regular" w:cs="Times New Roman Regular"/>
                <w:color w:val="auto"/>
                <w:sz w:val="24"/>
                <w:szCs w:val="24"/>
                <w:highlight w:val="none"/>
                <w:lang w:val="en-US" w:eastAsia="zh-CN"/>
              </w:rPr>
              <w:t>节假日</w:t>
            </w:r>
            <w:r>
              <w:rPr>
                <w:rFonts w:ascii="Times New Roman Regular" w:hAnsi="Times New Roman Regular" w:cs="Times New Roman Regular"/>
                <w:color w:val="auto"/>
                <w:sz w:val="24"/>
                <w:szCs w:val="24"/>
                <w:highlight w:val="none"/>
              </w:rPr>
              <w:t>）专项运营服务方案，方案包括但不限于重大活动（</w:t>
            </w:r>
            <w:r>
              <w:rPr>
                <w:rFonts w:hint="eastAsia" w:ascii="Times New Roman Regular" w:hAnsi="Times New Roman Regular" w:cs="Times New Roman Regular"/>
                <w:color w:val="auto"/>
                <w:sz w:val="24"/>
                <w:szCs w:val="24"/>
                <w:highlight w:val="none"/>
              </w:rPr>
              <w:t>含</w:t>
            </w:r>
            <w:r>
              <w:rPr>
                <w:rFonts w:hint="eastAsia" w:ascii="Times New Roman Regular" w:hAnsi="Times New Roman Regular" w:cs="Times New Roman Regular"/>
                <w:color w:val="auto"/>
                <w:sz w:val="24"/>
                <w:szCs w:val="24"/>
                <w:highlight w:val="none"/>
                <w:lang w:val="en-US" w:eastAsia="zh-CN"/>
              </w:rPr>
              <w:t>节假日</w:t>
            </w:r>
            <w:r>
              <w:rPr>
                <w:rFonts w:ascii="Times New Roman Regular" w:hAnsi="Times New Roman Regular" w:cs="Times New Roman Regular"/>
                <w:color w:val="auto"/>
                <w:sz w:val="24"/>
                <w:szCs w:val="24"/>
                <w:highlight w:val="none"/>
              </w:rPr>
              <w:t>）期间热点区域车辆增投、动态调度、临时停放点设置、现场服务保障与协同机制等。评分规则如下：</w:t>
            </w:r>
          </w:p>
          <w:p w14:paraId="2B04D756">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第一档次：方案</w:t>
            </w:r>
            <w:r>
              <w:rPr>
                <w:rFonts w:hint="eastAsia" w:ascii="Times New Roman Regular" w:hAnsi="Times New Roman Regular" w:cs="Times New Roman Regular"/>
                <w:color w:val="auto"/>
                <w:sz w:val="24"/>
                <w:szCs w:val="24"/>
                <w:highlight w:val="none"/>
              </w:rPr>
              <w:t>全面</w:t>
            </w:r>
            <w:r>
              <w:rPr>
                <w:rFonts w:ascii="Times New Roman Regular" w:hAnsi="Times New Roman Regular" w:cs="Times New Roman Regular"/>
                <w:color w:val="auto"/>
                <w:sz w:val="24"/>
                <w:szCs w:val="24"/>
                <w:highlight w:val="none"/>
              </w:rPr>
              <w:t>，内容描述详细、科学、合理、可行，能很好满足项目重大活动（</w:t>
            </w:r>
            <w:r>
              <w:rPr>
                <w:rFonts w:hint="eastAsia" w:ascii="Times New Roman Regular" w:hAnsi="Times New Roman Regular" w:cs="Times New Roman Regular"/>
                <w:color w:val="auto"/>
                <w:sz w:val="24"/>
                <w:szCs w:val="24"/>
                <w:highlight w:val="none"/>
              </w:rPr>
              <w:t>含</w:t>
            </w:r>
            <w:r>
              <w:rPr>
                <w:rFonts w:hint="eastAsia" w:ascii="Times New Roman Regular" w:hAnsi="Times New Roman Regular" w:cs="Times New Roman Regular"/>
                <w:color w:val="auto"/>
                <w:sz w:val="24"/>
                <w:szCs w:val="24"/>
                <w:highlight w:val="none"/>
                <w:lang w:val="en-US" w:eastAsia="zh-CN"/>
              </w:rPr>
              <w:t>节假日</w:t>
            </w:r>
            <w:r>
              <w:rPr>
                <w:rFonts w:ascii="Times New Roman Regular" w:hAnsi="Times New Roman Regular" w:cs="Times New Roman Regular"/>
                <w:color w:val="auto"/>
                <w:sz w:val="24"/>
                <w:szCs w:val="24"/>
                <w:highlight w:val="none"/>
              </w:rPr>
              <w:t>）专项运营服务，且明确列出自愿承担违约责任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具体情形和违约后的补救措施，以及对应责任承担方式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w:t>
            </w:r>
            <w:r>
              <w:rPr>
                <w:rFonts w:hint="eastAsia" w:ascii="Times New Roman Regular" w:hAnsi="Times New Roman Regular" w:cs="Times New Roman Regular"/>
                <w:color w:val="auto"/>
                <w:sz w:val="24"/>
                <w:szCs w:val="24"/>
                <w:highlight w:val="none"/>
                <w:lang w:val="en-US" w:eastAsia="zh-CN"/>
              </w:rPr>
              <w:t>4-5</w:t>
            </w:r>
            <w:r>
              <w:rPr>
                <w:rFonts w:ascii="Times New Roman Regular" w:hAnsi="Times New Roman Regular" w:cs="Times New Roman Regular"/>
                <w:color w:val="auto"/>
                <w:sz w:val="24"/>
                <w:szCs w:val="24"/>
                <w:highlight w:val="none"/>
              </w:rPr>
              <w:t>分。</w:t>
            </w:r>
          </w:p>
          <w:p w14:paraId="73C5D0A9">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第二档次：方案基本</w:t>
            </w:r>
            <w:r>
              <w:rPr>
                <w:rFonts w:hint="eastAsia" w:ascii="Times New Roman Regular" w:hAnsi="Times New Roman Regular" w:cs="Times New Roman Regular"/>
                <w:color w:val="auto"/>
                <w:sz w:val="24"/>
                <w:szCs w:val="24"/>
                <w:highlight w:val="none"/>
              </w:rPr>
              <w:t>全面，内容</w:t>
            </w:r>
            <w:r>
              <w:rPr>
                <w:rFonts w:ascii="Times New Roman Regular" w:hAnsi="Times New Roman Regular" w:cs="Times New Roman Regular"/>
                <w:color w:val="auto"/>
                <w:sz w:val="24"/>
                <w:szCs w:val="24"/>
                <w:highlight w:val="none"/>
              </w:rPr>
              <w:t>描述基本清晰、合理、可行，能较好满足项目重大活动（</w:t>
            </w:r>
            <w:r>
              <w:rPr>
                <w:rFonts w:hint="eastAsia" w:ascii="Times New Roman Regular" w:hAnsi="Times New Roman Regular" w:cs="Times New Roman Regular"/>
                <w:color w:val="auto"/>
                <w:sz w:val="24"/>
                <w:szCs w:val="24"/>
                <w:highlight w:val="none"/>
              </w:rPr>
              <w:t>含</w:t>
            </w:r>
            <w:r>
              <w:rPr>
                <w:rFonts w:hint="eastAsia" w:ascii="Times New Roman Regular" w:hAnsi="Times New Roman Regular" w:cs="Times New Roman Regular"/>
                <w:color w:val="auto"/>
                <w:sz w:val="24"/>
                <w:szCs w:val="24"/>
                <w:highlight w:val="none"/>
                <w:lang w:val="en-US" w:eastAsia="zh-CN"/>
              </w:rPr>
              <w:t>节假日</w:t>
            </w:r>
            <w:r>
              <w:rPr>
                <w:rFonts w:ascii="Times New Roman Regular" w:hAnsi="Times New Roman Regular" w:cs="Times New Roman Regular"/>
                <w:color w:val="auto"/>
                <w:sz w:val="24"/>
                <w:szCs w:val="24"/>
                <w:highlight w:val="none"/>
              </w:rPr>
              <w:t>）专项运营服务，有自愿承担违约责任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承诺，但描述不清晰</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不具体</w:t>
            </w:r>
            <w:r>
              <w:rPr>
                <w:rFonts w:ascii="Times New Roman Regular" w:hAnsi="Times New Roman Regular" w:cs="Times New Roman Regular"/>
                <w:color w:val="auto"/>
                <w:sz w:val="24"/>
                <w:szCs w:val="24"/>
                <w:highlight w:val="none"/>
              </w:rPr>
              <w:t>的，得</w:t>
            </w:r>
            <w:r>
              <w:rPr>
                <w:rFonts w:hint="eastAsia" w:ascii="Times New Roman Regular" w:hAnsi="Times New Roman Regular" w:cs="Times New Roman Regular"/>
                <w:color w:val="auto"/>
                <w:sz w:val="24"/>
                <w:szCs w:val="24"/>
                <w:highlight w:val="none"/>
                <w:lang w:val="en-US" w:eastAsia="zh-CN"/>
              </w:rPr>
              <w:t>1-3</w:t>
            </w:r>
            <w:r>
              <w:rPr>
                <w:rFonts w:ascii="Times New Roman Regular" w:hAnsi="Times New Roman Regular" w:cs="Times New Roman Regular"/>
                <w:color w:val="auto"/>
                <w:sz w:val="24"/>
                <w:szCs w:val="24"/>
                <w:highlight w:val="none"/>
              </w:rPr>
              <w:t>分（不含</w:t>
            </w:r>
            <w:r>
              <w:rPr>
                <w:rFonts w:hint="eastAsia" w:ascii="Times New Roman Regular" w:hAnsi="Times New Roman Regular" w:cs="Times New Roman Regular"/>
                <w:color w:val="auto"/>
                <w:sz w:val="24"/>
                <w:szCs w:val="24"/>
                <w:highlight w:val="none"/>
                <w:lang w:val="en-US" w:eastAsia="zh-CN"/>
              </w:rPr>
              <w:t>3</w:t>
            </w:r>
            <w:r>
              <w:rPr>
                <w:rFonts w:ascii="Times New Roman Regular" w:hAnsi="Times New Roman Regular" w:cs="Times New Roman Regular"/>
                <w:color w:val="auto"/>
                <w:sz w:val="24"/>
                <w:szCs w:val="24"/>
                <w:highlight w:val="none"/>
              </w:rPr>
              <w:t>分）。</w:t>
            </w:r>
          </w:p>
          <w:p w14:paraId="05E2344D">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第三档次：方案</w:t>
            </w:r>
            <w:r>
              <w:rPr>
                <w:rFonts w:hint="eastAsia" w:ascii="Times New Roman Regular" w:hAnsi="Times New Roman Regular" w:cs="Times New Roman Regular"/>
                <w:color w:val="auto"/>
                <w:sz w:val="24"/>
                <w:szCs w:val="24"/>
                <w:highlight w:val="none"/>
              </w:rPr>
              <w:t>不全面</w:t>
            </w:r>
            <w:r>
              <w:rPr>
                <w:rFonts w:ascii="Times New Roman Regular" w:hAnsi="Times New Roman Regular" w:cs="Times New Roman Regular"/>
                <w:color w:val="auto"/>
                <w:sz w:val="24"/>
                <w:szCs w:val="24"/>
                <w:highlight w:val="none"/>
              </w:rPr>
              <w:t>，或</w:t>
            </w:r>
            <w:r>
              <w:rPr>
                <w:rFonts w:hint="eastAsia" w:ascii="Times New Roman Regular" w:hAnsi="Times New Roman Regular" w:cs="Times New Roman Regular"/>
                <w:color w:val="auto"/>
                <w:sz w:val="24"/>
                <w:szCs w:val="24"/>
                <w:highlight w:val="none"/>
              </w:rPr>
              <w:t>内容</w:t>
            </w:r>
            <w:r>
              <w:rPr>
                <w:rFonts w:ascii="Times New Roman Regular" w:hAnsi="Times New Roman Regular" w:cs="Times New Roman Regular"/>
                <w:color w:val="auto"/>
                <w:sz w:val="24"/>
                <w:szCs w:val="24"/>
                <w:highlight w:val="none"/>
              </w:rPr>
              <w:t>描述不清晰，存在一定问题，</w:t>
            </w:r>
            <w:r>
              <w:rPr>
                <w:rFonts w:hint="eastAsia" w:ascii="Times New Roman Regular" w:hAnsi="Times New Roman Regular" w:cs="Times New Roman Regular"/>
                <w:color w:val="auto"/>
                <w:sz w:val="24"/>
                <w:szCs w:val="24"/>
                <w:highlight w:val="none"/>
              </w:rPr>
              <w:t>能</w:t>
            </w:r>
            <w:r>
              <w:rPr>
                <w:rFonts w:ascii="Times New Roman Regular" w:hAnsi="Times New Roman Regular" w:cs="Times New Roman Regular"/>
                <w:color w:val="auto"/>
                <w:sz w:val="24"/>
                <w:szCs w:val="24"/>
                <w:highlight w:val="none"/>
              </w:rPr>
              <w:t>基本满足项目重大活动（</w:t>
            </w:r>
            <w:r>
              <w:rPr>
                <w:rFonts w:hint="eastAsia" w:ascii="Times New Roman Regular" w:hAnsi="Times New Roman Regular" w:cs="Times New Roman Regular"/>
                <w:color w:val="auto"/>
                <w:sz w:val="24"/>
                <w:szCs w:val="24"/>
                <w:highlight w:val="none"/>
              </w:rPr>
              <w:t>含</w:t>
            </w:r>
            <w:r>
              <w:rPr>
                <w:rFonts w:hint="eastAsia" w:ascii="Times New Roman Regular" w:hAnsi="Times New Roman Regular" w:cs="Times New Roman Regular"/>
                <w:color w:val="auto"/>
                <w:sz w:val="24"/>
                <w:szCs w:val="24"/>
                <w:highlight w:val="none"/>
                <w:lang w:val="en-US" w:eastAsia="zh-CN"/>
              </w:rPr>
              <w:t>节假日</w:t>
            </w:r>
            <w:r>
              <w:rPr>
                <w:rFonts w:ascii="Times New Roman Regular" w:hAnsi="Times New Roman Regular" w:cs="Times New Roman Regular"/>
                <w:color w:val="auto"/>
                <w:sz w:val="24"/>
                <w:szCs w:val="24"/>
                <w:highlight w:val="none"/>
              </w:rPr>
              <w:t>）专项运营服务，</w:t>
            </w:r>
            <w:r>
              <w:rPr>
                <w:rFonts w:hint="eastAsia" w:ascii="Times New Roman Regular" w:hAnsi="Times New Roman Regular" w:cs="Times New Roman Regular"/>
                <w:color w:val="auto"/>
                <w:sz w:val="24"/>
                <w:szCs w:val="24"/>
                <w:highlight w:val="none"/>
                <w:lang w:val="en-US" w:eastAsia="zh-CN"/>
              </w:rPr>
              <w:t>无</w:t>
            </w:r>
            <w:r>
              <w:rPr>
                <w:rFonts w:ascii="Times New Roman Regular" w:hAnsi="Times New Roman Regular" w:cs="Times New Roman Regular"/>
                <w:color w:val="auto"/>
                <w:sz w:val="24"/>
                <w:szCs w:val="24"/>
                <w:highlight w:val="none"/>
              </w:rPr>
              <w:t>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承诺的，得0-</w:t>
            </w:r>
            <w:r>
              <w:rPr>
                <w:rFonts w:hint="eastAsia" w:ascii="Times New Roman Regular" w:hAnsi="Times New Roman Regular" w:cs="Times New Roman Regular"/>
                <w:color w:val="auto"/>
                <w:sz w:val="24"/>
                <w:szCs w:val="24"/>
                <w:highlight w:val="none"/>
              </w:rPr>
              <w:t>1</w:t>
            </w:r>
            <w:r>
              <w:rPr>
                <w:rFonts w:ascii="Times New Roman Regular" w:hAnsi="Times New Roman Regular" w:cs="Times New Roman Regular"/>
                <w:color w:val="auto"/>
                <w:sz w:val="24"/>
                <w:szCs w:val="24"/>
                <w:highlight w:val="none"/>
              </w:rPr>
              <w:t>分（不含</w:t>
            </w:r>
            <w:r>
              <w:rPr>
                <w:rFonts w:hint="eastAsia" w:ascii="Times New Roman Regular" w:hAnsi="Times New Roman Regular" w:cs="Times New Roman Regular"/>
                <w:color w:val="auto"/>
                <w:sz w:val="24"/>
                <w:szCs w:val="24"/>
                <w:highlight w:val="none"/>
              </w:rPr>
              <w:t>1</w:t>
            </w:r>
            <w:r>
              <w:rPr>
                <w:rFonts w:ascii="Times New Roman Regular" w:hAnsi="Times New Roman Regular" w:cs="Times New Roman Regular"/>
                <w:color w:val="auto"/>
                <w:sz w:val="24"/>
                <w:szCs w:val="24"/>
                <w:highlight w:val="none"/>
              </w:rPr>
              <w:t>分）。</w:t>
            </w:r>
          </w:p>
        </w:tc>
      </w:tr>
      <w:tr w14:paraId="41308F0E">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560" w:type="dxa"/>
            <w:tcBorders>
              <w:tl2br w:val="nil"/>
              <w:tr2bl w:val="nil"/>
            </w:tcBorders>
            <w:shd w:val="clear" w:color="auto" w:fill="auto"/>
            <w:vAlign w:val="center"/>
          </w:tcPr>
          <w:p w14:paraId="25086FA3">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专家</w:t>
            </w:r>
          </w:p>
        </w:tc>
        <w:tc>
          <w:tcPr>
            <w:tcW w:w="1275" w:type="dxa"/>
            <w:tcBorders>
              <w:tl2br w:val="nil"/>
              <w:tr2bl w:val="nil"/>
            </w:tcBorders>
            <w:shd w:val="clear" w:color="auto" w:fill="auto"/>
            <w:vAlign w:val="center"/>
          </w:tcPr>
          <w:p w14:paraId="4FAF8EAA">
            <w:pPr>
              <w:spacing w:line="240" w:lineRule="auto"/>
              <w:ind w:firstLine="0" w:firstLineChars="0"/>
              <w:jc w:val="center"/>
              <w:rPr>
                <w:rFonts w:hint="default" w:ascii="Times New Roman Regular" w:hAnsi="Times New Roman Regular" w:eastAsia="仿宋_GB2312" w:cs="Times New Roman Regular"/>
                <w:color w:val="auto"/>
                <w:sz w:val="24"/>
                <w:szCs w:val="24"/>
                <w:highlight w:val="none"/>
                <w:lang w:val="en-US" w:eastAsia="zh-CN"/>
              </w:rPr>
            </w:pPr>
            <w:r>
              <w:rPr>
                <w:rFonts w:hint="eastAsia" w:ascii="Times New Roman Regular" w:hAnsi="Times New Roman Regular" w:cs="Times New Roman Regular"/>
                <w:color w:val="auto"/>
                <w:sz w:val="24"/>
                <w:szCs w:val="24"/>
                <w:highlight w:val="none"/>
                <w:lang w:val="en-US" w:eastAsia="zh-CN"/>
              </w:rPr>
              <w:t>11</w:t>
            </w:r>
            <w:r>
              <w:rPr>
                <w:rFonts w:ascii="Times New Roman Regular" w:hAnsi="Times New Roman Regular" w:cs="Times New Roman Regular"/>
                <w:color w:val="auto"/>
                <w:sz w:val="24"/>
                <w:szCs w:val="24"/>
                <w:highlight w:val="none"/>
              </w:rPr>
              <w:t>.服务承诺</w:t>
            </w:r>
          </w:p>
        </w:tc>
        <w:tc>
          <w:tcPr>
            <w:tcW w:w="851" w:type="dxa"/>
            <w:tcBorders>
              <w:tl2br w:val="nil"/>
              <w:tr2bl w:val="nil"/>
            </w:tcBorders>
            <w:shd w:val="clear" w:color="auto" w:fill="auto"/>
            <w:vAlign w:val="center"/>
          </w:tcPr>
          <w:p w14:paraId="1D00F06B">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5分</w:t>
            </w:r>
          </w:p>
        </w:tc>
        <w:tc>
          <w:tcPr>
            <w:tcW w:w="10992" w:type="dxa"/>
            <w:tcBorders>
              <w:tl2br w:val="nil"/>
              <w:tr2bl w:val="nil"/>
            </w:tcBorders>
            <w:shd w:val="clear" w:color="auto" w:fill="auto"/>
            <w:vAlign w:val="center"/>
          </w:tcPr>
          <w:p w14:paraId="73C52E42">
            <w:pPr>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为确保互联网租赁自行车运营服务主体遵守国家及省、市相关法律法规，切实履行运营服务各项职责，申请人应将申请文件中其他部分（包括产品</w:t>
            </w:r>
            <w:r>
              <w:rPr>
                <w:rFonts w:hint="eastAsia" w:ascii="Times New Roman Regular" w:hAnsi="Times New Roman Regular" w:cs="Times New Roman Regular"/>
                <w:color w:val="auto"/>
                <w:sz w:val="24"/>
                <w:szCs w:val="24"/>
                <w:highlight w:val="none"/>
              </w:rPr>
              <w:t>/服务</w:t>
            </w:r>
            <w:r>
              <w:rPr>
                <w:rFonts w:ascii="Times New Roman Regular" w:hAnsi="Times New Roman Regular" w:cs="Times New Roman Regular"/>
                <w:color w:val="auto"/>
                <w:sz w:val="24"/>
                <w:szCs w:val="24"/>
                <w:highlight w:val="none"/>
              </w:rPr>
              <w:t>展示视频）所作承诺予以罗列，并对规范投放、信息安全、数据共享、乱象治理、用户信用管理、投诉处理等分别作出承诺。以上承诺将作为运营服务协议的组成部分，约束运营服务行为。评分规则如下：</w:t>
            </w:r>
          </w:p>
          <w:p w14:paraId="055327AE">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第一档次：服务承诺内容全面，针对性、科学性与可操作性较强，且明确列出自愿承担违约责任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具体情形和违约后的补救措施，以及对应责任承担方式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承诺的，得4-5分；</w:t>
            </w:r>
          </w:p>
          <w:p w14:paraId="0FEDF7FA">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第二档次：服务承诺内容基本</w:t>
            </w:r>
            <w:r>
              <w:rPr>
                <w:rFonts w:hint="eastAsia" w:ascii="Times New Roman Regular" w:hAnsi="Times New Roman Regular" w:cs="Times New Roman Regular"/>
                <w:color w:val="auto"/>
                <w:sz w:val="24"/>
                <w:szCs w:val="24"/>
                <w:highlight w:val="none"/>
              </w:rPr>
              <w:t>全面</w:t>
            </w:r>
            <w:r>
              <w:rPr>
                <w:rFonts w:ascii="Times New Roman Regular" w:hAnsi="Times New Roman Regular" w:cs="Times New Roman Regular"/>
                <w:color w:val="auto"/>
                <w:sz w:val="24"/>
                <w:szCs w:val="24"/>
                <w:highlight w:val="none"/>
              </w:rPr>
              <w:t>，针对性、科学性与可操作性一般，有自愿承担违约责任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w:t>
            </w:r>
            <w:r>
              <w:rPr>
                <w:rFonts w:hint="eastAsia" w:ascii="Times New Roman Regular" w:hAnsi="Times New Roman Regular" w:cs="Times New Roman Regular"/>
                <w:color w:val="auto"/>
                <w:sz w:val="24"/>
                <w:szCs w:val="24"/>
                <w:highlight w:val="none"/>
              </w:rPr>
              <w:t>，</w:t>
            </w:r>
            <w:r>
              <w:rPr>
                <w:rFonts w:ascii="Times New Roman Regular" w:hAnsi="Times New Roman Regular" w:cs="Times New Roman Regular"/>
                <w:color w:val="auto"/>
                <w:sz w:val="24"/>
                <w:szCs w:val="24"/>
                <w:highlight w:val="none"/>
              </w:rPr>
              <w:t>但描述不清晰</w:t>
            </w:r>
            <w:r>
              <w:rPr>
                <w:rFonts w:hint="eastAsia" w:ascii="Times New Roman Regular" w:hAnsi="Times New Roman Regular" w:cs="Times New Roman Regular"/>
                <w:color w:val="auto"/>
                <w:sz w:val="24"/>
                <w:szCs w:val="24"/>
                <w:highlight w:val="none"/>
                <w:lang w:eastAsia="zh-CN"/>
              </w:rPr>
              <w:t>、</w:t>
            </w:r>
            <w:r>
              <w:rPr>
                <w:rFonts w:hint="eastAsia" w:ascii="Times New Roman Regular" w:hAnsi="Times New Roman Regular" w:cs="Times New Roman Regular"/>
                <w:color w:val="auto"/>
                <w:sz w:val="24"/>
                <w:szCs w:val="24"/>
                <w:highlight w:val="none"/>
                <w:lang w:val="en-US" w:eastAsia="zh-CN"/>
              </w:rPr>
              <w:t>不具体</w:t>
            </w:r>
            <w:r>
              <w:rPr>
                <w:rFonts w:ascii="Times New Roman Regular" w:hAnsi="Times New Roman Regular" w:cs="Times New Roman Regular"/>
                <w:color w:val="auto"/>
                <w:sz w:val="24"/>
                <w:szCs w:val="24"/>
                <w:highlight w:val="none"/>
              </w:rPr>
              <w:t>的，得3-4分（不含4分）；</w:t>
            </w:r>
          </w:p>
          <w:p w14:paraId="6F86640F">
            <w:pPr>
              <w:spacing w:line="240" w:lineRule="auto"/>
              <w:ind w:firstLine="480" w:firstLineChars="200"/>
              <w:jc w:val="left"/>
              <w:rPr>
                <w:rFonts w:hint="default" w:ascii="Times New Roman Regular" w:hAnsi="Times New Roman Regular" w:eastAsia="仿宋_GB2312" w:cs="Times New Roman Regular"/>
                <w:color w:val="auto"/>
                <w:sz w:val="24"/>
                <w:szCs w:val="24"/>
                <w:highlight w:val="none"/>
                <w:lang w:val="en-US" w:eastAsia="zh-CN"/>
              </w:rPr>
            </w:pPr>
            <w:r>
              <w:rPr>
                <w:rFonts w:ascii="Times New Roman Regular" w:hAnsi="Times New Roman Regular" w:cs="Times New Roman Regular"/>
                <w:color w:val="auto"/>
                <w:sz w:val="24"/>
                <w:szCs w:val="24"/>
                <w:highlight w:val="none"/>
              </w:rPr>
              <w:t>第三档次：服务承诺内容不</w:t>
            </w:r>
            <w:r>
              <w:rPr>
                <w:rFonts w:hint="eastAsia" w:ascii="Times New Roman Regular" w:hAnsi="Times New Roman Regular" w:cs="Times New Roman Regular"/>
                <w:color w:val="auto"/>
                <w:sz w:val="24"/>
                <w:szCs w:val="24"/>
                <w:highlight w:val="none"/>
              </w:rPr>
              <w:t>全面</w:t>
            </w:r>
            <w:r>
              <w:rPr>
                <w:rFonts w:ascii="Times New Roman Regular" w:hAnsi="Times New Roman Regular" w:cs="Times New Roman Regular"/>
                <w:color w:val="auto"/>
                <w:sz w:val="24"/>
                <w:szCs w:val="24"/>
                <w:highlight w:val="none"/>
              </w:rPr>
              <w:t>，针对性、科学性与可操作性较差，</w:t>
            </w:r>
            <w:r>
              <w:rPr>
                <w:rFonts w:hint="eastAsia" w:ascii="Times New Roman Regular" w:hAnsi="Times New Roman Regular" w:cs="Times New Roman Regular"/>
                <w:color w:val="auto"/>
                <w:sz w:val="24"/>
                <w:szCs w:val="24"/>
                <w:highlight w:val="none"/>
                <w:lang w:val="en-US" w:eastAsia="zh-CN"/>
              </w:rPr>
              <w:t>无</w:t>
            </w:r>
            <w:r>
              <w:rPr>
                <w:rFonts w:ascii="Times New Roman Regular" w:hAnsi="Times New Roman Regular" w:cs="Times New Roman Regular"/>
                <w:color w:val="auto"/>
                <w:sz w:val="24"/>
                <w:szCs w:val="24"/>
                <w:highlight w:val="none"/>
              </w:rPr>
              <w:t>自愿承担违约责任</w:t>
            </w:r>
            <w:r>
              <w:rPr>
                <w:rFonts w:hint="eastAsia" w:ascii="Times New Roman Regular" w:hAnsi="Times New Roman Regular" w:cs="Times New Roman Regular"/>
                <w:color w:val="auto"/>
                <w:sz w:val="24"/>
                <w:szCs w:val="24"/>
                <w:highlight w:val="none"/>
              </w:rPr>
              <w:t>的</w:t>
            </w:r>
            <w:r>
              <w:rPr>
                <w:rFonts w:ascii="Times New Roman Regular" w:hAnsi="Times New Roman Regular" w:cs="Times New Roman Regular"/>
                <w:color w:val="auto"/>
                <w:sz w:val="24"/>
                <w:szCs w:val="24"/>
                <w:highlight w:val="none"/>
              </w:rPr>
              <w:t>情形和违约后的补救措施，以及对应责任承担方式</w:t>
            </w:r>
            <w:r>
              <w:rPr>
                <w:rFonts w:hint="eastAsia" w:ascii="Times New Roman Regular" w:hAnsi="Times New Roman Regular" w:cs="Times New Roman Regular"/>
                <w:color w:val="auto"/>
                <w:sz w:val="24"/>
                <w:szCs w:val="24"/>
                <w:highlight w:val="none"/>
              </w:rPr>
              <w:t>和</w:t>
            </w:r>
            <w:r>
              <w:rPr>
                <w:rFonts w:ascii="Times New Roman Regular" w:hAnsi="Times New Roman Regular" w:cs="Times New Roman Regular"/>
                <w:color w:val="auto"/>
                <w:sz w:val="24"/>
                <w:szCs w:val="24"/>
                <w:highlight w:val="none"/>
              </w:rPr>
              <w:t>承诺的，得0-3分（不含3分）。</w:t>
            </w:r>
          </w:p>
        </w:tc>
      </w:tr>
      <w:tr w14:paraId="40D11DF9">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560" w:type="dxa"/>
            <w:tcBorders>
              <w:tl2br w:val="nil"/>
              <w:tr2bl w:val="nil"/>
            </w:tcBorders>
            <w:vAlign w:val="center"/>
          </w:tcPr>
          <w:p w14:paraId="6268DE9B">
            <w:pPr>
              <w:spacing w:line="240" w:lineRule="auto"/>
              <w:ind w:firstLine="0" w:firstLineChars="0"/>
              <w:jc w:val="center"/>
              <w:rPr>
                <w:rFonts w:ascii="Times New Roman Regular" w:hAnsi="Times New Roman Regular" w:eastAsia="仿宋_GB2312" w:cs="Times New Roman Regular"/>
                <w:color w:val="auto"/>
                <w:sz w:val="24"/>
                <w:szCs w:val="24"/>
                <w:highlight w:val="none"/>
                <w:lang w:val="en-US" w:eastAsia="zh-CN" w:bidi="ar-SA"/>
              </w:rPr>
            </w:pPr>
            <w:r>
              <w:rPr>
                <w:rFonts w:ascii="Times New Roman Regular" w:hAnsi="Times New Roman Regular" w:cs="Times New Roman Regular"/>
                <w:color w:val="auto"/>
                <w:sz w:val="24"/>
                <w:szCs w:val="24"/>
                <w:highlight w:val="none"/>
              </w:rPr>
              <w:t>公众</w:t>
            </w:r>
          </w:p>
        </w:tc>
        <w:tc>
          <w:tcPr>
            <w:tcW w:w="1275" w:type="dxa"/>
            <w:tcBorders>
              <w:tl2br w:val="nil"/>
              <w:tr2bl w:val="nil"/>
            </w:tcBorders>
            <w:vAlign w:val="center"/>
          </w:tcPr>
          <w:p w14:paraId="19FE3C03">
            <w:pPr>
              <w:spacing w:line="240" w:lineRule="auto"/>
              <w:ind w:firstLine="0" w:firstLineChars="0"/>
              <w:jc w:val="center"/>
              <w:rPr>
                <w:rFonts w:ascii="Times New Roman Regular" w:hAnsi="Times New Roman Regular" w:eastAsia="仿宋_GB2312" w:cs="Times New Roman Regular"/>
                <w:color w:val="auto"/>
                <w:sz w:val="24"/>
                <w:szCs w:val="24"/>
                <w:highlight w:val="none"/>
                <w:lang w:val="en-US" w:eastAsia="zh-CN" w:bidi="ar-SA"/>
              </w:rPr>
            </w:pPr>
            <w:r>
              <w:rPr>
                <w:rFonts w:ascii="Times New Roman Regular" w:hAnsi="Times New Roman Regular" w:cs="Times New Roman Regular"/>
                <w:color w:val="auto"/>
                <w:sz w:val="24"/>
                <w:szCs w:val="24"/>
                <w:highlight w:val="none"/>
              </w:rPr>
              <w:t>1</w:t>
            </w:r>
            <w:r>
              <w:rPr>
                <w:rFonts w:hint="eastAsia" w:ascii="Times New Roman Regular" w:hAnsi="Times New Roman Regular" w:cs="Times New Roman Regular"/>
                <w:color w:val="auto"/>
                <w:sz w:val="24"/>
                <w:szCs w:val="24"/>
                <w:highlight w:val="none"/>
                <w:lang w:val="en-US" w:eastAsia="zh-CN"/>
              </w:rPr>
              <w:t>2</w:t>
            </w:r>
            <w:r>
              <w:rPr>
                <w:rFonts w:ascii="Times New Roman Regular" w:hAnsi="Times New Roman Regular" w:cs="Times New Roman Regular"/>
                <w:color w:val="auto"/>
                <w:sz w:val="24"/>
                <w:szCs w:val="24"/>
                <w:highlight w:val="none"/>
              </w:rPr>
              <w:t>.产品/服务展示</w:t>
            </w:r>
          </w:p>
        </w:tc>
        <w:tc>
          <w:tcPr>
            <w:tcW w:w="851" w:type="dxa"/>
            <w:tcBorders>
              <w:tl2br w:val="nil"/>
              <w:tr2bl w:val="nil"/>
            </w:tcBorders>
            <w:vAlign w:val="center"/>
          </w:tcPr>
          <w:p w14:paraId="3755505F">
            <w:pPr>
              <w:spacing w:line="240" w:lineRule="auto"/>
              <w:ind w:firstLine="0" w:firstLineChars="0"/>
              <w:jc w:val="center"/>
              <w:rPr>
                <w:rFonts w:hint="eastAsia" w:ascii="Times New Roman Regular" w:hAnsi="Times New Roman Regular" w:eastAsia="仿宋_GB2312" w:cs="Times New Roman Regular"/>
                <w:color w:val="auto"/>
                <w:sz w:val="24"/>
                <w:szCs w:val="24"/>
                <w:highlight w:val="none"/>
                <w:lang w:val="en-US" w:eastAsia="zh-CN" w:bidi="ar-SA"/>
              </w:rPr>
            </w:pPr>
            <w:r>
              <w:rPr>
                <w:rFonts w:hint="eastAsia" w:ascii="Times New Roman Regular" w:hAnsi="Times New Roman Regular" w:cs="Times New Roman Regular"/>
                <w:color w:val="auto"/>
                <w:sz w:val="24"/>
                <w:szCs w:val="24"/>
                <w:highlight w:val="none"/>
              </w:rPr>
              <w:t>30</w:t>
            </w:r>
            <w:r>
              <w:rPr>
                <w:rFonts w:ascii="Times New Roman Regular" w:hAnsi="Times New Roman Regular" w:cs="Times New Roman Regular"/>
                <w:color w:val="auto"/>
                <w:sz w:val="24"/>
                <w:szCs w:val="24"/>
                <w:highlight w:val="none"/>
              </w:rPr>
              <w:t>分</w:t>
            </w:r>
          </w:p>
        </w:tc>
        <w:tc>
          <w:tcPr>
            <w:tcW w:w="10992" w:type="dxa"/>
            <w:tcBorders>
              <w:tl2br w:val="nil"/>
              <w:tr2bl w:val="nil"/>
            </w:tcBorders>
            <w:vAlign w:val="center"/>
          </w:tcPr>
          <w:p w14:paraId="0B67F46B">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1.产品/服务展示视频制作与</w:t>
            </w:r>
            <w:r>
              <w:rPr>
                <w:rFonts w:hint="eastAsia" w:ascii="Times New Roman Regular" w:hAnsi="Times New Roman Regular" w:cs="Times New Roman Regular"/>
                <w:color w:val="auto"/>
                <w:sz w:val="24"/>
                <w:szCs w:val="24"/>
                <w:highlight w:val="none"/>
              </w:rPr>
              <w:t>评</w:t>
            </w:r>
            <w:r>
              <w:rPr>
                <w:rFonts w:ascii="Times New Roman Regular" w:hAnsi="Times New Roman Regular" w:cs="Times New Roman Regular"/>
                <w:color w:val="auto"/>
                <w:sz w:val="24"/>
                <w:szCs w:val="24"/>
                <w:highlight w:val="none"/>
              </w:rPr>
              <w:t>分规则：</w:t>
            </w:r>
          </w:p>
          <w:p w14:paraId="496623C4">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（1）申请人应制作并提交产品/服务展示视频，供公众评委评审使用。</w:t>
            </w:r>
          </w:p>
          <w:p w14:paraId="294CD396">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（2）视频时长限制：不得超过5分钟。</w:t>
            </w:r>
          </w:p>
          <w:p w14:paraId="337FF427">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2.产品/服务展示视频核心内容，包括但不限于以下方面：</w:t>
            </w:r>
          </w:p>
          <w:p w14:paraId="558E763F">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（1）车辆展示：包含外观展示、具体型号、技术规格、车辆核心使用功能等。</w:t>
            </w:r>
          </w:p>
          <w:p w14:paraId="71C2557B">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（2）用户权益：包括骑行安全、用户信息、保险及赔付等。</w:t>
            </w:r>
          </w:p>
          <w:p w14:paraId="25BB9EB5">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（3）文明骑行：包括引导安全出行、文明骑行的运维技术、管理措施等。</w:t>
            </w:r>
          </w:p>
          <w:p w14:paraId="617B88AD">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w:t>
            </w:r>
            <w:r>
              <w:rPr>
                <w:rFonts w:hint="eastAsia" w:ascii="Times New Roman Regular" w:hAnsi="Times New Roman Regular" w:cs="Times New Roman Regular"/>
                <w:color w:val="auto"/>
                <w:sz w:val="24"/>
                <w:szCs w:val="24"/>
                <w:highlight w:val="none"/>
                <w:lang w:val="en-US" w:eastAsia="zh-CN"/>
              </w:rPr>
              <w:t>4</w:t>
            </w:r>
            <w:r>
              <w:rPr>
                <w:rFonts w:ascii="Times New Roman Regular" w:hAnsi="Times New Roman Regular" w:cs="Times New Roman Regular"/>
                <w:color w:val="auto"/>
                <w:sz w:val="24"/>
                <w:szCs w:val="24"/>
                <w:highlight w:val="none"/>
              </w:rPr>
              <w:t>）申请人优势：阐述申请人在互联网租赁自行车运营中的核心竞争优势等。</w:t>
            </w:r>
          </w:p>
          <w:p w14:paraId="2DBD4876">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3.评分说明</w:t>
            </w:r>
          </w:p>
          <w:p w14:paraId="61519F5E">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申请人若存在以下任一情况，其“产品/服务展示”项直接判定为0分：</w:t>
            </w:r>
          </w:p>
          <w:p w14:paraId="4B89642E">
            <w:pPr>
              <w:widowControl/>
              <w:overflowPunct/>
              <w:spacing w:line="240" w:lineRule="auto"/>
              <w:ind w:firstLine="480"/>
              <w:jc w:val="left"/>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（1）未按要求制作并提交产品/服务展示视频。</w:t>
            </w:r>
          </w:p>
          <w:p w14:paraId="0708EE6E">
            <w:pPr>
              <w:spacing w:line="240" w:lineRule="auto"/>
              <w:ind w:firstLine="480"/>
              <w:jc w:val="left"/>
              <w:rPr>
                <w:rFonts w:ascii="Times New Roman Regular" w:hAnsi="Times New Roman Regular" w:eastAsia="仿宋_GB2312" w:cs="Times New Roman Regular"/>
                <w:color w:val="auto"/>
                <w:sz w:val="24"/>
                <w:szCs w:val="24"/>
                <w:highlight w:val="none"/>
                <w:lang w:val="en-US" w:eastAsia="zh-CN" w:bidi="ar-SA"/>
              </w:rPr>
            </w:pPr>
            <w:r>
              <w:rPr>
                <w:rFonts w:ascii="Times New Roman Regular" w:hAnsi="Times New Roman Regular" w:cs="Times New Roman Regular"/>
                <w:color w:val="auto"/>
                <w:sz w:val="24"/>
                <w:szCs w:val="24"/>
                <w:highlight w:val="none"/>
              </w:rPr>
              <w:t>（</w:t>
            </w:r>
            <w:r>
              <w:rPr>
                <w:rFonts w:hint="eastAsia" w:ascii="Times New Roman Regular" w:hAnsi="Times New Roman Regular" w:cs="Times New Roman Regular"/>
                <w:color w:val="auto"/>
                <w:sz w:val="24"/>
                <w:szCs w:val="24"/>
                <w:highlight w:val="none"/>
                <w:lang w:val="en-US" w:eastAsia="zh-CN"/>
              </w:rPr>
              <w:t>2</w:t>
            </w:r>
            <w:r>
              <w:rPr>
                <w:rFonts w:ascii="Times New Roman Regular" w:hAnsi="Times New Roman Regular" w:cs="Times New Roman Regular"/>
                <w:color w:val="auto"/>
                <w:sz w:val="24"/>
                <w:szCs w:val="24"/>
                <w:highlight w:val="none"/>
              </w:rPr>
              <w:t>）未按申请文件要求提供确认公众评审规则无异议的书面承诺函。</w:t>
            </w:r>
          </w:p>
        </w:tc>
      </w:tr>
      <w:tr w14:paraId="6671BE17">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560" w:type="dxa"/>
            <w:tcBorders>
              <w:tl2br w:val="nil"/>
              <w:tr2bl w:val="nil"/>
            </w:tcBorders>
            <w:vAlign w:val="center"/>
          </w:tcPr>
          <w:p w14:paraId="443C1841">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合计</w:t>
            </w:r>
          </w:p>
        </w:tc>
        <w:tc>
          <w:tcPr>
            <w:tcW w:w="1275" w:type="dxa"/>
            <w:tcBorders>
              <w:tl2br w:val="nil"/>
              <w:tr2bl w:val="nil"/>
            </w:tcBorders>
            <w:vAlign w:val="center"/>
          </w:tcPr>
          <w:p w14:paraId="507B3C45">
            <w:pPr>
              <w:spacing w:line="240" w:lineRule="auto"/>
              <w:ind w:firstLine="0" w:firstLineChars="0"/>
              <w:jc w:val="center"/>
              <w:rPr>
                <w:rFonts w:ascii="Times New Roman Regular" w:hAnsi="Times New Roman Regular" w:cs="Times New Roman Regular"/>
                <w:color w:val="auto"/>
                <w:sz w:val="24"/>
                <w:szCs w:val="24"/>
                <w:highlight w:val="none"/>
              </w:rPr>
            </w:pPr>
            <w:r>
              <w:rPr>
                <w:rFonts w:ascii="Times New Roman Regular" w:hAnsi="Times New Roman Regular" w:cs="Times New Roman Regular"/>
                <w:color w:val="auto"/>
                <w:sz w:val="24"/>
                <w:szCs w:val="24"/>
                <w:highlight w:val="none"/>
              </w:rPr>
              <w:t>100</w:t>
            </w:r>
          </w:p>
        </w:tc>
        <w:tc>
          <w:tcPr>
            <w:tcW w:w="851" w:type="dxa"/>
            <w:tcBorders>
              <w:tl2br w:val="nil"/>
              <w:tr2bl w:val="nil"/>
            </w:tcBorders>
            <w:vAlign w:val="center"/>
          </w:tcPr>
          <w:p w14:paraId="22C407EC">
            <w:pPr>
              <w:spacing w:line="240" w:lineRule="auto"/>
              <w:ind w:firstLine="480"/>
              <w:jc w:val="left"/>
              <w:rPr>
                <w:rFonts w:ascii="Times New Roman Regular" w:hAnsi="Times New Roman Regular" w:cs="Times New Roman Regular"/>
                <w:color w:val="auto"/>
                <w:sz w:val="24"/>
                <w:szCs w:val="24"/>
                <w:highlight w:val="none"/>
              </w:rPr>
            </w:pPr>
          </w:p>
        </w:tc>
        <w:tc>
          <w:tcPr>
            <w:tcW w:w="10992" w:type="dxa"/>
            <w:tcBorders>
              <w:tl2br w:val="nil"/>
              <w:tr2bl w:val="nil"/>
            </w:tcBorders>
            <w:vAlign w:val="center"/>
          </w:tcPr>
          <w:p w14:paraId="6B4F90C5">
            <w:pPr>
              <w:spacing w:line="240" w:lineRule="auto"/>
              <w:ind w:firstLine="480"/>
              <w:jc w:val="left"/>
              <w:rPr>
                <w:rFonts w:ascii="Times New Roman Regular" w:hAnsi="Times New Roman Regular" w:cs="Times New Roman Regular"/>
                <w:color w:val="auto"/>
                <w:sz w:val="24"/>
                <w:szCs w:val="24"/>
                <w:highlight w:val="none"/>
              </w:rPr>
            </w:pPr>
          </w:p>
        </w:tc>
      </w:tr>
      <w:tr w14:paraId="78288F20">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835" w:type="dxa"/>
            <w:gridSpan w:val="2"/>
            <w:tcBorders>
              <w:tl2br w:val="nil"/>
              <w:tr2bl w:val="nil"/>
            </w:tcBorders>
            <w:vAlign w:val="center"/>
          </w:tcPr>
          <w:p w14:paraId="3496612E">
            <w:pPr>
              <w:spacing w:line="240" w:lineRule="auto"/>
              <w:ind w:firstLine="0" w:firstLineChars="0"/>
              <w:jc w:val="center"/>
              <w:rPr>
                <w:rFonts w:ascii="Times New Roman Regular" w:hAnsi="Times New Roman Regular" w:cs="Times New Roman Regular"/>
                <w:color w:val="auto"/>
                <w:sz w:val="24"/>
                <w:szCs w:val="24"/>
                <w:highlight w:val="none"/>
              </w:rPr>
            </w:pPr>
          </w:p>
        </w:tc>
        <w:tc>
          <w:tcPr>
            <w:tcW w:w="851" w:type="dxa"/>
            <w:tcBorders>
              <w:tl2br w:val="nil"/>
              <w:tr2bl w:val="nil"/>
            </w:tcBorders>
            <w:vAlign w:val="center"/>
          </w:tcPr>
          <w:p w14:paraId="081AFFF9">
            <w:pPr>
              <w:spacing w:line="240" w:lineRule="auto"/>
              <w:ind w:firstLine="0" w:firstLineChars="0"/>
              <w:jc w:val="center"/>
              <w:rPr>
                <w:rFonts w:ascii="Times New Roman Regular" w:hAnsi="Times New Roman Regular" w:cs="Times New Roman Regular"/>
                <w:color w:val="auto"/>
                <w:sz w:val="24"/>
                <w:szCs w:val="24"/>
                <w:highlight w:val="none"/>
              </w:rPr>
            </w:pPr>
          </w:p>
        </w:tc>
        <w:tc>
          <w:tcPr>
            <w:tcW w:w="10992" w:type="dxa"/>
            <w:tcBorders>
              <w:tl2br w:val="nil"/>
              <w:tr2bl w:val="nil"/>
            </w:tcBorders>
            <w:vAlign w:val="center"/>
          </w:tcPr>
          <w:p w14:paraId="0EDABA45">
            <w:pPr>
              <w:spacing w:line="240" w:lineRule="auto"/>
              <w:ind w:firstLine="480"/>
              <w:jc w:val="left"/>
              <w:rPr>
                <w:rFonts w:ascii="Times New Roman Regular" w:hAnsi="Times New Roman Regular" w:cs="Times New Roman Regular"/>
                <w:color w:val="auto"/>
                <w:sz w:val="24"/>
                <w:szCs w:val="24"/>
                <w:highlight w:val="none"/>
              </w:rPr>
            </w:pPr>
          </w:p>
        </w:tc>
      </w:tr>
      <w:bookmarkEnd w:id="2"/>
      <w:bookmarkEnd w:id="4"/>
    </w:tbl>
    <w:p w14:paraId="6EE40339">
      <w:pPr>
        <w:ind w:firstLine="0" w:firstLineChars="0"/>
        <w:rPr>
          <w:rFonts w:ascii="Times New Roman Regular" w:hAnsi="Times New Roman Regular" w:cs="Times New Roman Regular"/>
          <w:color w:val="auto"/>
          <w:highlight w:val="none"/>
        </w:rPr>
      </w:pPr>
    </w:p>
    <w:sectPr>
      <w:headerReference r:id="rId11" w:type="default"/>
      <w:pgSz w:w="16838" w:h="11906" w:orient="landscape"/>
      <w:pgMar w:top="1440" w:right="1080" w:bottom="1440" w:left="1080" w:header="851" w:footer="964" w:gutter="0"/>
      <w:pgNumType w:fmt="decimal"/>
      <w:cols w:space="0"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88"/>
    <w:family w:val="auto"/>
    <w:pitch w:val="default"/>
    <w:sig w:usb0="00000000" w:usb1="0000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国标仿宋"/>
    <w:panose1 w:val="00000000000000000000"/>
    <w:charset w:val="86"/>
    <w:family w:val="auto"/>
    <w:pitch w:val="default"/>
    <w:sig w:usb0="00000000" w:usb1="00000000" w:usb2="00000000" w:usb3="00000000" w:csb0="00000000" w:csb1="00000000"/>
  </w:font>
  <w:font w:name="等线">
    <w:altName w:val="国标仿宋"/>
    <w:panose1 w:val="00000000000000000000"/>
    <w:charset w:val="00"/>
    <w:family w:val="auto"/>
    <w:pitch w:val="default"/>
    <w:sig w:usb0="00000000" w:usb1="00000000" w:usb2="00000000" w:usb3="00000000" w:csb0="00000000" w:csb1="00000000"/>
  </w:font>
  <w:font w:name="仿宋_GB2312">
    <w:altName w:val="国标仿宋"/>
    <w:panose1 w:val="02010609030101010101"/>
    <w:charset w:val="86"/>
    <w:family w:val="modern"/>
    <w:pitch w:val="default"/>
    <w:sig w:usb0="00000000" w:usb1="00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等线 Light">
    <w:altName w:val="汉仪中宋简"/>
    <w:panose1 w:val="02010600030101010101"/>
    <w:charset w:val="86"/>
    <w:family w:val="auto"/>
    <w:pitch w:val="default"/>
    <w:sig w:usb0="00000000" w:usb1="00000000" w:usb2="00000016" w:usb3="00000000" w:csb0="0004000F" w:csb1="00000000"/>
  </w:font>
  <w:font w:name="Times New Roman Regular">
    <w:altName w:val="DejaVu Sans"/>
    <w:panose1 w:val="02020503050405090304"/>
    <w:charset w:val="00"/>
    <w:family w:val="auto"/>
    <w:pitch w:val="default"/>
    <w:sig w:usb0="00000000" w:usb1="00000000" w:usb2="00000001" w:usb3="00000000" w:csb0="400001BF" w:csb1="DFF7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等线 Light">
    <w:altName w:val="国标仿宋"/>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91D99">
    <w:pPr>
      <w:pStyle w:val="12"/>
      <w:keepNext w:val="0"/>
      <w:keepLines w:val="0"/>
      <w:pageBreakBefore w:val="0"/>
      <w:widowControl w:val="0"/>
      <w:kinsoku/>
      <w:wordWrap/>
      <w:overflowPunct w:val="0"/>
      <w:topLinePunct w:val="0"/>
      <w:bidi w:val="0"/>
      <w:adjustRightInd/>
      <w:snapToGrid w:val="0"/>
      <w:ind w:firstLine="0" w:firstLineChars="0"/>
      <w:jc w:val="center"/>
      <w:textAlignment w:val="auto"/>
      <w:rPr>
        <w:rFonts w:hint="eastAsia"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BC44CC">
                          <w:pPr>
                            <w:pStyle w:val="12"/>
                            <w:keepNext w:val="0"/>
                            <w:keepLines w:val="0"/>
                            <w:pageBreakBefore w:val="0"/>
                            <w:widowControl w:val="0"/>
                            <w:kinsoku/>
                            <w:wordWrap/>
                            <w:overflowPunct w:val="0"/>
                            <w:topLinePunct w:val="0"/>
                            <w:bidi w:val="0"/>
                            <w:adjustRightInd/>
                            <w:snapToGrid w:val="0"/>
                            <w:ind w:firstLine="0" w:firstLineChars="0"/>
                            <w:textAlignment w:val="auto"/>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BC44CC">
                    <w:pPr>
                      <w:pStyle w:val="12"/>
                      <w:keepNext w:val="0"/>
                      <w:keepLines w:val="0"/>
                      <w:pageBreakBefore w:val="0"/>
                      <w:widowControl w:val="0"/>
                      <w:kinsoku/>
                      <w:wordWrap/>
                      <w:overflowPunct w:val="0"/>
                      <w:topLinePunct w:val="0"/>
                      <w:bidi w:val="0"/>
                      <w:adjustRightInd/>
                      <w:snapToGrid w:val="0"/>
                      <w:ind w:firstLine="0" w:firstLineChars="0"/>
                      <w:textAlignment w:val="auto"/>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7D96A">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37EAB">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C106A">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FD310">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C2EE9">
    <w:pPr>
      <w:pStyle w:val="1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E16B2">
    <w:pPr>
      <w:pStyle w:val="1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A82"/>
    <w:rsid w:val="0000101F"/>
    <w:rsid w:val="00006AF6"/>
    <w:rsid w:val="000115D3"/>
    <w:rsid w:val="0004756F"/>
    <w:rsid w:val="00054AD5"/>
    <w:rsid w:val="00060391"/>
    <w:rsid w:val="00075D62"/>
    <w:rsid w:val="00082C64"/>
    <w:rsid w:val="000E64CB"/>
    <w:rsid w:val="000F304E"/>
    <w:rsid w:val="00131CFC"/>
    <w:rsid w:val="001363F2"/>
    <w:rsid w:val="00146878"/>
    <w:rsid w:val="0015175A"/>
    <w:rsid w:val="00157B08"/>
    <w:rsid w:val="00160983"/>
    <w:rsid w:val="00163D5E"/>
    <w:rsid w:val="001D38AB"/>
    <w:rsid w:val="001D58B9"/>
    <w:rsid w:val="001E02B6"/>
    <w:rsid w:val="001E431B"/>
    <w:rsid w:val="001F0E3F"/>
    <w:rsid w:val="001F2B58"/>
    <w:rsid w:val="001F7238"/>
    <w:rsid w:val="002132EA"/>
    <w:rsid w:val="00217DE1"/>
    <w:rsid w:val="00226D0C"/>
    <w:rsid w:val="00235AA9"/>
    <w:rsid w:val="00243E05"/>
    <w:rsid w:val="002467C4"/>
    <w:rsid w:val="00251F82"/>
    <w:rsid w:val="0025647F"/>
    <w:rsid w:val="00262708"/>
    <w:rsid w:val="0028388B"/>
    <w:rsid w:val="0028578C"/>
    <w:rsid w:val="00285ED9"/>
    <w:rsid w:val="002A29C8"/>
    <w:rsid w:val="002C67BA"/>
    <w:rsid w:val="002E704E"/>
    <w:rsid w:val="002F1E62"/>
    <w:rsid w:val="0031185B"/>
    <w:rsid w:val="00314D18"/>
    <w:rsid w:val="0031528C"/>
    <w:rsid w:val="003204FC"/>
    <w:rsid w:val="00324F7B"/>
    <w:rsid w:val="0033688F"/>
    <w:rsid w:val="00355E8A"/>
    <w:rsid w:val="00357262"/>
    <w:rsid w:val="00357916"/>
    <w:rsid w:val="003839A1"/>
    <w:rsid w:val="00396EEE"/>
    <w:rsid w:val="003B3D0E"/>
    <w:rsid w:val="003C320A"/>
    <w:rsid w:val="003D761B"/>
    <w:rsid w:val="003E4BA2"/>
    <w:rsid w:val="003E58C9"/>
    <w:rsid w:val="0040046B"/>
    <w:rsid w:val="0040757D"/>
    <w:rsid w:val="004316D7"/>
    <w:rsid w:val="00434779"/>
    <w:rsid w:val="0047644E"/>
    <w:rsid w:val="00482DC7"/>
    <w:rsid w:val="004941A4"/>
    <w:rsid w:val="004C2F6C"/>
    <w:rsid w:val="004D01B3"/>
    <w:rsid w:val="004E2E56"/>
    <w:rsid w:val="004E6965"/>
    <w:rsid w:val="004F3CC3"/>
    <w:rsid w:val="004F5608"/>
    <w:rsid w:val="00503886"/>
    <w:rsid w:val="005267AE"/>
    <w:rsid w:val="00540D0C"/>
    <w:rsid w:val="00545383"/>
    <w:rsid w:val="00582072"/>
    <w:rsid w:val="00596E4E"/>
    <w:rsid w:val="005D37E6"/>
    <w:rsid w:val="005D5F25"/>
    <w:rsid w:val="005F596A"/>
    <w:rsid w:val="005F6B69"/>
    <w:rsid w:val="00644E69"/>
    <w:rsid w:val="00644F8D"/>
    <w:rsid w:val="00661D1C"/>
    <w:rsid w:val="007009F4"/>
    <w:rsid w:val="00723396"/>
    <w:rsid w:val="00766A22"/>
    <w:rsid w:val="00781D49"/>
    <w:rsid w:val="007921B1"/>
    <w:rsid w:val="007929CB"/>
    <w:rsid w:val="007B120C"/>
    <w:rsid w:val="007B5247"/>
    <w:rsid w:val="007C740D"/>
    <w:rsid w:val="007E5D5B"/>
    <w:rsid w:val="007F7552"/>
    <w:rsid w:val="0081529C"/>
    <w:rsid w:val="00825D70"/>
    <w:rsid w:val="00831BA1"/>
    <w:rsid w:val="00836C9F"/>
    <w:rsid w:val="00843A81"/>
    <w:rsid w:val="008629EF"/>
    <w:rsid w:val="00891077"/>
    <w:rsid w:val="00897740"/>
    <w:rsid w:val="008A4EDF"/>
    <w:rsid w:val="008C7EEE"/>
    <w:rsid w:val="008D298F"/>
    <w:rsid w:val="008F62E5"/>
    <w:rsid w:val="009122C0"/>
    <w:rsid w:val="00944573"/>
    <w:rsid w:val="0095336F"/>
    <w:rsid w:val="00961F83"/>
    <w:rsid w:val="00962169"/>
    <w:rsid w:val="00970D98"/>
    <w:rsid w:val="00973CD8"/>
    <w:rsid w:val="009B0833"/>
    <w:rsid w:val="009B7A82"/>
    <w:rsid w:val="009D0B83"/>
    <w:rsid w:val="00A1513C"/>
    <w:rsid w:val="00A22D45"/>
    <w:rsid w:val="00A331B2"/>
    <w:rsid w:val="00A33540"/>
    <w:rsid w:val="00A34149"/>
    <w:rsid w:val="00A56DC0"/>
    <w:rsid w:val="00A71FFC"/>
    <w:rsid w:val="00AD68C2"/>
    <w:rsid w:val="00AE2853"/>
    <w:rsid w:val="00AF3470"/>
    <w:rsid w:val="00AF728E"/>
    <w:rsid w:val="00B011EA"/>
    <w:rsid w:val="00B17A8A"/>
    <w:rsid w:val="00B21967"/>
    <w:rsid w:val="00B2492A"/>
    <w:rsid w:val="00B27D97"/>
    <w:rsid w:val="00B3691E"/>
    <w:rsid w:val="00B53776"/>
    <w:rsid w:val="00B54B4B"/>
    <w:rsid w:val="00B67BE4"/>
    <w:rsid w:val="00B9611C"/>
    <w:rsid w:val="00BA3CE8"/>
    <w:rsid w:val="00BB1DD3"/>
    <w:rsid w:val="00BC565B"/>
    <w:rsid w:val="00BC591B"/>
    <w:rsid w:val="00BE6D8B"/>
    <w:rsid w:val="00BF3C89"/>
    <w:rsid w:val="00C05E55"/>
    <w:rsid w:val="00C1400F"/>
    <w:rsid w:val="00C144DD"/>
    <w:rsid w:val="00C8578F"/>
    <w:rsid w:val="00C867A3"/>
    <w:rsid w:val="00CA12F4"/>
    <w:rsid w:val="00CB12FE"/>
    <w:rsid w:val="00CB654D"/>
    <w:rsid w:val="00CD0B84"/>
    <w:rsid w:val="00CE0B44"/>
    <w:rsid w:val="00CE17A0"/>
    <w:rsid w:val="00CE5FF4"/>
    <w:rsid w:val="00D023BE"/>
    <w:rsid w:val="00D028E9"/>
    <w:rsid w:val="00D03BB7"/>
    <w:rsid w:val="00D1409A"/>
    <w:rsid w:val="00D16E3B"/>
    <w:rsid w:val="00D26CBC"/>
    <w:rsid w:val="00D4485B"/>
    <w:rsid w:val="00D5299C"/>
    <w:rsid w:val="00D5436C"/>
    <w:rsid w:val="00D54AA7"/>
    <w:rsid w:val="00D55D40"/>
    <w:rsid w:val="00D64F1A"/>
    <w:rsid w:val="00D71825"/>
    <w:rsid w:val="00D752C7"/>
    <w:rsid w:val="00DA4811"/>
    <w:rsid w:val="00DE529B"/>
    <w:rsid w:val="00DE66B1"/>
    <w:rsid w:val="00E00DD2"/>
    <w:rsid w:val="00E01387"/>
    <w:rsid w:val="00E01CFF"/>
    <w:rsid w:val="00E0516E"/>
    <w:rsid w:val="00E05A9E"/>
    <w:rsid w:val="00E12CBF"/>
    <w:rsid w:val="00E14B18"/>
    <w:rsid w:val="00E16FEF"/>
    <w:rsid w:val="00E25BC6"/>
    <w:rsid w:val="00E32EE7"/>
    <w:rsid w:val="00E40880"/>
    <w:rsid w:val="00E6367F"/>
    <w:rsid w:val="00E738A8"/>
    <w:rsid w:val="00E73E75"/>
    <w:rsid w:val="00E865B1"/>
    <w:rsid w:val="00E8665C"/>
    <w:rsid w:val="00EB3567"/>
    <w:rsid w:val="00EC0968"/>
    <w:rsid w:val="00EC2A14"/>
    <w:rsid w:val="00EF35EE"/>
    <w:rsid w:val="00EF4809"/>
    <w:rsid w:val="00F3747E"/>
    <w:rsid w:val="00F41A60"/>
    <w:rsid w:val="00F45137"/>
    <w:rsid w:val="00F45C2F"/>
    <w:rsid w:val="00F55083"/>
    <w:rsid w:val="00F77CBF"/>
    <w:rsid w:val="00F81DE4"/>
    <w:rsid w:val="00F87E67"/>
    <w:rsid w:val="00FA24AA"/>
    <w:rsid w:val="00FA24DD"/>
    <w:rsid w:val="00FA655F"/>
    <w:rsid w:val="00FA74BB"/>
    <w:rsid w:val="00FB10C5"/>
    <w:rsid w:val="00FB66B9"/>
    <w:rsid w:val="00FD262D"/>
    <w:rsid w:val="00FD4BB1"/>
    <w:rsid w:val="00FE5DBF"/>
    <w:rsid w:val="00FE6E1E"/>
    <w:rsid w:val="00FE7F22"/>
    <w:rsid w:val="00FF4C82"/>
    <w:rsid w:val="01303AC5"/>
    <w:rsid w:val="01695955"/>
    <w:rsid w:val="019E3125"/>
    <w:rsid w:val="01B82438"/>
    <w:rsid w:val="01C901A1"/>
    <w:rsid w:val="021D673F"/>
    <w:rsid w:val="023B6BC5"/>
    <w:rsid w:val="024141DC"/>
    <w:rsid w:val="031F3DF1"/>
    <w:rsid w:val="03287EC4"/>
    <w:rsid w:val="03B94246"/>
    <w:rsid w:val="041A2F36"/>
    <w:rsid w:val="042839DF"/>
    <w:rsid w:val="042A0CA0"/>
    <w:rsid w:val="04406715"/>
    <w:rsid w:val="044E2BE0"/>
    <w:rsid w:val="04B35139"/>
    <w:rsid w:val="04D8694E"/>
    <w:rsid w:val="04E2157A"/>
    <w:rsid w:val="05404C1F"/>
    <w:rsid w:val="05746676"/>
    <w:rsid w:val="061B2F96"/>
    <w:rsid w:val="069A3EBB"/>
    <w:rsid w:val="06F832D7"/>
    <w:rsid w:val="073F2CB4"/>
    <w:rsid w:val="07A1396F"/>
    <w:rsid w:val="084A39A5"/>
    <w:rsid w:val="08B154BF"/>
    <w:rsid w:val="08CE609D"/>
    <w:rsid w:val="0923288D"/>
    <w:rsid w:val="0935436E"/>
    <w:rsid w:val="09552FEF"/>
    <w:rsid w:val="09B4757F"/>
    <w:rsid w:val="09E0077E"/>
    <w:rsid w:val="0A222B45"/>
    <w:rsid w:val="0A4C7BC2"/>
    <w:rsid w:val="0A5F5B47"/>
    <w:rsid w:val="0B24469B"/>
    <w:rsid w:val="0BB53545"/>
    <w:rsid w:val="0BB73761"/>
    <w:rsid w:val="0BEB340A"/>
    <w:rsid w:val="0C61547A"/>
    <w:rsid w:val="0C6236CC"/>
    <w:rsid w:val="0C96006B"/>
    <w:rsid w:val="0CD36378"/>
    <w:rsid w:val="0CEC568C"/>
    <w:rsid w:val="0D173089"/>
    <w:rsid w:val="0DD71E98"/>
    <w:rsid w:val="0E0E510C"/>
    <w:rsid w:val="0E2055ED"/>
    <w:rsid w:val="0E76520D"/>
    <w:rsid w:val="0EB421D9"/>
    <w:rsid w:val="0EEA1757"/>
    <w:rsid w:val="0F334EAC"/>
    <w:rsid w:val="0F5F0397"/>
    <w:rsid w:val="0F6459AD"/>
    <w:rsid w:val="0FAB6391"/>
    <w:rsid w:val="0FDC3796"/>
    <w:rsid w:val="100F3B6B"/>
    <w:rsid w:val="10102A21"/>
    <w:rsid w:val="1017657C"/>
    <w:rsid w:val="106D0892"/>
    <w:rsid w:val="10A5781E"/>
    <w:rsid w:val="10FD1C16"/>
    <w:rsid w:val="1134315E"/>
    <w:rsid w:val="117F087D"/>
    <w:rsid w:val="11DB182B"/>
    <w:rsid w:val="11E42DD6"/>
    <w:rsid w:val="11E46932"/>
    <w:rsid w:val="120B0362"/>
    <w:rsid w:val="12127CF6"/>
    <w:rsid w:val="123F000C"/>
    <w:rsid w:val="12C02EFB"/>
    <w:rsid w:val="12DC585B"/>
    <w:rsid w:val="130C3B50"/>
    <w:rsid w:val="13A20D6C"/>
    <w:rsid w:val="13D824C6"/>
    <w:rsid w:val="13F60B9E"/>
    <w:rsid w:val="14263231"/>
    <w:rsid w:val="14C173FE"/>
    <w:rsid w:val="14CB3DD9"/>
    <w:rsid w:val="14F52C04"/>
    <w:rsid w:val="150712B5"/>
    <w:rsid w:val="15F071BA"/>
    <w:rsid w:val="16495EC0"/>
    <w:rsid w:val="16CA07EC"/>
    <w:rsid w:val="1726179A"/>
    <w:rsid w:val="175C6F6A"/>
    <w:rsid w:val="17AD6F65"/>
    <w:rsid w:val="1830282F"/>
    <w:rsid w:val="186500A0"/>
    <w:rsid w:val="19375EE1"/>
    <w:rsid w:val="194D300E"/>
    <w:rsid w:val="19831126"/>
    <w:rsid w:val="19A10699"/>
    <w:rsid w:val="19B1359D"/>
    <w:rsid w:val="19BE5CBA"/>
    <w:rsid w:val="19CA28B1"/>
    <w:rsid w:val="19F60EE6"/>
    <w:rsid w:val="1A1F2BFD"/>
    <w:rsid w:val="1A98650B"/>
    <w:rsid w:val="1AB86BAD"/>
    <w:rsid w:val="1AED2CFB"/>
    <w:rsid w:val="1AF5570C"/>
    <w:rsid w:val="1B2304CB"/>
    <w:rsid w:val="1B4116B3"/>
    <w:rsid w:val="1B4A3CA9"/>
    <w:rsid w:val="1BB6133F"/>
    <w:rsid w:val="1BC05D1A"/>
    <w:rsid w:val="1C0A51E7"/>
    <w:rsid w:val="1C0E2F29"/>
    <w:rsid w:val="1C4353EA"/>
    <w:rsid w:val="1C4F52EF"/>
    <w:rsid w:val="1C4F709D"/>
    <w:rsid w:val="1C8B27CB"/>
    <w:rsid w:val="1C8E406A"/>
    <w:rsid w:val="1CC453D7"/>
    <w:rsid w:val="1DB95116"/>
    <w:rsid w:val="1DED4DC0"/>
    <w:rsid w:val="1E894AE9"/>
    <w:rsid w:val="1E9B481C"/>
    <w:rsid w:val="1EB8776E"/>
    <w:rsid w:val="1ED63AA6"/>
    <w:rsid w:val="1FBF2F67"/>
    <w:rsid w:val="1FDC333E"/>
    <w:rsid w:val="1FF1ABF0"/>
    <w:rsid w:val="205630F0"/>
    <w:rsid w:val="20BC398C"/>
    <w:rsid w:val="20D9162C"/>
    <w:rsid w:val="20E5093F"/>
    <w:rsid w:val="21134A62"/>
    <w:rsid w:val="217D645B"/>
    <w:rsid w:val="2188552B"/>
    <w:rsid w:val="21E169EA"/>
    <w:rsid w:val="220464FF"/>
    <w:rsid w:val="2214201E"/>
    <w:rsid w:val="222F59A7"/>
    <w:rsid w:val="22421B7E"/>
    <w:rsid w:val="22477195"/>
    <w:rsid w:val="224D0523"/>
    <w:rsid w:val="22C80038"/>
    <w:rsid w:val="22EC1AEA"/>
    <w:rsid w:val="23326DE6"/>
    <w:rsid w:val="235F406A"/>
    <w:rsid w:val="237044C9"/>
    <w:rsid w:val="238241FC"/>
    <w:rsid w:val="238D45F5"/>
    <w:rsid w:val="23B5012E"/>
    <w:rsid w:val="23BE3486"/>
    <w:rsid w:val="24062738"/>
    <w:rsid w:val="244020ED"/>
    <w:rsid w:val="24443260"/>
    <w:rsid w:val="2471674B"/>
    <w:rsid w:val="24B108F5"/>
    <w:rsid w:val="24DE36B4"/>
    <w:rsid w:val="24E444AE"/>
    <w:rsid w:val="24E567F1"/>
    <w:rsid w:val="257F6C45"/>
    <w:rsid w:val="258778A8"/>
    <w:rsid w:val="25DC4098"/>
    <w:rsid w:val="262D044F"/>
    <w:rsid w:val="26467763"/>
    <w:rsid w:val="26583D33"/>
    <w:rsid w:val="26DE174A"/>
    <w:rsid w:val="26F64CE5"/>
    <w:rsid w:val="272E26D1"/>
    <w:rsid w:val="274125DC"/>
    <w:rsid w:val="27736336"/>
    <w:rsid w:val="27895B59"/>
    <w:rsid w:val="27CF05B7"/>
    <w:rsid w:val="27D52B4D"/>
    <w:rsid w:val="27DE9F4B"/>
    <w:rsid w:val="27F60D15"/>
    <w:rsid w:val="281025A5"/>
    <w:rsid w:val="282835C4"/>
    <w:rsid w:val="283830DC"/>
    <w:rsid w:val="28551EE0"/>
    <w:rsid w:val="28812CD5"/>
    <w:rsid w:val="28A15125"/>
    <w:rsid w:val="28A569C3"/>
    <w:rsid w:val="28BF17F6"/>
    <w:rsid w:val="28EC2844"/>
    <w:rsid w:val="28FB65E3"/>
    <w:rsid w:val="29491A44"/>
    <w:rsid w:val="29820AB2"/>
    <w:rsid w:val="2AB7478C"/>
    <w:rsid w:val="2AE8528D"/>
    <w:rsid w:val="2B006133"/>
    <w:rsid w:val="2B1C4F36"/>
    <w:rsid w:val="2B4D2E1A"/>
    <w:rsid w:val="2B6D12EE"/>
    <w:rsid w:val="2B8F58A2"/>
    <w:rsid w:val="2BAA7930"/>
    <w:rsid w:val="2BFA7026"/>
    <w:rsid w:val="2BFF288E"/>
    <w:rsid w:val="2C0E0D23"/>
    <w:rsid w:val="2C293467"/>
    <w:rsid w:val="2CEF46B1"/>
    <w:rsid w:val="2CF63C91"/>
    <w:rsid w:val="2CFA3055"/>
    <w:rsid w:val="2D7FA596"/>
    <w:rsid w:val="2DA7748D"/>
    <w:rsid w:val="2DE33D57"/>
    <w:rsid w:val="2DFD104F"/>
    <w:rsid w:val="2E424CB4"/>
    <w:rsid w:val="2E5A0250"/>
    <w:rsid w:val="2E9B3AEB"/>
    <w:rsid w:val="2EC851B9"/>
    <w:rsid w:val="2F104DB2"/>
    <w:rsid w:val="2F146650"/>
    <w:rsid w:val="2F57478F"/>
    <w:rsid w:val="2F9257C7"/>
    <w:rsid w:val="2FDF5F47"/>
    <w:rsid w:val="302A1EA4"/>
    <w:rsid w:val="302F391C"/>
    <w:rsid w:val="304C1E1A"/>
    <w:rsid w:val="30D2349F"/>
    <w:rsid w:val="313528AE"/>
    <w:rsid w:val="31660CB9"/>
    <w:rsid w:val="31BB6926"/>
    <w:rsid w:val="31BC4D7D"/>
    <w:rsid w:val="32002EBC"/>
    <w:rsid w:val="325356E2"/>
    <w:rsid w:val="32F26CA9"/>
    <w:rsid w:val="331035D3"/>
    <w:rsid w:val="334B63B9"/>
    <w:rsid w:val="33947D60"/>
    <w:rsid w:val="33A41CCA"/>
    <w:rsid w:val="33F627C9"/>
    <w:rsid w:val="34086058"/>
    <w:rsid w:val="341E3ACD"/>
    <w:rsid w:val="3437693D"/>
    <w:rsid w:val="348953EB"/>
    <w:rsid w:val="3498562E"/>
    <w:rsid w:val="34DB7EAD"/>
    <w:rsid w:val="34EB4C6F"/>
    <w:rsid w:val="35245113"/>
    <w:rsid w:val="352D493C"/>
    <w:rsid w:val="3538296D"/>
    <w:rsid w:val="3558300F"/>
    <w:rsid w:val="35904365"/>
    <w:rsid w:val="35A87AF3"/>
    <w:rsid w:val="363650FE"/>
    <w:rsid w:val="36857E34"/>
    <w:rsid w:val="368D6CE8"/>
    <w:rsid w:val="368E4F3A"/>
    <w:rsid w:val="36963DEF"/>
    <w:rsid w:val="36AF4EB1"/>
    <w:rsid w:val="36F40B16"/>
    <w:rsid w:val="370635D5"/>
    <w:rsid w:val="37A73556"/>
    <w:rsid w:val="37AF33BA"/>
    <w:rsid w:val="37BA1D5F"/>
    <w:rsid w:val="37CE75B8"/>
    <w:rsid w:val="38341B11"/>
    <w:rsid w:val="3882287D"/>
    <w:rsid w:val="38F90665"/>
    <w:rsid w:val="391B4A7F"/>
    <w:rsid w:val="394538AA"/>
    <w:rsid w:val="39677CC5"/>
    <w:rsid w:val="397C3770"/>
    <w:rsid w:val="399F745E"/>
    <w:rsid w:val="39AD3929"/>
    <w:rsid w:val="3A2B484E"/>
    <w:rsid w:val="3A836438"/>
    <w:rsid w:val="3A8F74D3"/>
    <w:rsid w:val="3AAF722D"/>
    <w:rsid w:val="3AD76784"/>
    <w:rsid w:val="3AEF7F72"/>
    <w:rsid w:val="3AF70BD4"/>
    <w:rsid w:val="3B037579"/>
    <w:rsid w:val="3B4F0A10"/>
    <w:rsid w:val="3B6FE24C"/>
    <w:rsid w:val="3C123F18"/>
    <w:rsid w:val="3C4D6CFE"/>
    <w:rsid w:val="3CC64D02"/>
    <w:rsid w:val="3CEC4769"/>
    <w:rsid w:val="3D515E6F"/>
    <w:rsid w:val="3D566086"/>
    <w:rsid w:val="3DB159B2"/>
    <w:rsid w:val="3DD53076"/>
    <w:rsid w:val="3E216694"/>
    <w:rsid w:val="3E416D36"/>
    <w:rsid w:val="3EA64DEB"/>
    <w:rsid w:val="3F6C00D9"/>
    <w:rsid w:val="3FC27B3D"/>
    <w:rsid w:val="3FEC4A80"/>
    <w:rsid w:val="416D1E08"/>
    <w:rsid w:val="418C6AD0"/>
    <w:rsid w:val="420B38E3"/>
    <w:rsid w:val="42417CBC"/>
    <w:rsid w:val="426D634C"/>
    <w:rsid w:val="42731488"/>
    <w:rsid w:val="42A72EE0"/>
    <w:rsid w:val="42BD2703"/>
    <w:rsid w:val="43E062FE"/>
    <w:rsid w:val="441A7E0D"/>
    <w:rsid w:val="44380293"/>
    <w:rsid w:val="444412C1"/>
    <w:rsid w:val="44663053"/>
    <w:rsid w:val="449D0A3E"/>
    <w:rsid w:val="44BF6C07"/>
    <w:rsid w:val="455C4456"/>
    <w:rsid w:val="45AF0A29"/>
    <w:rsid w:val="46167423"/>
    <w:rsid w:val="46195EA3"/>
    <w:rsid w:val="4629035E"/>
    <w:rsid w:val="46317690"/>
    <w:rsid w:val="469045BC"/>
    <w:rsid w:val="470E26B6"/>
    <w:rsid w:val="471274C2"/>
    <w:rsid w:val="472D60AA"/>
    <w:rsid w:val="479B74B7"/>
    <w:rsid w:val="47B538B4"/>
    <w:rsid w:val="47D12B7B"/>
    <w:rsid w:val="484C6A03"/>
    <w:rsid w:val="4876582E"/>
    <w:rsid w:val="48A73C3A"/>
    <w:rsid w:val="48C7608A"/>
    <w:rsid w:val="48C91E02"/>
    <w:rsid w:val="48D569F9"/>
    <w:rsid w:val="4A370FED"/>
    <w:rsid w:val="4A4A6F73"/>
    <w:rsid w:val="4A653DAC"/>
    <w:rsid w:val="4A934476"/>
    <w:rsid w:val="4AAC3789"/>
    <w:rsid w:val="4AC76815"/>
    <w:rsid w:val="4ADF3B5F"/>
    <w:rsid w:val="4B26353C"/>
    <w:rsid w:val="4B475260"/>
    <w:rsid w:val="4B6E3AAD"/>
    <w:rsid w:val="4B983D0E"/>
    <w:rsid w:val="4BB8507F"/>
    <w:rsid w:val="4C485734"/>
    <w:rsid w:val="4C5B7215"/>
    <w:rsid w:val="4C7E7925"/>
    <w:rsid w:val="4C9E35A6"/>
    <w:rsid w:val="4C9E7102"/>
    <w:rsid w:val="4D1B4BF6"/>
    <w:rsid w:val="4D2A6BE7"/>
    <w:rsid w:val="4D2F41FE"/>
    <w:rsid w:val="4D4128AF"/>
    <w:rsid w:val="4E092CA1"/>
    <w:rsid w:val="4EC512BE"/>
    <w:rsid w:val="4EE7471F"/>
    <w:rsid w:val="4EF70D4B"/>
    <w:rsid w:val="4F5FA9C3"/>
    <w:rsid w:val="4F820F5D"/>
    <w:rsid w:val="4FB355BA"/>
    <w:rsid w:val="4FEB4D54"/>
    <w:rsid w:val="50C86E43"/>
    <w:rsid w:val="51516E38"/>
    <w:rsid w:val="515F1555"/>
    <w:rsid w:val="517B6CD0"/>
    <w:rsid w:val="51F37EF0"/>
    <w:rsid w:val="52302EF2"/>
    <w:rsid w:val="525C7843"/>
    <w:rsid w:val="533407C0"/>
    <w:rsid w:val="534C78B7"/>
    <w:rsid w:val="536270DB"/>
    <w:rsid w:val="53AC47FA"/>
    <w:rsid w:val="53C11D5F"/>
    <w:rsid w:val="54120B01"/>
    <w:rsid w:val="547F1F0F"/>
    <w:rsid w:val="548D462B"/>
    <w:rsid w:val="54B24092"/>
    <w:rsid w:val="54E63BC7"/>
    <w:rsid w:val="55546EF7"/>
    <w:rsid w:val="558629D1"/>
    <w:rsid w:val="55992B5C"/>
    <w:rsid w:val="55C67DF5"/>
    <w:rsid w:val="55FEAA90"/>
    <w:rsid w:val="56496330"/>
    <w:rsid w:val="56813D1C"/>
    <w:rsid w:val="5692056C"/>
    <w:rsid w:val="56AE5BF6"/>
    <w:rsid w:val="56AF6ADB"/>
    <w:rsid w:val="56B04601"/>
    <w:rsid w:val="56BF65F2"/>
    <w:rsid w:val="57462870"/>
    <w:rsid w:val="57911D3D"/>
    <w:rsid w:val="57A37CC2"/>
    <w:rsid w:val="57CC7219"/>
    <w:rsid w:val="57EF1159"/>
    <w:rsid w:val="585F1E3B"/>
    <w:rsid w:val="5878114F"/>
    <w:rsid w:val="589E6E07"/>
    <w:rsid w:val="58C47EF0"/>
    <w:rsid w:val="59570D64"/>
    <w:rsid w:val="59C4289D"/>
    <w:rsid w:val="59CD7278"/>
    <w:rsid w:val="59DB1995"/>
    <w:rsid w:val="59E97519"/>
    <w:rsid w:val="59F82547"/>
    <w:rsid w:val="5A142254"/>
    <w:rsid w:val="5A1C43D7"/>
    <w:rsid w:val="5A2E5F69"/>
    <w:rsid w:val="5A6E45B7"/>
    <w:rsid w:val="5AB3215E"/>
    <w:rsid w:val="5AC16DDD"/>
    <w:rsid w:val="5AE42ACB"/>
    <w:rsid w:val="5B1E7D8B"/>
    <w:rsid w:val="5B3C46B5"/>
    <w:rsid w:val="5B6232E6"/>
    <w:rsid w:val="5B85605C"/>
    <w:rsid w:val="5B8B1199"/>
    <w:rsid w:val="5BB57FC4"/>
    <w:rsid w:val="5BC414FB"/>
    <w:rsid w:val="5BD53394"/>
    <w:rsid w:val="5BF26384"/>
    <w:rsid w:val="5C0D4CC5"/>
    <w:rsid w:val="5C341831"/>
    <w:rsid w:val="5C3D2493"/>
    <w:rsid w:val="5C5679F9"/>
    <w:rsid w:val="5C602626"/>
    <w:rsid w:val="5D221689"/>
    <w:rsid w:val="5D443CF5"/>
    <w:rsid w:val="5DC34CA8"/>
    <w:rsid w:val="5E547F68"/>
    <w:rsid w:val="5E563CE0"/>
    <w:rsid w:val="5E56783C"/>
    <w:rsid w:val="5EAA5DDA"/>
    <w:rsid w:val="5ED03A93"/>
    <w:rsid w:val="5F610B8F"/>
    <w:rsid w:val="5F8C56A5"/>
    <w:rsid w:val="5F91425A"/>
    <w:rsid w:val="5FB52C88"/>
    <w:rsid w:val="5FF4555F"/>
    <w:rsid w:val="60564992"/>
    <w:rsid w:val="60FF41BB"/>
    <w:rsid w:val="61573FF7"/>
    <w:rsid w:val="617A7CE6"/>
    <w:rsid w:val="626252DE"/>
    <w:rsid w:val="626E21EF"/>
    <w:rsid w:val="62AA45FB"/>
    <w:rsid w:val="63450D9E"/>
    <w:rsid w:val="63862972"/>
    <w:rsid w:val="63D53536"/>
    <w:rsid w:val="63D74F7B"/>
    <w:rsid w:val="64970BAF"/>
    <w:rsid w:val="649D4417"/>
    <w:rsid w:val="64F7C3B4"/>
    <w:rsid w:val="65B65064"/>
    <w:rsid w:val="660F7C75"/>
    <w:rsid w:val="662B5A52"/>
    <w:rsid w:val="675039C2"/>
    <w:rsid w:val="676888BD"/>
    <w:rsid w:val="677347DE"/>
    <w:rsid w:val="677E1BB2"/>
    <w:rsid w:val="67896ED4"/>
    <w:rsid w:val="680E73DA"/>
    <w:rsid w:val="68273FF7"/>
    <w:rsid w:val="68376930"/>
    <w:rsid w:val="68D20407"/>
    <w:rsid w:val="68E819D9"/>
    <w:rsid w:val="69F06D97"/>
    <w:rsid w:val="69FA5E67"/>
    <w:rsid w:val="6A0D73FB"/>
    <w:rsid w:val="6A4413B2"/>
    <w:rsid w:val="6A505A77"/>
    <w:rsid w:val="6A86594D"/>
    <w:rsid w:val="6ABE6E95"/>
    <w:rsid w:val="6AF428B7"/>
    <w:rsid w:val="6B0A032C"/>
    <w:rsid w:val="6B170353"/>
    <w:rsid w:val="6B19056F"/>
    <w:rsid w:val="6B2C2051"/>
    <w:rsid w:val="6B2F1B41"/>
    <w:rsid w:val="6B3B04E6"/>
    <w:rsid w:val="6B6A5D01"/>
    <w:rsid w:val="6BCFF30F"/>
    <w:rsid w:val="6BD821D8"/>
    <w:rsid w:val="6C6770B8"/>
    <w:rsid w:val="6CBD4F2A"/>
    <w:rsid w:val="6CE95D1F"/>
    <w:rsid w:val="6D1DAE14"/>
    <w:rsid w:val="6D45389E"/>
    <w:rsid w:val="6D837F22"/>
    <w:rsid w:val="6D89474F"/>
    <w:rsid w:val="6DB30807"/>
    <w:rsid w:val="6E492F1A"/>
    <w:rsid w:val="6ED829E8"/>
    <w:rsid w:val="6F5043D8"/>
    <w:rsid w:val="6F94AB40"/>
    <w:rsid w:val="6FA56875"/>
    <w:rsid w:val="6FB6411F"/>
    <w:rsid w:val="6FBB1BF5"/>
    <w:rsid w:val="6FE211DA"/>
    <w:rsid w:val="703F2826"/>
    <w:rsid w:val="70891CF3"/>
    <w:rsid w:val="70FF1FB5"/>
    <w:rsid w:val="71282B4B"/>
    <w:rsid w:val="713F0604"/>
    <w:rsid w:val="715B3690"/>
    <w:rsid w:val="722A2F40"/>
    <w:rsid w:val="726F754F"/>
    <w:rsid w:val="72F53670"/>
    <w:rsid w:val="73261A7B"/>
    <w:rsid w:val="73BE30D5"/>
    <w:rsid w:val="74017DF2"/>
    <w:rsid w:val="7419338E"/>
    <w:rsid w:val="748E5B2A"/>
    <w:rsid w:val="74D93943"/>
    <w:rsid w:val="75E11C8A"/>
    <w:rsid w:val="762878B8"/>
    <w:rsid w:val="76397283"/>
    <w:rsid w:val="76B13D52"/>
    <w:rsid w:val="77673D6F"/>
    <w:rsid w:val="77C12F64"/>
    <w:rsid w:val="7852207F"/>
    <w:rsid w:val="78612A25"/>
    <w:rsid w:val="786F7A21"/>
    <w:rsid w:val="79040A32"/>
    <w:rsid w:val="7942728A"/>
    <w:rsid w:val="79A13C0A"/>
    <w:rsid w:val="79CB0C87"/>
    <w:rsid w:val="7A0D599F"/>
    <w:rsid w:val="7A794E29"/>
    <w:rsid w:val="7A943E46"/>
    <w:rsid w:val="7A992B33"/>
    <w:rsid w:val="7AA76657"/>
    <w:rsid w:val="7AE78B5C"/>
    <w:rsid w:val="7B242D44"/>
    <w:rsid w:val="7B54DB50"/>
    <w:rsid w:val="7B7470FC"/>
    <w:rsid w:val="7B7517F2"/>
    <w:rsid w:val="7BDD17B9"/>
    <w:rsid w:val="7C1728A9"/>
    <w:rsid w:val="7CD10CAA"/>
    <w:rsid w:val="7D154658"/>
    <w:rsid w:val="7D2F777E"/>
    <w:rsid w:val="7D3F03B3"/>
    <w:rsid w:val="7D6438CC"/>
    <w:rsid w:val="7D6C09D3"/>
    <w:rsid w:val="7DC425BD"/>
    <w:rsid w:val="7E0D3F64"/>
    <w:rsid w:val="7EFD4068"/>
    <w:rsid w:val="7EFFE0D6"/>
    <w:rsid w:val="7F25708B"/>
    <w:rsid w:val="7F3E4809"/>
    <w:rsid w:val="7F707618"/>
    <w:rsid w:val="7FDB161F"/>
    <w:rsid w:val="7FEC7BA9"/>
    <w:rsid w:val="7FFC4687"/>
    <w:rsid w:val="7FFD09D0"/>
    <w:rsid w:val="9FD9E392"/>
    <w:rsid w:val="BEDFA5E6"/>
    <w:rsid w:val="BFFF0C07"/>
    <w:rsid w:val="D77F0B99"/>
    <w:rsid w:val="DABB722F"/>
    <w:rsid w:val="E5F135E9"/>
    <w:rsid w:val="E5FA0B58"/>
    <w:rsid w:val="ED7F472B"/>
    <w:rsid w:val="EF3CA204"/>
    <w:rsid w:val="EFEBC80C"/>
    <w:rsid w:val="EFFB7562"/>
    <w:rsid w:val="F7956EC5"/>
    <w:rsid w:val="F7DF7F46"/>
    <w:rsid w:val="F7EAE70E"/>
    <w:rsid w:val="F7FB5C29"/>
    <w:rsid w:val="F975EB9A"/>
    <w:rsid w:val="FB876785"/>
    <w:rsid w:val="FBB9D405"/>
    <w:rsid w:val="FBF5487C"/>
    <w:rsid w:val="FDE3F95B"/>
    <w:rsid w:val="FE5EF4CD"/>
    <w:rsid w:val="FEEF2B82"/>
    <w:rsid w:val="FF9791FA"/>
    <w:rsid w:val="FFBD96B6"/>
    <w:rsid w:val="FFFBBC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spacing w:line="560" w:lineRule="exact"/>
      <w:ind w:firstLine="200" w:firstLineChars="200"/>
      <w:jc w:val="both"/>
    </w:pPr>
    <w:rPr>
      <w:rFonts w:ascii="Times New Roman" w:hAnsi="Times New Roman" w:eastAsia="仿宋_GB2312" w:cs="Times New Roman"/>
      <w:sz w:val="32"/>
      <w:lang w:val="en-US" w:eastAsia="zh-CN" w:bidi="ar-SA"/>
    </w:rPr>
  </w:style>
  <w:style w:type="paragraph" w:styleId="2">
    <w:name w:val="heading 1"/>
    <w:basedOn w:val="1"/>
    <w:next w:val="1"/>
    <w:link w:val="20"/>
    <w:qFormat/>
    <w:uiPriority w:val="9"/>
    <w:pPr>
      <w:keepNext/>
      <w:keepLines/>
      <w:spacing w:before="340" w:after="330" w:line="578" w:lineRule="atLeast"/>
      <w:outlineLvl w:val="0"/>
    </w:pPr>
    <w:rPr>
      <w:b/>
      <w:bCs/>
      <w:kern w:val="44"/>
      <w:sz w:val="44"/>
      <w:szCs w:val="44"/>
    </w:rPr>
  </w:style>
  <w:style w:type="paragraph" w:styleId="3">
    <w:name w:val="heading 2"/>
    <w:basedOn w:val="1"/>
    <w:next w:val="1"/>
    <w:link w:val="21"/>
    <w:semiHidden/>
    <w:unhideWhenUsed/>
    <w:qFormat/>
    <w:uiPriority w:val="9"/>
    <w:pPr>
      <w:keepNext/>
      <w:keepLines/>
      <w:spacing w:before="160" w:after="80" w:line="578" w:lineRule="exact"/>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line="578" w:lineRule="exact"/>
      <w:outlineLvl w:val="2"/>
    </w:pPr>
    <w:rPr>
      <w:rFonts w:asciiTheme="majorHAnsi" w:hAnsiTheme="majorHAnsi" w:eastAsiaTheme="majorEastAsia" w:cstheme="majorBidi"/>
      <w:color w:val="104862" w:themeColor="accent1" w:themeShade="BF"/>
      <w:szCs w:val="32"/>
    </w:rPr>
  </w:style>
  <w:style w:type="paragraph" w:styleId="5">
    <w:name w:val="heading 4"/>
    <w:basedOn w:val="1"/>
    <w:next w:val="1"/>
    <w:link w:val="23"/>
    <w:semiHidden/>
    <w:unhideWhenUsed/>
    <w:qFormat/>
    <w:uiPriority w:val="9"/>
    <w:pPr>
      <w:keepNext/>
      <w:keepLines/>
      <w:spacing w:before="80" w:after="40" w:line="578" w:lineRule="exact"/>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line="578" w:lineRule="exact"/>
      <w:outlineLvl w:val="4"/>
    </w:pPr>
    <w:rPr>
      <w:rFonts w:asciiTheme="minorHAnsi" w:hAnsiTheme="minorHAnsi" w:eastAsiaTheme="minorEastAsia" w:cstheme="majorBidi"/>
      <w:color w:val="104862" w:themeColor="accent1" w:themeShade="BF"/>
      <w:sz w:val="24"/>
      <w:szCs w:val="24"/>
    </w:rPr>
  </w:style>
  <w:style w:type="paragraph" w:styleId="7">
    <w:name w:val="heading 6"/>
    <w:basedOn w:val="1"/>
    <w:next w:val="1"/>
    <w:link w:val="25"/>
    <w:semiHidden/>
    <w:unhideWhenUsed/>
    <w:qFormat/>
    <w:uiPriority w:val="9"/>
    <w:pPr>
      <w:keepNext/>
      <w:keepLines/>
      <w:spacing w:before="40" w:line="578" w:lineRule="exact"/>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line="578" w:lineRule="exact"/>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line="578" w:lineRule="exact"/>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spacing w:line="578" w:lineRule="exact"/>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9"/>
    <w:unhideWhenUsed/>
    <w:qFormat/>
    <w:uiPriority w:val="99"/>
    <w:pPr>
      <w:tabs>
        <w:tab w:val="center" w:pos="4153"/>
        <w:tab w:val="right" w:pos="8306"/>
      </w:tabs>
      <w:snapToGrid w:val="0"/>
      <w:spacing w:line="240" w:lineRule="atLeast"/>
      <w:jc w:val="left"/>
    </w:pPr>
    <w:rPr>
      <w:sz w:val="18"/>
      <w:szCs w:val="18"/>
    </w:rPr>
  </w:style>
  <w:style w:type="paragraph" w:styleId="13">
    <w:name w:val="header"/>
    <w:basedOn w:val="1"/>
    <w:link w:val="38"/>
    <w:unhideWhenUsed/>
    <w:qFormat/>
    <w:uiPriority w:val="99"/>
    <w:pPr>
      <w:tabs>
        <w:tab w:val="center" w:pos="4153"/>
        <w:tab w:val="right" w:pos="8306"/>
      </w:tabs>
      <w:snapToGrid w:val="0"/>
      <w:spacing w:line="240" w:lineRule="atLeast"/>
      <w:jc w:val="center"/>
    </w:pPr>
    <w:rPr>
      <w:sz w:val="18"/>
      <w:szCs w:val="18"/>
    </w:rPr>
  </w:style>
  <w:style w:type="paragraph" w:styleId="14">
    <w:name w:val="Subtitle"/>
    <w:basedOn w:val="1"/>
    <w:next w:val="1"/>
    <w:link w:val="30"/>
    <w:qFormat/>
    <w:uiPriority w:val="11"/>
    <w:pPr>
      <w:spacing w:after="160" w:line="578" w:lineRule="exact"/>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annotation reference"/>
    <w:basedOn w:val="18"/>
    <w:semiHidden/>
    <w:unhideWhenUsed/>
    <w:qFormat/>
    <w:uiPriority w:val="99"/>
    <w:rPr>
      <w:sz w:val="21"/>
      <w:szCs w:val="21"/>
    </w:rPr>
  </w:style>
  <w:style w:type="character" w:customStyle="1" w:styleId="20">
    <w:name w:val="标题 1 字符"/>
    <w:basedOn w:val="18"/>
    <w:link w:val="2"/>
    <w:qFormat/>
    <w:uiPriority w:val="9"/>
    <w:rPr>
      <w:rFonts w:ascii="Times New Roman" w:hAnsi="Times New Roman" w:eastAsia="仿宋_GB2312" w:cs="Times New Roman"/>
      <w:b/>
      <w:bCs/>
      <w:kern w:val="44"/>
      <w:sz w:val="44"/>
      <w:szCs w:val="44"/>
    </w:rPr>
  </w:style>
  <w:style w:type="character" w:customStyle="1" w:styleId="21">
    <w:name w:val="标题 2 字符"/>
    <w:basedOn w:val="18"/>
    <w:link w:val="3"/>
    <w:semiHidden/>
    <w:qFormat/>
    <w:uiPriority w:val="9"/>
    <w:rPr>
      <w:rFonts w:asciiTheme="majorHAnsi" w:hAnsiTheme="majorHAnsi" w:eastAsiaTheme="majorEastAsia" w:cstheme="majorBidi"/>
      <w:color w:val="104862" w:themeColor="accent1" w:themeShade="BF"/>
      <w:kern w:val="0"/>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104862" w:themeColor="accent1" w:themeShade="BF"/>
      <w:kern w:val="0"/>
      <w:sz w:val="32"/>
      <w:szCs w:val="32"/>
    </w:rPr>
  </w:style>
  <w:style w:type="character" w:customStyle="1" w:styleId="23">
    <w:name w:val="标题 4 字符"/>
    <w:basedOn w:val="18"/>
    <w:link w:val="5"/>
    <w:semiHidden/>
    <w:qFormat/>
    <w:uiPriority w:val="9"/>
    <w:rPr>
      <w:rFonts w:cstheme="majorBidi"/>
      <w:color w:val="104862" w:themeColor="accent1" w:themeShade="BF"/>
      <w:kern w:val="0"/>
      <w:sz w:val="28"/>
      <w:szCs w:val="28"/>
    </w:rPr>
  </w:style>
  <w:style w:type="character" w:customStyle="1" w:styleId="24">
    <w:name w:val="标题 5 字符"/>
    <w:basedOn w:val="18"/>
    <w:link w:val="6"/>
    <w:semiHidden/>
    <w:qFormat/>
    <w:uiPriority w:val="9"/>
    <w:rPr>
      <w:rFonts w:cstheme="majorBidi"/>
      <w:color w:val="104862" w:themeColor="accent1" w:themeShade="BF"/>
      <w:kern w:val="0"/>
      <w:sz w:val="24"/>
      <w:szCs w:val="24"/>
    </w:rPr>
  </w:style>
  <w:style w:type="character" w:customStyle="1" w:styleId="25">
    <w:name w:val="标题 6 字符"/>
    <w:basedOn w:val="18"/>
    <w:link w:val="7"/>
    <w:semiHidden/>
    <w:qFormat/>
    <w:uiPriority w:val="9"/>
    <w:rPr>
      <w:rFonts w:cstheme="majorBidi"/>
      <w:b/>
      <w:bCs/>
      <w:color w:val="104862" w:themeColor="accent1" w:themeShade="BF"/>
      <w:kern w:val="0"/>
      <w:sz w:val="32"/>
      <w:szCs w:val="20"/>
    </w:rPr>
  </w:style>
  <w:style w:type="character" w:customStyle="1" w:styleId="26">
    <w:name w:val="标题 7 字符"/>
    <w:basedOn w:val="18"/>
    <w:link w:val="8"/>
    <w:semiHidden/>
    <w:qFormat/>
    <w:uiPriority w:val="9"/>
    <w:rPr>
      <w:rFonts w:cstheme="majorBidi"/>
      <w:b/>
      <w:bCs/>
      <w:color w:val="595959" w:themeColor="text1" w:themeTint="A6"/>
      <w:kern w:val="0"/>
      <w:sz w:val="32"/>
      <w:szCs w:val="20"/>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kern w:val="0"/>
      <w:sz w:val="32"/>
      <w:szCs w:val="20"/>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kern w:val="0"/>
      <w:sz w:val="32"/>
      <w:szCs w:val="20"/>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95959" w:themeColor="text1" w:themeTint="A6"/>
      <w:spacing w:val="15"/>
      <w:kern w:val="0"/>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line="578" w:lineRule="exact"/>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rFonts w:ascii="Times New Roman" w:hAnsi="Times New Roman" w:eastAsia="仿宋_GB2312" w:cs="Times New Roman"/>
      <w:i/>
      <w:iCs/>
      <w:color w:val="404040" w:themeColor="text1" w:themeTint="BF"/>
      <w:kern w:val="0"/>
      <w:sz w:val="32"/>
      <w:szCs w:val="20"/>
      <w14:textFill>
        <w14:solidFill>
          <w14:schemeClr w14:val="tx1">
            <w14:lumMod w14:val="75000"/>
            <w14:lumOff w14:val="25000"/>
          </w14:schemeClr>
        </w14:solidFill>
      </w14:textFill>
    </w:rPr>
  </w:style>
  <w:style w:type="paragraph" w:styleId="33">
    <w:name w:val="List Paragraph"/>
    <w:basedOn w:val="1"/>
    <w:qFormat/>
    <w:uiPriority w:val="34"/>
    <w:pPr>
      <w:spacing w:line="578" w:lineRule="exact"/>
      <w:ind w:left="720"/>
      <w:contextualSpacing/>
    </w:pPr>
  </w:style>
  <w:style w:type="character" w:customStyle="1" w:styleId="34">
    <w:name w:val="明显强调1"/>
    <w:basedOn w:val="18"/>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line="578" w:lineRule="exact"/>
      <w:ind w:left="864" w:right="864"/>
      <w:jc w:val="center"/>
    </w:pPr>
    <w:rPr>
      <w:i/>
      <w:iCs/>
      <w:color w:val="104862" w:themeColor="accent1" w:themeShade="BF"/>
    </w:rPr>
  </w:style>
  <w:style w:type="character" w:customStyle="1" w:styleId="36">
    <w:name w:val="明显引用 字符"/>
    <w:basedOn w:val="18"/>
    <w:link w:val="35"/>
    <w:qFormat/>
    <w:uiPriority w:val="30"/>
    <w:rPr>
      <w:rFonts w:ascii="Times New Roman" w:hAnsi="Times New Roman" w:eastAsia="仿宋_GB2312" w:cs="Times New Roman"/>
      <w:i/>
      <w:iCs/>
      <w:color w:val="104862" w:themeColor="accent1" w:themeShade="BF"/>
      <w:kern w:val="0"/>
      <w:sz w:val="32"/>
      <w:szCs w:val="20"/>
    </w:rPr>
  </w:style>
  <w:style w:type="character" w:customStyle="1" w:styleId="37">
    <w:name w:val="明显参考1"/>
    <w:basedOn w:val="18"/>
    <w:qFormat/>
    <w:uiPriority w:val="32"/>
    <w:rPr>
      <w:b/>
      <w:bCs/>
      <w:smallCaps/>
      <w:color w:val="104862" w:themeColor="accent1" w:themeShade="BF"/>
      <w:spacing w:val="5"/>
    </w:rPr>
  </w:style>
  <w:style w:type="character" w:customStyle="1" w:styleId="38">
    <w:name w:val="页眉 字符"/>
    <w:basedOn w:val="18"/>
    <w:link w:val="13"/>
    <w:qFormat/>
    <w:uiPriority w:val="99"/>
    <w:rPr>
      <w:rFonts w:ascii="Times New Roman" w:hAnsi="Times New Roman" w:eastAsia="仿宋_GB2312" w:cs="Times New Roman"/>
      <w:kern w:val="0"/>
      <w:sz w:val="18"/>
      <w:szCs w:val="18"/>
    </w:rPr>
  </w:style>
  <w:style w:type="character" w:customStyle="1" w:styleId="39">
    <w:name w:val="页脚 字符"/>
    <w:basedOn w:val="18"/>
    <w:link w:val="12"/>
    <w:qFormat/>
    <w:uiPriority w:val="99"/>
    <w:rPr>
      <w:rFonts w:ascii="Times New Roman" w:hAnsi="Times New Roman" w:eastAsia="仿宋_GB2312" w:cs="Times New Roman"/>
      <w:kern w:val="0"/>
      <w:sz w:val="18"/>
      <w:szCs w:val="18"/>
    </w:rPr>
  </w:style>
  <w:style w:type="paragraph" w:customStyle="1" w:styleId="40">
    <w:name w:val="15表格"/>
    <w:basedOn w:val="1"/>
    <w:qFormat/>
    <w:uiPriority w:val="0"/>
    <w:pPr>
      <w:widowControl/>
      <w:overflowPunct/>
      <w:spacing w:line="240" w:lineRule="atLeast"/>
      <w:ind w:firstLine="880"/>
    </w:pPr>
    <w:rPr>
      <w:b/>
      <w:color w:val="000000" w:themeColor="text1"/>
      <w:sz w:val="21"/>
      <w:szCs w:val="28"/>
      <w14:textFill>
        <w14:solidFill>
          <w14:schemeClr w14:val="tx1"/>
        </w14:solidFill>
      </w14:textFill>
    </w:rPr>
  </w:style>
  <w:style w:type="paragraph" w:customStyle="1" w:styleId="41">
    <w:name w:val="修订1"/>
    <w:hidden/>
    <w:unhideWhenUsed/>
    <w:qFormat/>
    <w:uiPriority w:val="99"/>
    <w:rPr>
      <w:rFonts w:ascii="Times New Roman" w:hAnsi="Times New Roman" w:eastAsia="仿宋_GB2312" w:cs="Times New Roman"/>
      <w:sz w:val="32"/>
      <w:lang w:val="en-US" w:eastAsia="zh-CN" w:bidi="ar-SA"/>
    </w:rPr>
  </w:style>
  <w:style w:type="paragraph" w:customStyle="1" w:styleId="42">
    <w:name w:val="修订2"/>
    <w:hidden/>
    <w:unhideWhenUsed/>
    <w:qFormat/>
    <w:uiPriority w:val="99"/>
    <w:rPr>
      <w:rFonts w:ascii="Times New Roman" w:hAnsi="Times New Roman" w:eastAsia="仿宋_GB2312" w:cs="Times New Roman"/>
      <w:sz w:val="32"/>
      <w:lang w:val="en-US" w:eastAsia="zh-CN" w:bidi="ar-SA"/>
    </w:rPr>
  </w:style>
  <w:style w:type="paragraph" w:customStyle="1" w:styleId="43">
    <w:name w:val="修订3"/>
    <w:hidden/>
    <w:unhideWhenUsed/>
    <w:qFormat/>
    <w:uiPriority w:val="99"/>
    <w:rPr>
      <w:rFonts w:ascii="Times New Roman" w:hAnsi="Times New Roman" w:eastAsia="仿宋_GB2312" w:cs="Times New Roman"/>
      <w:sz w:val="32"/>
      <w:lang w:val="en-US" w:eastAsia="zh-CN" w:bidi="ar-SA"/>
    </w:rPr>
  </w:style>
  <w:style w:type="paragraph" w:customStyle="1" w:styleId="44">
    <w:name w:val="修订4"/>
    <w:hidden/>
    <w:unhideWhenUsed/>
    <w:qFormat/>
    <w:uiPriority w:val="99"/>
    <w:rPr>
      <w:rFonts w:ascii="Times New Roman" w:hAnsi="Times New Roman" w:eastAsia="仿宋_GB2312" w:cs="Times New Roman"/>
      <w:sz w:val="32"/>
      <w:lang w:val="en-US" w:eastAsia="zh-CN" w:bidi="ar-SA"/>
    </w:rPr>
  </w:style>
  <w:style w:type="paragraph" w:customStyle="1" w:styleId="45">
    <w:name w:val="Revision"/>
    <w:hidden/>
    <w:unhideWhenUsed/>
    <w:qFormat/>
    <w:uiPriority w:val="99"/>
    <w:rPr>
      <w:rFonts w:ascii="Times New Roman" w:hAnsi="Times New Roman" w:eastAsia="仿宋_GB2312" w:cs="Times New Roman"/>
      <w:sz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0CEC90-2707-468F-A00D-76BC4AA04BC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569</Words>
  <Characters>581</Characters>
  <Lines>189</Lines>
  <Paragraphs>182</Paragraphs>
  <TotalTime>167</TotalTime>
  <ScaleCrop>false</ScaleCrop>
  <LinksUpToDate>false</LinksUpToDate>
  <CharactersWithSpaces>581</CharactersWithSpaces>
  <Application>WPS Office_12.1.2.25882_F1E327BC-269C-435d-A152-05C5408002CA</Application>
  <DocSecurity>1</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2026-01-04T11:27:00Z</dcterms:created>
  <dc:creator>晴 郎</dc:creator>
  <cp:lastModifiedBy>夜风月随</cp:lastModifiedBy>
  <cp:lastPrinted>2025-12-02T13:22:00Z</cp:lastPrinted>
  <dcterms:modified xsi:type="dcterms:W3CDTF">2026-09-23T18:31:39Z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805587AB657D23048BAAB36A86AFC27B_43</vt:lpwstr>
  </property>
  <property fmtid="{D5CDD505-2E9C-101B-9397-08002B2CF9AE}" pid="4" name="KSOTemplateDocerSaveRecord">
    <vt:lpwstr>eyJoZGlkIjoiY2RkOWE3MWEyM2ZjYjdiNTI3ZTEyNGMyYWU3YzZiMjMiLCJ1c2VySWQiOiI1MTYxNjgzMTMifQ==</vt:lpwstr>
  </property>
</Properties>
</file>